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4155" w14:paraId="5C169FA7" w14:textId="77777777" w:rsidTr="0010095E">
        <w:trPr>
          <w:trHeight w:hRule="exact" w:val="1418"/>
        </w:trPr>
        <w:tc>
          <w:tcPr>
            <w:tcW w:w="6804" w:type="dxa"/>
            <w:shd w:val="clear" w:color="auto" w:fill="auto"/>
            <w:vAlign w:val="center"/>
          </w:tcPr>
          <w:p w14:paraId="28F71FA9" w14:textId="6B0E7458" w:rsidR="00751A4A" w:rsidRPr="00594155" w:rsidRDefault="007B0D10" w:rsidP="0010095E">
            <w:pPr>
              <w:pStyle w:val="EPName"/>
            </w:pPr>
            <w:r w:rsidRPr="00594155">
              <w:t>Evropski parlament</w:t>
            </w:r>
          </w:p>
          <w:p w14:paraId="2B864F91" w14:textId="77777777" w:rsidR="00751A4A" w:rsidRPr="00594155" w:rsidRDefault="005F1B17" w:rsidP="005F1B17">
            <w:pPr>
              <w:pStyle w:val="EPTerm"/>
              <w:rPr>
                <w:rStyle w:val="HideTWBExt"/>
                <w:noProof w:val="0"/>
                <w:vanish w:val="0"/>
                <w:color w:val="auto"/>
              </w:rPr>
            </w:pPr>
            <w:r w:rsidRPr="00594155">
              <w:t>2024</w:t>
            </w:r>
            <w:r w:rsidR="00817416" w:rsidRPr="00594155">
              <w:t>-202</w:t>
            </w:r>
            <w:r w:rsidRPr="00594155">
              <w:t>9</w:t>
            </w:r>
          </w:p>
        </w:tc>
        <w:tc>
          <w:tcPr>
            <w:tcW w:w="2268" w:type="dxa"/>
            <w:shd w:val="clear" w:color="auto" w:fill="auto"/>
          </w:tcPr>
          <w:p w14:paraId="5AA737DA" w14:textId="77777777" w:rsidR="00751A4A" w:rsidRPr="00594155" w:rsidRDefault="00187494" w:rsidP="0010095E">
            <w:pPr>
              <w:pStyle w:val="EPLogo"/>
            </w:pPr>
            <w:r w:rsidRPr="00594155">
              <w:rPr>
                <w:noProof/>
                <w:lang w:eastAsia="ja-JP"/>
              </w:rPr>
              <w:drawing>
                <wp:inline distT="0" distB="0" distL="0" distR="0" wp14:anchorId="3A04393B" wp14:editId="4F145C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F7B45D" w14:textId="77777777" w:rsidR="00D058B8" w:rsidRPr="00594155" w:rsidRDefault="00D058B8" w:rsidP="004C5D52">
      <w:pPr>
        <w:pStyle w:val="LineTop"/>
      </w:pPr>
    </w:p>
    <w:p w14:paraId="3BCF46CD" w14:textId="17EB64D4" w:rsidR="00680577" w:rsidRPr="00594155" w:rsidRDefault="007B0D10" w:rsidP="00680577">
      <w:pPr>
        <w:pStyle w:val="EPBodyTA1"/>
      </w:pPr>
      <w:r w:rsidRPr="00594155">
        <w:t>SPREJETA BESEDILA</w:t>
      </w:r>
    </w:p>
    <w:p w14:paraId="19DBF96C" w14:textId="77777777" w:rsidR="00D058B8" w:rsidRPr="00594155" w:rsidRDefault="00D058B8" w:rsidP="00D058B8">
      <w:pPr>
        <w:pStyle w:val="LineBottom"/>
      </w:pPr>
    </w:p>
    <w:p w14:paraId="0E4D1D04" w14:textId="1D0FFD94" w:rsidR="007B0D10" w:rsidRPr="00594155" w:rsidRDefault="007B0D10" w:rsidP="007B0D10">
      <w:pPr>
        <w:pStyle w:val="ATHeading1"/>
      </w:pPr>
      <w:bookmarkStart w:id="0" w:name="TANumber"/>
      <w:r w:rsidRPr="00594155">
        <w:t>P10_TA(2025)0</w:t>
      </w:r>
      <w:r w:rsidR="00594155" w:rsidRPr="00594155">
        <w:t>114</w:t>
      </w:r>
      <w:bookmarkEnd w:id="0"/>
    </w:p>
    <w:p w14:paraId="1C3E372D" w14:textId="49B73978" w:rsidR="007B0D10" w:rsidRPr="00594155" w:rsidRDefault="00764ACA" w:rsidP="007B0D10">
      <w:pPr>
        <w:pStyle w:val="ATHeading2"/>
      </w:pPr>
      <w:r w:rsidRPr="00764ACA">
        <w:t>Izid posvetovanj Odbora za peticije v parlamentarnem letu 2023</w:t>
      </w:r>
    </w:p>
    <w:p w14:paraId="249C1CEE" w14:textId="77777777" w:rsidR="007B0D10" w:rsidRPr="00594155" w:rsidRDefault="007B0D10" w:rsidP="007B0D10">
      <w:pPr>
        <w:rPr>
          <w:i/>
          <w:vanish/>
        </w:rPr>
      </w:pPr>
      <w:r w:rsidRPr="00594155">
        <w:rPr>
          <w:i/>
        </w:rPr>
        <w:fldChar w:fldCharType="begin"/>
      </w:r>
      <w:r w:rsidRPr="00594155">
        <w:rPr>
          <w:i/>
        </w:rPr>
        <w:instrText xml:space="preserve"> TC"(</w:instrText>
      </w:r>
      <w:bookmarkStart w:id="1" w:name="DocNumber"/>
      <w:r w:rsidRPr="00594155">
        <w:rPr>
          <w:i/>
        </w:rPr>
        <w:instrText>A10-0063/2025</w:instrText>
      </w:r>
      <w:bookmarkEnd w:id="1"/>
      <w:r w:rsidRPr="00594155">
        <w:rPr>
          <w:i/>
        </w:rPr>
        <w:instrText xml:space="preserve"> - Poročevalec: Gheorghe Falcă)"\l3 \n&gt; \* MERGEFORMAT </w:instrText>
      </w:r>
      <w:r w:rsidRPr="00594155">
        <w:rPr>
          <w:i/>
        </w:rPr>
        <w:fldChar w:fldCharType="end"/>
      </w:r>
    </w:p>
    <w:p w14:paraId="7E49100E" w14:textId="77777777" w:rsidR="007B0D10" w:rsidRPr="00594155" w:rsidRDefault="007B0D10" w:rsidP="007B0D10">
      <w:pPr>
        <w:rPr>
          <w:vanish/>
        </w:rPr>
      </w:pPr>
      <w:bookmarkStart w:id="2" w:name="Commission"/>
      <w:r w:rsidRPr="00594155">
        <w:rPr>
          <w:vanish/>
        </w:rPr>
        <w:t>Odbor za peticije</w:t>
      </w:r>
      <w:bookmarkEnd w:id="2"/>
    </w:p>
    <w:p w14:paraId="3B17E177" w14:textId="77777777" w:rsidR="007B0D10" w:rsidRPr="00594155" w:rsidRDefault="007B0D10" w:rsidP="007B0D10">
      <w:pPr>
        <w:rPr>
          <w:vanish/>
        </w:rPr>
      </w:pPr>
      <w:bookmarkStart w:id="3" w:name="PE"/>
      <w:r w:rsidRPr="00594155">
        <w:rPr>
          <w:vanish/>
        </w:rPr>
        <w:t>PE768.068</w:t>
      </w:r>
      <w:bookmarkEnd w:id="3"/>
    </w:p>
    <w:p w14:paraId="0148FF65" w14:textId="77777777" w:rsidR="007B0D10" w:rsidRPr="00594155" w:rsidRDefault="007B0D10" w:rsidP="007B0D10">
      <w:pPr>
        <w:pStyle w:val="ATHeading3"/>
      </w:pPr>
      <w:bookmarkStart w:id="4" w:name="Sujet"/>
      <w:r w:rsidRPr="00594155">
        <w:t>Resolucija Evropskega parlamenta z dne 22. maja 2025 o izidu posvetovanj Odbora za peticije v parlamentarnem letu 2023</w:t>
      </w:r>
      <w:bookmarkEnd w:id="4"/>
      <w:r w:rsidRPr="00594155">
        <w:t xml:space="preserve"> </w:t>
      </w:r>
      <w:bookmarkStart w:id="5" w:name="References"/>
      <w:r w:rsidRPr="00594155">
        <w:t>(2025/2027(INI))</w:t>
      </w:r>
      <w:bookmarkEnd w:id="5"/>
    </w:p>
    <w:p w14:paraId="022EC3D2" w14:textId="77777777" w:rsidR="00022E10" w:rsidRPr="00594155" w:rsidRDefault="00022E10" w:rsidP="00022E10">
      <w:pPr>
        <w:pStyle w:val="EPComma"/>
      </w:pPr>
      <w:r w:rsidRPr="00594155">
        <w:rPr>
          <w:i/>
        </w:rPr>
        <w:t>Evropski parlament</w:t>
      </w:r>
      <w:r w:rsidRPr="00594155">
        <w:t>,</w:t>
      </w:r>
    </w:p>
    <w:p w14:paraId="571B0DA1" w14:textId="77777777" w:rsidR="00022E10" w:rsidRPr="00594155" w:rsidRDefault="00022E10" w:rsidP="00022E10">
      <w:pPr>
        <w:pStyle w:val="NormalHanging12a"/>
      </w:pPr>
      <w:r w:rsidRPr="00594155">
        <w:t>–</w:t>
      </w:r>
      <w:r w:rsidRPr="00594155">
        <w:tab/>
        <w:t>ob upoštevanju svojih prejšnjih resolucij o izidu razprav v Odboru za peticije,</w:t>
      </w:r>
    </w:p>
    <w:p w14:paraId="43E6B820" w14:textId="77777777" w:rsidR="00022E10" w:rsidRPr="00594155" w:rsidRDefault="00022E10" w:rsidP="00022E10">
      <w:pPr>
        <w:pStyle w:val="NormalHanging12a"/>
      </w:pPr>
      <w:r w:rsidRPr="00594155">
        <w:t>–</w:t>
      </w:r>
      <w:r w:rsidRPr="00594155">
        <w:tab/>
        <w:t>ob upoštevanju členov 10 in 11 Pogodbe o Evropski uniji (PEU),</w:t>
      </w:r>
    </w:p>
    <w:p w14:paraId="05327DEB" w14:textId="77777777" w:rsidR="00022E10" w:rsidRPr="00594155" w:rsidRDefault="00022E10" w:rsidP="00022E10">
      <w:pPr>
        <w:pStyle w:val="NormalHanging12a"/>
      </w:pPr>
      <w:r w:rsidRPr="00594155">
        <w:t>–</w:t>
      </w:r>
      <w:r w:rsidRPr="00594155">
        <w:tab/>
        <w:t>ob upoštevanju členov 20, 24 in 227 Pogodbe o delovanju Evropske unije (PDEU) o pravici državljanov in prebivalcev EU, da Parlament opozorijo na svoje pomisleke,</w:t>
      </w:r>
    </w:p>
    <w:p w14:paraId="7D154F1F" w14:textId="77777777" w:rsidR="00022E10" w:rsidRPr="00594155" w:rsidRDefault="00022E10" w:rsidP="00022E10">
      <w:pPr>
        <w:pStyle w:val="NormalHanging12a"/>
      </w:pPr>
      <w:r w:rsidRPr="00594155">
        <w:t>–</w:t>
      </w:r>
      <w:r w:rsidRPr="00594155">
        <w:tab/>
        <w:t>ob upoštevanju člena 228 PDEU o vlogi in nalogah evropskega varuha človekovih pravic,</w:t>
      </w:r>
    </w:p>
    <w:p w14:paraId="358965A7" w14:textId="77777777" w:rsidR="00022E10" w:rsidRPr="00594155" w:rsidRDefault="00022E10" w:rsidP="00022E10">
      <w:pPr>
        <w:pStyle w:val="NormalHanging12a"/>
      </w:pPr>
      <w:r w:rsidRPr="00594155">
        <w:t>–</w:t>
      </w:r>
      <w:r w:rsidRPr="00594155">
        <w:tab/>
        <w:t>ob upoštevanju člena 44 Listine Evropske unije o temeljnih pravicah o pravici nasloviti peticijo na Evropski parlament,</w:t>
      </w:r>
    </w:p>
    <w:p w14:paraId="730D8837" w14:textId="77777777" w:rsidR="00022E10" w:rsidRDefault="00022E10" w:rsidP="00022E10">
      <w:pPr>
        <w:pStyle w:val="NormalHanging12a"/>
      </w:pPr>
      <w:r w:rsidRPr="00594155">
        <w:t>–</w:t>
      </w:r>
      <w:r w:rsidRPr="00594155">
        <w:tab/>
        <w:t>ob upoštevanju določb PDEU, povezanih s postopkom za ugotavljanje kršitev, in zlasti členov 258 in 260,</w:t>
      </w:r>
    </w:p>
    <w:p w14:paraId="73E450C7" w14:textId="10B37E93" w:rsidR="00621815" w:rsidRPr="00594155" w:rsidRDefault="00621815" w:rsidP="00022E10">
      <w:pPr>
        <w:pStyle w:val="NormalHanging12a"/>
      </w:pPr>
      <w:r w:rsidRPr="00621815">
        <w:t>–</w:t>
      </w:r>
      <w:r w:rsidRPr="00621815">
        <w:tab/>
        <w:t>ob upoštevanju sklepnih ugotovitev Odbora OZN za pravice invalidov z dne 21. marca 2025 o skupnem drugem in tretjem rednem poročilu Evropske unije,</w:t>
      </w:r>
    </w:p>
    <w:p w14:paraId="692F89EF" w14:textId="77777777" w:rsidR="00022E10" w:rsidRPr="00594155" w:rsidRDefault="00022E10" w:rsidP="00022E10">
      <w:pPr>
        <w:pStyle w:val="NormalHanging12a"/>
      </w:pPr>
      <w:r w:rsidRPr="00594155">
        <w:t>–</w:t>
      </w:r>
      <w:r w:rsidRPr="00594155">
        <w:tab/>
        <w:t>ob upoštevanju člena 55 in člena 233(7) Poslovnika,</w:t>
      </w:r>
    </w:p>
    <w:p w14:paraId="5FCB7BA6" w14:textId="77777777" w:rsidR="00022E10" w:rsidRPr="00594155" w:rsidRDefault="00022E10" w:rsidP="00022E10">
      <w:pPr>
        <w:pStyle w:val="NormalHanging12a"/>
      </w:pPr>
      <w:r w:rsidRPr="00594155">
        <w:t>–</w:t>
      </w:r>
      <w:r w:rsidRPr="00594155">
        <w:tab/>
        <w:t>ob upoštevanju poročila Odbora za peticije (A10-0063/2025),</w:t>
      </w:r>
    </w:p>
    <w:p w14:paraId="1C5389BD" w14:textId="77777777" w:rsidR="00022E10" w:rsidRPr="00594155" w:rsidRDefault="00022E10" w:rsidP="00022E10">
      <w:pPr>
        <w:pStyle w:val="NormalHanging12a"/>
      </w:pPr>
      <w:r w:rsidRPr="00594155">
        <w:t>A.</w:t>
      </w:r>
      <w:r w:rsidRPr="00594155">
        <w:tab/>
        <w:t>ker je namen letnega poročila o izidu posvetovanj v Odboru za peticije predstaviti analizo peticij, prejetih v letu 2023, in odnosov z drugimi institucijami ter pripraviti pregled ciljev, doseženih v letu 2023;</w:t>
      </w:r>
    </w:p>
    <w:p w14:paraId="4BD7E9DB" w14:textId="77777777" w:rsidR="00022E10" w:rsidRPr="00594155" w:rsidRDefault="00022E10" w:rsidP="00022E10">
      <w:pPr>
        <w:pStyle w:val="NormalHanging12a"/>
      </w:pPr>
      <w:r w:rsidRPr="00594155">
        <w:t>B.</w:t>
      </w:r>
      <w:r w:rsidRPr="00594155">
        <w:tab/>
        <w:t>ker je Parlament v letu 2023 prejel 1452 peticij, kar je 16,2 % več kot leta 2022, ko jih je prejel 1217, in 4,0 % več kot leta 2021, ko jih je prejel 1392; ker je skupno število prejetih peticij še vedno precej nižje od najvišje ravni, dosežene v letih 2013 in 2014, ko je Parlament prejel 2891 oziroma 2715 peticij;</w:t>
      </w:r>
    </w:p>
    <w:p w14:paraId="35335A5D" w14:textId="77777777" w:rsidR="00022E10" w:rsidRPr="00594155" w:rsidRDefault="00022E10" w:rsidP="00022E10">
      <w:pPr>
        <w:pStyle w:val="NormalHanging12a"/>
      </w:pPr>
      <w:r w:rsidRPr="00594155">
        <w:lastRenderedPageBreak/>
        <w:t>C.</w:t>
      </w:r>
      <w:r w:rsidRPr="00594155">
        <w:tab/>
        <w:t>ker je leta 2023 na spletnem portalu Parlamenta za peticije eno ali več peticij podprlo 26.331 uporabnikov, kar je precejšnje povečanje v primerjavi z letom 2022, ko je bilo takih uporabnikov 22.441 (obe številki sta znatno nižji kot leta 2021, ko je bilo podpornikov 209.272); ker se je leta 2023 rahlo zvišalo število klikov v podporo peticijam in je doseglo skupaj 29.287 klikov (v primerjavi z 27.927 leta 2022 in 217.876 leta 2021);</w:t>
      </w:r>
    </w:p>
    <w:p w14:paraId="0E1E7988" w14:textId="77777777" w:rsidR="00022E10" w:rsidRPr="00594155" w:rsidRDefault="00022E10" w:rsidP="00022E10">
      <w:pPr>
        <w:pStyle w:val="NormalHanging12a"/>
      </w:pPr>
      <w:r w:rsidRPr="00594155">
        <w:t>D.</w:t>
      </w:r>
      <w:r w:rsidRPr="00594155">
        <w:tab/>
        <w:t>ker je skupno število peticij glede na celotno prebivalstvo EU še vedno majhno in kaže, da si je treba še bolj prizadevati za ozaveščanje državljanov o njihovi pravici do peticije in njeni uporabnosti kot sredstvu, s katerim lahko institucije in države članice opozorijo na vprašanja, ki državljane zadevajo neposredno; ker državljani pri uveljavljanju pravice do peticije pričakujejo, da bodo institucije EU zagotovile dodano vrednost pri iskanju rešitve za njihove težave;</w:t>
      </w:r>
    </w:p>
    <w:p w14:paraId="4228FE6B" w14:textId="77777777" w:rsidR="00022E10" w:rsidRPr="00594155" w:rsidRDefault="00022E10" w:rsidP="00022E10">
      <w:pPr>
        <w:pStyle w:val="NormalHanging12a"/>
      </w:pPr>
      <w:r w:rsidRPr="00594155">
        <w:t>E.</w:t>
      </w:r>
      <w:r w:rsidRPr="00594155">
        <w:tab/>
        <w:t>ker so merila za dopustnost peticij določena v členu 227 PDEU in členu 232(1) Poslovnika Parlamenta, v skladu s katerima peticijo vloži državljan EU ali fizična ali pravna oseba, ki ima prebivališče ali statutarni sedež v državi članici in ki jo vprašanja s področja delovanja EU neposredno zadevajo;</w:t>
      </w:r>
    </w:p>
    <w:p w14:paraId="39B52890" w14:textId="77777777" w:rsidR="00022E10" w:rsidRDefault="00022E10" w:rsidP="00022E10">
      <w:pPr>
        <w:pStyle w:val="NormalHanging12a"/>
      </w:pPr>
      <w:r w:rsidRPr="00594155">
        <w:t>F.</w:t>
      </w:r>
      <w:r w:rsidRPr="00594155">
        <w:tab/>
        <w:t>ker je bilo od 1 452 peticij, vloženih v letu 2023, 429 razglašenih za nedopustne, 13 pa jih je bilo umaknjenih; ker velik delež (29,55 %) nedopustnih peticij v letu 2023 potrjuje, da večini še vedno ni jasno, za katera področja je EU odgovorna; ker si je treba prizadevati za nadaljnjo pojasnitev področij delovanja EU, s čimer bi zmanjšali število nedopustnih peticij;</w:t>
      </w:r>
    </w:p>
    <w:p w14:paraId="22192572" w14:textId="127E8894" w:rsidR="00621815" w:rsidRPr="00594155" w:rsidRDefault="00E6520A" w:rsidP="00022E10">
      <w:pPr>
        <w:pStyle w:val="NormalHanging12a"/>
      </w:pPr>
      <w:r>
        <w:t>G</w:t>
      </w:r>
      <w:r w:rsidR="00621815" w:rsidRPr="00621815">
        <w:t>.</w:t>
      </w:r>
      <w:r w:rsidR="00621815" w:rsidRPr="00621815">
        <w:tab/>
        <w:t>ker je imel Odbor za peticije (PETI) pomembno vlogo v boju proti diskriminaciji romunskih in bolgarskih državljanov v obdobju, pred pridružitvijo njihovih držav schengenskemu območju; ker je odbor PETI bistveno prispeval k zavzemanju za enako obravnavo in odpravljanje neupravičenih ovir, s katerimi so se soočali ti državljani; ker sta bili izhodišče peticija št. 0004/2023, ki jo je vložil Răzvan Eugen Nicolescu v imenu združenja Asociația pentru Energie Curată și Combaterea Schimbărilor Climatice, in kasnejša resolucija plenarnega zasedanja o pristopu k schengenskemu območju, sprejeta v skladu s členom 227(2) Poslovnika</w:t>
      </w:r>
      <w:r w:rsidR="00621815">
        <w:rPr>
          <w:rStyle w:val="FootnoteReference"/>
        </w:rPr>
        <w:footnoteReference w:id="1"/>
      </w:r>
      <w:r w:rsidR="00621815" w:rsidRPr="00621815">
        <w:t>;</w:t>
      </w:r>
    </w:p>
    <w:p w14:paraId="75E1E00B" w14:textId="5C885C69" w:rsidR="00022E10" w:rsidRPr="00594155" w:rsidRDefault="004D6FA9" w:rsidP="00022E10">
      <w:pPr>
        <w:pStyle w:val="NormalHanging12a"/>
      </w:pPr>
      <w:r>
        <w:t>H</w:t>
      </w:r>
      <w:r w:rsidR="00022E10" w:rsidRPr="00594155">
        <w:t>.</w:t>
      </w:r>
      <w:r w:rsidR="00022E10" w:rsidRPr="00594155">
        <w:tab/>
        <w:t>ker je pravica nasloviti peticijo na Evropski parlament temeljna pravica državljanov EU, ki državljanom in prebivalcem nudi odprt, demokratičen in pregleden mehanizem, s katerim se lahko obrnejo neposredno na svoje izvoljene predstavnike; ker to bistveno orodje državljanom omogoča aktivno in učinkovito udeležbo v življenju Unije; ker se lahko državljani EU s peticijami pritožijo zaradi neizvajanja prava EU in prispevajo k odkrivanju njegovih kršitev;</w:t>
      </w:r>
    </w:p>
    <w:p w14:paraId="755D0DFD" w14:textId="764E0308" w:rsidR="00022E10" w:rsidRPr="00594155" w:rsidRDefault="004D6FA9" w:rsidP="00022E10">
      <w:pPr>
        <w:pStyle w:val="NormalHanging12a"/>
      </w:pPr>
      <w:r>
        <w:t>I</w:t>
      </w:r>
      <w:r w:rsidR="00022E10" w:rsidRPr="00594155">
        <w:t>.</w:t>
      </w:r>
      <w:r w:rsidR="00022E10" w:rsidRPr="00594155">
        <w:tab/>
        <w:t xml:space="preserve">ker je Parlament edina institucija EU, ki jo neposredno izvolijo državljani; ker je pravica do naslavljanja peticij na Evropski parlament ena od temeljnih pravic državljanov in prebivalcev EU in jim omogoča, da se neposredno obrnejo na svoje izvoljene predstavnike; </w:t>
      </w:r>
      <w:r w:rsidR="00621815" w:rsidRPr="00621815">
        <w:t xml:space="preserve">ker mnogi invalidi zaradi omejene razpoložljivosti dostopnih formatov nimajo enakega dostopa do informacij in komunikacije ter ker se nacionalni znakovni jeziki ne štejejo za del večjezičnosti EU; </w:t>
      </w:r>
      <w:r w:rsidR="00022E10" w:rsidRPr="00594155">
        <w:t xml:space="preserve">ker ima Parlament že dolgo vodilno vlogo pri oblikovanju postopka vlaganja peticij na mednarodni ravni in ima najbolj odprt, demokratičen in pregleden postopek vlaganja peticij v Evropi, kar vlagateljem omogoča aktivno in učinkovito udeležbo v dejavnostih Parlamenta; ker državljani pri </w:t>
      </w:r>
      <w:r w:rsidR="00022E10" w:rsidRPr="00594155">
        <w:lastRenderedPageBreak/>
        <w:t>uveljavljanju pravice do peticije pričakujejo, da bo institucija EU v sodelovanju s Komisijo in organi držav članic prinesla dodano vrednost pri reševanju njihovih težav;</w:t>
      </w:r>
    </w:p>
    <w:p w14:paraId="0DEE96D4" w14:textId="29D73069" w:rsidR="00022E10" w:rsidRPr="00594155" w:rsidRDefault="004D6FA9" w:rsidP="00022E10">
      <w:pPr>
        <w:pStyle w:val="NormalHanging12a"/>
      </w:pPr>
      <w:r>
        <w:t>J</w:t>
      </w:r>
      <w:r w:rsidR="00022E10" w:rsidRPr="00594155">
        <w:t>.</w:t>
      </w:r>
      <w:r w:rsidR="00022E10" w:rsidRPr="00594155">
        <w:tab/>
        <w:t>ker informacije, ki jih vlagatelji navedejo v svojih peticijah in na sejah odbora, skupaj z oceno Komisije ter odgovori držav članic in drugih organov, pomembno prispevajo k delu drugih parlamentarnih odborov, saj se dopustne peticije posredujejo zadevnemu odboru za mnenje ali v vednost; ker imajo lahko peticije tako pomembno vlogo v zakonodajnem postopku, saj zagotavljajo konkretne povratne informacije o vplivu politik EU in omogočajo, da se politike odzovejo na nove potrebe;</w:t>
      </w:r>
    </w:p>
    <w:p w14:paraId="151CF67F" w14:textId="3F68F234" w:rsidR="00022E10" w:rsidRPr="00594155" w:rsidRDefault="004D6FA9" w:rsidP="00022E10">
      <w:pPr>
        <w:pStyle w:val="NormalHanging12a"/>
      </w:pPr>
      <w:r>
        <w:t>K</w:t>
      </w:r>
      <w:r w:rsidR="00022E10" w:rsidRPr="00594155">
        <w:t>.</w:t>
      </w:r>
      <w:r w:rsidR="00022E10" w:rsidRPr="00594155">
        <w:tab/>
        <w:t>ker dejavnosti Odbora za peticije temeljijo na podatkih, ki jih posredujejo vlagatelji peticij, kar Parlamentu omogoča, da se bolje odziva na pritožbe in pomisleke v zvezi s spoštovanjem temeljnih pravic EU in upoštevanjem zakonodaje EU v državah članicah; ker so peticije zato koristen vir informacij o primerih napačne uporabe ali kršitev prava EU, saj omogočajo oceno uporabe prava EU ter njegovega vpliva na pravice državljanov in prebivalcev EU; ker so bile leta 2023 temeljne pravice ena od treh najpomembnejših vprašanj vseh vlagateljev peticij; ker je Odbor za peticije v okviru strukturiranega dialoga z Komisijo to pozval, naj se bori proti diskriminaciji v Evropski uniji, tudi s pobudami za zagotavljanje enakih pravic in okrepitev ukrepov proti vsem oblikam diskriminacije, vključno z diskriminacijo na podlagi spola, rase ali narodnosti, invalidnosti, starosti, vere ali prepričanja in spolne usmerjenosti;</w:t>
      </w:r>
    </w:p>
    <w:p w14:paraId="13291173" w14:textId="3820885D" w:rsidR="00022E10" w:rsidRPr="00594155" w:rsidRDefault="004D6FA9" w:rsidP="00022E10">
      <w:pPr>
        <w:pStyle w:val="NormalHanging12a"/>
        <w:rPr>
          <w:b/>
          <w:i/>
        </w:rPr>
      </w:pPr>
      <w:r>
        <w:t>L</w:t>
      </w:r>
      <w:r w:rsidR="00022E10" w:rsidRPr="00594155">
        <w:t>.</w:t>
      </w:r>
      <w:r w:rsidR="00022E10" w:rsidRPr="00594155">
        <w:tab/>
        <w:t>ker bi morala Komisija v skladu s členom 17 PEU skrbeti za pravilno uporabo Pogodb in ukrepov, ki se sprejmejo na njuni podlagi; ker mora biti strateški pristop Komisije k obravnavanju vprašanj, izpostavljenih v peticijah, popolnoma skladen s Pogodbama, da se zagotovi najučinkovitejše nadaljnje ukrepanje po peticijah, da bi se zagotovila popolna in pravočasna zaščita pravic državljanov, ki izhajajo iz prava EU;</w:t>
      </w:r>
    </w:p>
    <w:p w14:paraId="298F1BCE" w14:textId="531C1899" w:rsidR="00022E10" w:rsidRPr="00594155" w:rsidRDefault="004D6FA9" w:rsidP="00022E10">
      <w:pPr>
        <w:pStyle w:val="NormalHanging12a"/>
      </w:pPr>
      <w:r>
        <w:t>M</w:t>
      </w:r>
      <w:r w:rsidR="00022E10" w:rsidRPr="00594155">
        <w:t>.</w:t>
      </w:r>
      <w:r w:rsidR="00022E10" w:rsidRPr="00594155">
        <w:tab/>
        <w:t>ker se mora vsaka peticija v skladu s standardi iz člena 41 Listine Evropske unije o temeljnih pravicah o pravici do dobrega upravljanja obravnavati in preučiti skrbno, učinkovito, nepristransko, pošteno in pregledno; ker ima vsak vlagatelj pravico, da v razumnem roku in v svojem jeziku ali v jeziku, ki se uporablja v peticiji, prejme odgovor, v katerem se ga obvešča o odločitvi o dopustnosti ter nadaljnjih ukrepih, ki jih sprejme odbor; ker pravočasni in učinkoviti odzivi Komisije in držav članic na vprašanja iz peticij skupaj z rešitvami za pravna sredstva po potrebi prispevajo h krepitvi zaupanja državljanov v Unijo in njene politike;</w:t>
      </w:r>
    </w:p>
    <w:p w14:paraId="722A7C0F" w14:textId="77E883FD" w:rsidR="00022E10" w:rsidRPr="00594155" w:rsidRDefault="004D6FA9" w:rsidP="00022E10">
      <w:pPr>
        <w:pStyle w:val="NormalHanging12a"/>
      </w:pPr>
      <w:r>
        <w:t>N</w:t>
      </w:r>
      <w:r w:rsidR="00022E10" w:rsidRPr="00594155">
        <w:t>.</w:t>
      </w:r>
      <w:r w:rsidR="00022E10" w:rsidRPr="00594155">
        <w:tab/>
        <w:t>ker Odbor za peticije pripisuje izjemen pomen preučitvi peticij in javni razpravi o njih na svojih sejah; ker imajo vlagatelji pravico predstaviti svojo peticijo in pogosto sodelujejo v razpravi, s čimer aktivno prispevajo k delu odbora; ker je Odbor za peticije v letu 2023 organiziral 10 sej, na katerih je bilo obravnavanih 191 peticij, prisotnih pa je bilo 114 vlagateljev, ki so dejavno sodelovali v razpravi;</w:t>
      </w:r>
    </w:p>
    <w:p w14:paraId="62E63D90" w14:textId="2E1C7C05" w:rsidR="00022E10" w:rsidRPr="00594155" w:rsidRDefault="004D6FA9" w:rsidP="00022E10">
      <w:pPr>
        <w:pStyle w:val="NormalHanging12a"/>
      </w:pPr>
      <w:r>
        <w:t>O</w:t>
      </w:r>
      <w:r w:rsidR="00022E10" w:rsidRPr="00594155">
        <w:t>.</w:t>
      </w:r>
      <w:r w:rsidR="00022E10" w:rsidRPr="00594155">
        <w:tab/>
        <w:t>ker so bile glavne teme v peticijah, predloženih v letu 2023, okolje, temeljne pravice, osebne zadeve in pravosodje;</w:t>
      </w:r>
    </w:p>
    <w:p w14:paraId="35D4AFBB" w14:textId="15CE9014" w:rsidR="00022E10" w:rsidRPr="00594155" w:rsidRDefault="004D6FA9" w:rsidP="00022E10">
      <w:pPr>
        <w:pStyle w:val="NormalHanging12a"/>
      </w:pPr>
      <w:r>
        <w:t>P</w:t>
      </w:r>
      <w:r w:rsidR="00022E10" w:rsidRPr="00594155">
        <w:t>.</w:t>
      </w:r>
      <w:r w:rsidR="00022E10" w:rsidRPr="00594155">
        <w:rPr>
          <w:color w:val="FF0000"/>
        </w:rPr>
        <w:t xml:space="preserve"> </w:t>
      </w:r>
      <w:r w:rsidR="00022E10" w:rsidRPr="00594155">
        <w:rPr>
          <w:color w:val="FF0000"/>
        </w:rPr>
        <w:tab/>
      </w:r>
      <w:r w:rsidR="00022E10" w:rsidRPr="00594155">
        <w:t>ker Odbor za peticije pri sprejemanju dnevnega reda sej namenja pozornost peticijam in temam, ki so zelo pomembne za razpravo na ravni EU, in poskuša ohraniti uravnoteženo geografsko pokritost tem, ki so obravnavane v prejetih peticijah;</w:t>
      </w:r>
    </w:p>
    <w:p w14:paraId="3B665A6C" w14:textId="307A14F3" w:rsidR="00022E10" w:rsidRPr="00594155" w:rsidRDefault="004D6FA9" w:rsidP="00022E10">
      <w:pPr>
        <w:pStyle w:val="NormalHanging12a"/>
      </w:pPr>
      <w:r>
        <w:t>Q</w:t>
      </w:r>
      <w:r w:rsidR="00022E10" w:rsidRPr="00594155">
        <w:t>.</w:t>
      </w:r>
      <w:r w:rsidR="00022E10" w:rsidRPr="00594155">
        <w:tab/>
        <w:t xml:space="preserve">ker je bilo v letu 2023 82,4 % peticij vloženih prek spletnega portala Parlamenta za peticije, kar je nekoliko več kot leta 2022 (79,05 %) in potrjuje, da gre za daleč </w:t>
      </w:r>
      <w:r w:rsidR="00022E10" w:rsidRPr="00594155">
        <w:lastRenderedPageBreak/>
        <w:t>najpogosteje uporabljeni kanal, prek katerega državljani vlagajo peticije pri Parlamentu;</w:t>
      </w:r>
    </w:p>
    <w:p w14:paraId="60A7B1A1" w14:textId="56828545" w:rsidR="00022E10" w:rsidRPr="00594155" w:rsidRDefault="004D6FA9" w:rsidP="00022E10">
      <w:pPr>
        <w:pStyle w:val="NormalHanging12a"/>
      </w:pPr>
      <w:r>
        <w:t>R</w:t>
      </w:r>
      <w:r w:rsidR="00022E10" w:rsidRPr="00594155">
        <w:t>.</w:t>
      </w:r>
      <w:r w:rsidR="00022E10" w:rsidRPr="00594155">
        <w:tab/>
        <w:t>ker je bil spletni portal za peticije februarja 2023 prenovljen in je začel ponovno delovati tako, da je usklajen s trenutnimi pričakovanji in prebivalcem držav članic olajša uveljavljanje pravice do vlaganja peticij Parlamentu; ker je bil posodobljeni portal za peticije 2.0 brez težav integriran v spletno orodje Parlamenta za objavljanje, kar omogoča hitrejše in enostavnejše posodabljanje vsebine in nove funkcije (vključno s sedmimi priročniki za hiter začetek, ki vsebujejo jasna navodila, ki opisujejo korake za predložitev, sledenje in podporo peticijam); ker novi iskalnik, ki ga poganja tehnologija za elastično iskanje, nudi boljšo uporabniško izkušnjo z natančnejšimi rezultati, tako da je portal resnično osredotočen na državljane; ker so bile vse peticije v letu 2023 pripravljene in objavljene pravočasno, v nekaj dneh po sprejetju, ter je bilo uspešno, pravočasno in v vseh jezikih odgovorjeno na vse notranje in zunanje prošnje za podporo v zvezi z uporabo in vsebino portala za peticije;</w:t>
      </w:r>
    </w:p>
    <w:p w14:paraId="1C5669DF" w14:textId="683F7D7C" w:rsidR="00022E10" w:rsidRPr="00594155" w:rsidRDefault="004D6FA9" w:rsidP="00022E10">
      <w:pPr>
        <w:pStyle w:val="NormalHanging12a"/>
      </w:pPr>
      <w:r>
        <w:t>S</w:t>
      </w:r>
      <w:r w:rsidR="00022E10" w:rsidRPr="00594155">
        <w:t>.</w:t>
      </w:r>
      <w:r w:rsidR="00022E10" w:rsidRPr="00594155">
        <w:tab/>
        <w:t>ker je Odbor za peticije v letu 2023 opravil štiri obiske za ugotavljanje dejstev, med katerimi so poslanci odpotovali v Romunijo, da bi preučili upravljanje in zaščito populacije rjavega medveda in nezakonito sečnjo, v Donegal (Irska), da bi preiskali uporabo neustreznih zidakov v gradbeništvu na Irskem, in v Katalonijo (Španija), da bi na kraju samem ocenili model jezikovne potopitve v Kataloniji; ker so bili člani Odbora za peticije tudi del skupne delegacije Odbora za zaposlovanje in socialne zadeve, Odbora za državljanske svoboščine, pravosodje in notranje zadeve ter Odbora za peticije, ki so odpotovali v New York, da bi se udeležili 16. zasedanja konference držav pogodbenic Konvencije o pravicah invalidov;</w:t>
      </w:r>
    </w:p>
    <w:p w14:paraId="3A285792" w14:textId="66BDDA95" w:rsidR="00022E10" w:rsidRPr="00594155" w:rsidRDefault="004D6FA9" w:rsidP="00022E10">
      <w:pPr>
        <w:pStyle w:val="NormalHanging12a"/>
      </w:pPr>
      <w:r>
        <w:t>T</w:t>
      </w:r>
      <w:r w:rsidR="00022E10" w:rsidRPr="00594155">
        <w:t>.</w:t>
      </w:r>
      <w:r w:rsidR="00022E10" w:rsidRPr="00594155">
        <w:tab/>
        <w:t>ker je Odbor za peticije v skladu s Poslovnikom odgovoren za odnose z evropskim varuhom človekovih pravic, ki preiskuje pritožbe glede nepravilnosti v institucijah in organih EU; ker je prejšnja evropska varuhinja človekovih pravic Emily O’Reilly na seji Odbora za peticije 27. junija 2023 predstavila svoje letno poročilo za leto 2022;</w:t>
      </w:r>
    </w:p>
    <w:p w14:paraId="38B4416C" w14:textId="1C776C7C" w:rsidR="00022E10" w:rsidRPr="00594155" w:rsidRDefault="004D6FA9" w:rsidP="00022E10">
      <w:pPr>
        <w:pStyle w:val="NormalHanging12a"/>
      </w:pPr>
      <w:r>
        <w:t>U</w:t>
      </w:r>
      <w:r w:rsidR="00022E10" w:rsidRPr="00594155">
        <w:t>.</w:t>
      </w:r>
      <w:r w:rsidR="00022E10" w:rsidRPr="00594155">
        <w:tab/>
        <w:t>ker je Odbor za peticije član evropske mreže varuhov človekovih pravic, ki vključuje tudi Evropskega varuha človekovih pravic, nacionalne in regionalne varuhe človekovih pravic ter podobne organe držav članic, držav kandidatk in drugih držav Evropskega gospodarskega prostora, njen namen pa je spodbujati izmenjavo informacij o pravu in politiki EU ter izmenjavo primerov dobre prakse;</w:t>
      </w:r>
    </w:p>
    <w:p w14:paraId="763EADB7" w14:textId="77777777" w:rsidR="00022E10" w:rsidRPr="00594155" w:rsidRDefault="00022E10" w:rsidP="00022E10">
      <w:pPr>
        <w:pStyle w:val="NormalHanging12a"/>
      </w:pPr>
      <w:r w:rsidRPr="00594155">
        <w:t>1.</w:t>
      </w:r>
      <w:r w:rsidRPr="00594155">
        <w:tab/>
        <w:t>poudarja, da ima Odbor za peticije osrednjo vlogo pri varovanju in spodbujanju pravic državljanov in prebivalcev EU tako, da pravočasno, učinkovito in ustrezno preučuje pomisleke in pritožbe vlagateljev, jih obvešča o sprejetih ukrepih in napredku v zvezi z njihovimi peticijami; opozarja, da se vse peticije obravnavajo v odprtem, demokratičnem in preglednem postopku;</w:t>
      </w:r>
    </w:p>
    <w:p w14:paraId="011A0DC1" w14:textId="07E024AB" w:rsidR="00BE5027" w:rsidRDefault="00BE5027" w:rsidP="00022E10">
      <w:pPr>
        <w:pStyle w:val="NormalHanging12a"/>
        <w:rPr>
          <w:bCs/>
          <w:iCs/>
        </w:rPr>
      </w:pPr>
      <w:r w:rsidRPr="00613E03">
        <w:rPr>
          <w:bCs/>
          <w:iCs/>
        </w:rPr>
        <w:t>2.</w:t>
      </w:r>
      <w:r w:rsidRPr="00613E03">
        <w:rPr>
          <w:bCs/>
          <w:iCs/>
        </w:rPr>
        <w:tab/>
        <w:t xml:space="preserve">izreka pohvalo Odboru za peticije za poglavitno delo, ki ga je opravil v zvezi s peticijami o polotoku Akamas, ki je območje z največjo biotsko raznovrstnostjo na Cipru in v zvezi s katerim že desetletja vedno znova prihaja do sistematičnih kršitev </w:t>
      </w:r>
      <w:r w:rsidRPr="00613E03">
        <w:rPr>
          <w:bCs/>
          <w:iCs/>
        </w:rPr>
        <w:lastRenderedPageBreak/>
        <w:t>direktive o habitatih</w:t>
      </w:r>
      <w:r>
        <w:rPr>
          <w:rStyle w:val="FootnoteReference"/>
          <w:bCs/>
          <w:iCs/>
        </w:rPr>
        <w:footnoteReference w:id="2"/>
      </w:r>
      <w:r w:rsidRPr="00613E03">
        <w:rPr>
          <w:bCs/>
          <w:iCs/>
        </w:rPr>
        <w:t xml:space="preserve"> in direktive o pticah</w:t>
      </w:r>
      <w:r>
        <w:rPr>
          <w:rStyle w:val="FootnoteReference"/>
          <w:bCs/>
          <w:iCs/>
        </w:rPr>
        <w:footnoteReference w:id="3"/>
      </w:r>
      <w:r w:rsidRPr="00613E03">
        <w:rPr>
          <w:bCs/>
          <w:iCs/>
        </w:rPr>
        <w:t>, kar je posledica tega, da na splošno ni učinkovitih in pravno zavezujočih ukrepov za zaščito tega območja, pa tudi glede na nedavne načrte, ki so jih predložili ciprski pristojni organi, ki bodo imeli uničujoče posledice za zelo občutljive naravne ekosisteme na tem območju in so v nasprotju z okoljsko zakonodajo EU; poudarja, da se je Komisija 13. marca 2024 na podlagi dela, ki ga je v zvezi s to zadevo opravil Odbor za peticije, odločila proti Cipru vložiti tožbo pred Sodiščem Evropske unije, ker ciprski organi ne spoštujejo direktive o habitatih; obžaluje, da Komisija skoraj leto dni, odkar je sprejela to odločitev, zadeve še kar ni predložila Sodišču Evropske unije in torej ni uradno začela sodnega postopka;</w:t>
      </w:r>
    </w:p>
    <w:p w14:paraId="198F19D2" w14:textId="2058AD28" w:rsidR="00BE5027" w:rsidRDefault="004D6FA9" w:rsidP="00022E10">
      <w:pPr>
        <w:pStyle w:val="NormalHanging12a"/>
        <w:rPr>
          <w:bCs/>
          <w:iCs/>
        </w:rPr>
      </w:pPr>
      <w:r>
        <w:rPr>
          <w:bCs/>
          <w:iCs/>
        </w:rPr>
        <w:t>3</w:t>
      </w:r>
      <w:r w:rsidR="00BE5027" w:rsidRPr="00BE5027">
        <w:rPr>
          <w:bCs/>
          <w:iCs/>
        </w:rPr>
        <w:t>.</w:t>
      </w:r>
      <w:r w:rsidR="00BE5027" w:rsidRPr="00BE5027">
        <w:rPr>
          <w:bCs/>
          <w:iCs/>
        </w:rPr>
        <w:tab/>
        <w:t>izpostavlja ključno delo, ki ga je Odbor za peticije opravil v zvezi z zaščito pravic delavcev v javnem sektorju v Italiji pred diskriminacijo in zlorabo pogodb o zaposlitvi za določen čas; ceni, da je Komisija pri odločitvi, da bo proti Italiji sprožila postopek pred Sodiščem Evropske unije, ker ta v nasprotju z Direktivo Sveta 1999/70/ES ni odpravila zlorabe pogodb o zaposlitvi za določen čas in diskriminatornih zaposlitvenih pogojev, ustrezno upoštevala zelo zanesljive pravne dokumente, ki so jih predložili vlagatelji peticij in jih je Odbor za peticije skrbno preučil na različnih sejah;</w:t>
      </w:r>
    </w:p>
    <w:p w14:paraId="089A11AF" w14:textId="57D25D6D" w:rsidR="00BE5027" w:rsidRPr="00613E03" w:rsidRDefault="004D6FA9" w:rsidP="00022E10">
      <w:pPr>
        <w:pStyle w:val="NormalHanging12a"/>
        <w:rPr>
          <w:bCs/>
          <w:iCs/>
        </w:rPr>
      </w:pPr>
      <w:r>
        <w:rPr>
          <w:bCs/>
          <w:iCs/>
        </w:rPr>
        <w:t>4</w:t>
      </w:r>
      <w:r w:rsidR="00BE5027" w:rsidRPr="00BE5027">
        <w:rPr>
          <w:bCs/>
          <w:iCs/>
        </w:rPr>
        <w:t>.</w:t>
      </w:r>
      <w:r w:rsidR="00BE5027" w:rsidRPr="00BE5027">
        <w:rPr>
          <w:bCs/>
          <w:iCs/>
        </w:rPr>
        <w:tab/>
        <w:t>izreka pohvalo odboru PETI za obravnavo peticije št. 1168/2023, ki jo je vložil Mihai Igna v imenu združenja Skupaj prinašamo blaginjo in v kateri poziva k vrnitvi romunskega nacionalnega bogastva in zgodovinskih arhivov, ki so trenutno v Rusiji; poudarja izjemen zgodovinski pomen te razprave za vse države članice, ki so bile skozi zgodovino prizadete zaradi ruskega plenjenja, zlasti v povezavi s sedanjo vojno v Ukrajini, saj izpostavlja širše izzive, povezane z ohranjanjem kulture in varstvom nacionalne dediščine v času geopolitičnih konfliktov; poudarja, da angažma odbora PETI pri tem vprašanju dokazuje, da je zavezan spoštovanju pravic državljanov in držav članic EU ter zaščiti zgodovinske dediščine Romunije in podpiranju njenih legitimnih zahtev na mednarodnem prizorišču; opozarja, da je bila nato sprejeta resolucija plenarnega zasedanja o vrnitvi romunskega nacionalnega bogastva, ki si ga je nezakonito prilastila Rusija</w:t>
      </w:r>
      <w:r w:rsidR="00BE5027">
        <w:rPr>
          <w:rStyle w:val="FootnoteReference"/>
          <w:bCs/>
          <w:iCs/>
        </w:rPr>
        <w:footnoteReference w:id="4"/>
      </w:r>
      <w:r w:rsidR="00BE5027" w:rsidRPr="00BE5027">
        <w:rPr>
          <w:bCs/>
          <w:iCs/>
        </w:rPr>
        <w:t>;</w:t>
      </w:r>
    </w:p>
    <w:p w14:paraId="24DC29A4" w14:textId="319542C8" w:rsidR="00022E10" w:rsidRPr="00594155" w:rsidRDefault="00C447EA" w:rsidP="00022E10">
      <w:pPr>
        <w:pStyle w:val="NormalHanging12a"/>
      </w:pPr>
      <w:r>
        <w:t>5</w:t>
      </w:r>
      <w:r w:rsidR="00022E10" w:rsidRPr="00594155">
        <w:t>.</w:t>
      </w:r>
      <w:r w:rsidR="00022E10" w:rsidRPr="00594155">
        <w:tab/>
        <w:t>ponovno poudarja, da je pomembna stalna javna razprava o področjih delovanja EU, da bi bili državljani pravilno seznanjeni s področji pristojnosti Unije in različnimi ravnmi odločanja; poziva k okrepljeni strukturirani informacijski in komunikacijski kampanji na ravni</w:t>
      </w:r>
      <w:r w:rsidR="00BE5027" w:rsidRPr="00BE5027">
        <w:t xml:space="preserve">, ki bi se izvedla brez dodatnih stroškov (torej z uporabo sedanjih virov pisarn Evropskega parlamenta za stike) v vseh uradnih jezikih EU, v sodelovanju z </w:t>
      </w:r>
      <w:r w:rsidR="00022E10" w:rsidRPr="00594155">
        <w:t xml:space="preserve">nevladnimi organizacijami in izobraževalnimi ustanovami, da bi povečali ozaveščenost državljanov iz vseh držav članic o pravicah do peticij, pri čemer bi obravnavali tudi podeželske in prikrajšane skupnosti ter marginalizirane skupine, pa tudi oddaljene otoke in regije; predlaga razširitev prizadevanj za ozaveščanje </w:t>
      </w:r>
      <w:r w:rsidR="00BE5027" w:rsidRPr="00BE5027">
        <w:t>brez dodatnih stroškov</w:t>
      </w:r>
      <w:r w:rsidR="00BE5027">
        <w:t xml:space="preserve"> </w:t>
      </w:r>
      <w:r w:rsidR="00022E10" w:rsidRPr="00594155">
        <w:t xml:space="preserve">prek družbenih medijev in dogodkov v lokalnih skupnostih; poudarja potrebo po </w:t>
      </w:r>
      <w:r w:rsidR="00BE5027" w:rsidRPr="00BE5027">
        <w:t xml:space="preserve">širši ozaveščenosti javnosti in </w:t>
      </w:r>
      <w:r w:rsidR="00022E10" w:rsidRPr="00594155">
        <w:t xml:space="preserve">obsežnejših kampanjah za ozaveščanje, z aktivno udeležbo služb za komunikacijo, ki bodo pripomogle k večji ozaveščenosti državljanov o njihovi pravici nasloviti peticijo, pa tudi o področjih odgovornosti Unije in pristojnostih Odbora za </w:t>
      </w:r>
      <w:r w:rsidR="00022E10" w:rsidRPr="00594155">
        <w:lastRenderedPageBreak/>
        <w:t>peticije, da bi se zmanjšalo število nedopustnih peticij in okrepilo sodelovanje državljanov v postopku odločanja; priporoča izboljšanje digitalne dostopnosti portala za peticije, tudi s prilagoditvami za invalide in kakovostnejšimi prevodi v vse uradne jezike EU; priporoča, naj se preuči potencial obstoječih orodij IT za povečanje podpore državljanom na portalu, tudi s preusmeritvijo možnosti na ustrezne pritožbene mehanizme;</w:t>
      </w:r>
    </w:p>
    <w:p w14:paraId="2D3646A8" w14:textId="462FB185" w:rsidR="00022E10" w:rsidRPr="00594155" w:rsidRDefault="00C447EA" w:rsidP="00022E10">
      <w:pPr>
        <w:pStyle w:val="NormalHanging12a"/>
      </w:pPr>
      <w:r>
        <w:t>6</w:t>
      </w:r>
      <w:r w:rsidR="00022E10" w:rsidRPr="00594155">
        <w:t>.</w:t>
      </w:r>
      <w:r w:rsidR="00022E10" w:rsidRPr="00594155">
        <w:tab/>
        <w:t>opozarja na evropsko razsežnost Odbora za peticije, na katerega se lahko obrnejo državljani iz vseh 27 držav članic v zvezi z vprašanji, ki spadajo na področje uporabe Pogodb EU in prava EU; meni, da je odbor posebej odgovoren za to, da se ohranja evropska razsežnost ter da se državljanom pokaže dodana vrednost evropske enotnosti in povezanosti;</w:t>
      </w:r>
      <w:r w:rsidR="00BE5027">
        <w:t xml:space="preserve"> </w:t>
      </w:r>
      <w:r w:rsidR="00BE5027" w:rsidRPr="00BE5027">
        <w:t>poudarja, da mora evropska razsežnost temeljiti na solidarnosti, spodbujanju socialnih in ekonomskih pravic, zaščiti manjšinskih jezikov in kultur ter dejavnem boju proti podnebnim spremembam;</w:t>
      </w:r>
    </w:p>
    <w:p w14:paraId="164158DA" w14:textId="2EBA245E" w:rsidR="00022E10" w:rsidRPr="00594155" w:rsidRDefault="00C447EA" w:rsidP="00022E10">
      <w:pPr>
        <w:pStyle w:val="NormalHanging12a"/>
      </w:pPr>
      <w:r>
        <w:t>7</w:t>
      </w:r>
      <w:r w:rsidR="00022E10" w:rsidRPr="00594155">
        <w:t>.</w:t>
      </w:r>
      <w:r w:rsidR="00022E10" w:rsidRPr="00594155">
        <w:tab/>
        <w:t>poudarja, da so peticije za Parlament in druge institucije EU edinstvena priložnost, da se neposredno povežejo z državljani EU in z njimi ohranjajo reden dialog, zlasti v primerih, ko so prizadeti zaradi napačne uporabe ali kršitve prava EU; poudarja, da morajo institucije EU ter nacionalni, regionalni in lokalni organi pri preiskavah v zvezi z izvajanjem prava EU in skladnostjo z njim tesneje sodelovati; meni, da je to sodelovanje ključno za obravnavanje in reševanje pomislekov državljanov glede uporabe zakonodaje EU ter da prispeva k povečanju demokratične legitimnosti in odgovornosti Unije; zato poziva k udeležbi predstavnikov držav članic na sejah odbora in pravočasnim podrobnim odgovorom na zaprosila za pojasnilo ali informacije, ki jih Odbor za peticije pošlje nacionalnim organom;</w:t>
      </w:r>
      <w:r w:rsidR="00BE5027">
        <w:t xml:space="preserve"> </w:t>
      </w:r>
      <w:r w:rsidR="00BE5027" w:rsidRPr="00BE5027">
        <w:t>ugotavlja, da je bilo v letu 2023 prejetih več peticij, ki obravnavajo strukturne razlike med skupinami prebivalstva, vključno s plačami in pokojninami; poziva, naj se ta vprašanja sistematično analizirajo in obravnavajo z usklajenim ukrepanjem v sodelovanju z ustreznimi odbori in Komisijo; poziva, naj se izboljšata zaščita in podpora posameznikov, ki so izpostavljeni zlorabam ali izključevanju in se soočajo z ovirami pri dostopu do ustreznih podpornih mehanizmov in pravnega varstva;</w:t>
      </w:r>
    </w:p>
    <w:p w14:paraId="63FA510D" w14:textId="3611F6F3" w:rsidR="00022E10" w:rsidRPr="00594155" w:rsidRDefault="00C447EA" w:rsidP="00022E10">
      <w:pPr>
        <w:pStyle w:val="NormalHanging12a"/>
      </w:pPr>
      <w:r>
        <w:t>8</w:t>
      </w:r>
      <w:r w:rsidR="00022E10" w:rsidRPr="00594155">
        <w:t>.</w:t>
      </w:r>
      <w:r w:rsidR="00022E10" w:rsidRPr="00594155">
        <w:tab/>
        <w:t>opozarja, da peticije znatno prispevajo k izvrševanju vloge Komisije kot varuhinje Pogodb, saj državljanom ponujajo dodatno orodje za obveščanje o domnevnih kršitvah prava EU; poudarja, da je za uspešno obravnavo peticij bistveno konstruktivno sodelovanje med Odborom za peticije in Komisijo s pravočasnimi in podrobnimi odgovori, ki jih Komisija pripravi na podlagi podrobnega pregleda vprašanj v peticijah;</w:t>
      </w:r>
    </w:p>
    <w:p w14:paraId="15043FDC" w14:textId="6A3BA915" w:rsidR="00022E10" w:rsidRPr="00594155" w:rsidRDefault="00C447EA" w:rsidP="00022E10">
      <w:pPr>
        <w:pStyle w:val="NormalHanging12a"/>
      </w:pPr>
      <w:r>
        <w:t>9</w:t>
      </w:r>
      <w:r w:rsidR="00022E10" w:rsidRPr="00594155">
        <w:t>.</w:t>
      </w:r>
      <w:r w:rsidR="00022E10" w:rsidRPr="00594155">
        <w:tab/>
        <w:t xml:space="preserve">ponovno poziva Komisijo, naj zagotovi pravna pojasnila o ključnih merilih, na katerih temelji njen strateški pristop k izvrševanju prava EU, in Odbor za peticije redno obvešča o razvoju postopkov za ugotavljanje kršitev in poskrbi, da bo Odbor za peticije imel dostop do vseh ustreznih dokumentov o mehanizmu EU Pilot, postopkih za ugotavljanje kršitev in zakonodajnih pobudah, ki so bili sproženi na podlagi prejetih peticij, ter o postopkih v mehanizmu EU Pilot; meni, da bi večja preglednost in redno poročanje Komisije o tekočih postopkih za ugotavljanje kršitev koristila odboru pri nadaljnjem ukrepanju v zvezi z odprtimi peticijami; pozdravlja nedavno pobudo Komisije, da se peticije vključijo v sistem iskanja v registru kršitev Komisije; poudarja, da je pomembno, da Komisija pravočasno preuči peticije in opozori na kršitve pravic, ki vplivajo na veliko število državljanov in prebivalcev v EU, ter se po potrebi posvetuje z ustreznim nacionalnim varuhom človekovih pravic; izraža zaskrbljenost zaradi načina, na katerega Komisija obravnava nekatere postopke za ugotavljanje kršitev proti državam članicam, vključno s tistimi, ki so povezani z vprašanji iz številnih peticij; </w:t>
      </w:r>
      <w:r w:rsidR="00022E10" w:rsidRPr="00594155">
        <w:lastRenderedPageBreak/>
        <w:t>spodbuja Komisijo, naj sprejme vse potrebne ukrepe za izboljšanje preglednosti in učinkovitosti upravljanja postopkov za ugotavljanje kršitev, ki jih državljani lahko dojemajo kot nepregledne;</w:t>
      </w:r>
    </w:p>
    <w:p w14:paraId="5F12901F" w14:textId="0DD27E8C" w:rsidR="00022E10" w:rsidRDefault="00C447EA" w:rsidP="00022E10">
      <w:pPr>
        <w:pStyle w:val="NormalHanging12a"/>
      </w:pPr>
      <w:r>
        <w:t>10</w:t>
      </w:r>
      <w:r w:rsidR="00022E10" w:rsidRPr="00594155">
        <w:t>.</w:t>
      </w:r>
      <w:r w:rsidR="00022E10" w:rsidRPr="00594155">
        <w:tab/>
        <w:t>poziva Komisijo, naj oceni, ali nacionalni organi sprejemajo potrebne ukrepe, da bi se odzvali na pomisleke, ki jih državljani izražajo v svojih peticijah glede primerov neskladnosti s pravom EU, in naj po potrebi začne postopke za ugotavljanje kršitev; poudarja, da je pravočasno in proaktivno ukrepanje Komisije v primerih kršitev prava EU ključno za preprečevanje takšnih kršitev, ki bi lahko ogrozile zaupanje državljanov v evropske institucije in postale sistemske narave;</w:t>
      </w:r>
    </w:p>
    <w:p w14:paraId="388FA049" w14:textId="12074DB8" w:rsidR="00BE5027" w:rsidRPr="00594155" w:rsidRDefault="00C447EA" w:rsidP="00022E10">
      <w:pPr>
        <w:pStyle w:val="NormalHanging12a"/>
      </w:pPr>
      <w:r>
        <w:t>11</w:t>
      </w:r>
      <w:r w:rsidR="00BE5027" w:rsidRPr="00BE5027">
        <w:t>.</w:t>
      </w:r>
      <w:r w:rsidR="00BE5027" w:rsidRPr="00BE5027">
        <w:tab/>
        <w:t>želi spomniti, da je svoboda izražanja eden temeljnih stebrov evropske demokracije; obsoja vse poskuse cenzuriranja, marginalizacije ali ustrahovanja državljanov ali njihovih izvoljenih predstavnikov na podlagi njihovega političnega prepričanja; poudarja tudi, da je spoštovanje rezultatov volitev na nacionalni in evropski ravni bistveno za ohranjanje zaupanja državljanov v demokratični proces;</w:t>
      </w:r>
    </w:p>
    <w:p w14:paraId="662FCDC0" w14:textId="5F4D7442" w:rsidR="00022E10" w:rsidRDefault="00C447EA" w:rsidP="00022E10">
      <w:pPr>
        <w:pStyle w:val="NormalHanging12a"/>
      </w:pPr>
      <w:r>
        <w:t>12</w:t>
      </w:r>
      <w:r w:rsidR="00022E10" w:rsidRPr="00594155">
        <w:t>.</w:t>
      </w:r>
      <w:r w:rsidR="00022E10" w:rsidRPr="00594155">
        <w:tab/>
        <w:t>podarja, da mora Odbor za peticije tesneje in aktivneje sodelovati z državami članicami, da bi se čim prej obravnavale peticije, na katere morajo nacionalni organi takoj odgovoriti in se odzvati; opozarja, da bi lahko zapozneli odzivi držav članic vplivali na pravočasno reševanje vprašanj, na katere so opozorili državljani, in na negativne posledice za reševanje kršitev prava Unije; ugotavlja, da bi morale države članice zagotoviti odgovore na peticije v zahtevanem trimesečnem roku; poudarja, da bi boljše usklajevanje in dialog omogočila učinkovitejšo obravnavo pomislekov državljanov, preprečila nepotrebne zamude in okrepila učinkovitost postopka vlaganja peticij;</w:t>
      </w:r>
    </w:p>
    <w:p w14:paraId="32E27573" w14:textId="136CF331" w:rsidR="00BE5027" w:rsidRPr="00594155" w:rsidRDefault="00C447EA" w:rsidP="00022E10">
      <w:pPr>
        <w:pStyle w:val="NormalHanging12a"/>
      </w:pPr>
      <w:r>
        <w:t>13</w:t>
      </w:r>
      <w:r w:rsidR="00BE5027" w:rsidRPr="00BE5027">
        <w:t>.</w:t>
      </w:r>
      <w:r w:rsidR="00BE5027" w:rsidRPr="00BE5027">
        <w:tab/>
        <w:t>z zaskrbljenostjo ugotavlja, da pristojni izobraževalni organi še vedno ne izvajajo vseh priporočil, ki jih je Odbor za peticije podal v poročilu z dne 19. marca 2024 po misiji v Kataloniji, zlasti tistih v zvezi z varstvom jezikovnih pravic za vse študente in njihove družine; globoko obžaluje napetosti, s katerimi so se člani odbora srečali med obiskom v Barceloni od 18. do 20. decembra 2023, in poziva k spoštljivemu dialogu in sodelovanju med vsemi deležniki, da bodo lahko demokratične institucije opravile svoje naloge v ozračju medsebojnega spoštovanja in razumevanja;</w:t>
      </w:r>
    </w:p>
    <w:p w14:paraId="52F52C72" w14:textId="3971F90B" w:rsidR="00022E10" w:rsidRPr="00594155" w:rsidRDefault="00C447EA" w:rsidP="00022E10">
      <w:pPr>
        <w:pStyle w:val="NormalHanging12a"/>
        <w:rPr>
          <w:b/>
          <w:i/>
        </w:rPr>
      </w:pPr>
      <w:r>
        <w:t>14</w:t>
      </w:r>
      <w:r w:rsidR="00022E10" w:rsidRPr="00594155">
        <w:t>.</w:t>
      </w:r>
      <w:r w:rsidR="00022E10" w:rsidRPr="00594155">
        <w:rPr>
          <w:b/>
          <w:i/>
        </w:rPr>
        <w:tab/>
      </w:r>
      <w:r w:rsidR="00022E10" w:rsidRPr="00594155">
        <w:t>odločno obsoja nadlegovanje in ustrahovanje uradnih članov delegacije Odbora za peticije med obiskom za ugotavljanje dejstev v Barceloni od 18. do 20. decembra 2023, da bi na kraju samem ocenili model potopitve jezika v Kataloniji, njegove učinke na družine, ki se preselijo v avtonomno skupnost in tam prebivajo, pa tudi na večjezičnost in nediskriminacijo ter načelo pravne države;</w:t>
      </w:r>
    </w:p>
    <w:p w14:paraId="5DF8F375" w14:textId="6682847D" w:rsidR="00022E10" w:rsidRPr="00594155" w:rsidRDefault="00C447EA" w:rsidP="00022E10">
      <w:pPr>
        <w:pStyle w:val="NormalHanging12a"/>
        <w:rPr>
          <w:b/>
          <w:i/>
        </w:rPr>
      </w:pPr>
      <w:r>
        <w:t>15</w:t>
      </w:r>
      <w:r w:rsidR="00022E10" w:rsidRPr="00594155">
        <w:t>.</w:t>
      </w:r>
      <w:r w:rsidR="00022E10" w:rsidRPr="00594155">
        <w:tab/>
        <w:t>obžaluje, da pristojni izobraževalni organi v regiji niso izvedli priporočil, ki jih je Odbor za peticije po misiji podal v svojem poročilu z dne 19. marca 2024, da bi zaščitili jezikovne pravice študentov in njihovih družin;</w:t>
      </w:r>
    </w:p>
    <w:p w14:paraId="32A0B449" w14:textId="3821958A" w:rsidR="00022E10" w:rsidRPr="00594155" w:rsidRDefault="00C447EA" w:rsidP="00022E10">
      <w:pPr>
        <w:pStyle w:val="NormalHanging12a"/>
      </w:pPr>
      <w:r>
        <w:t>16</w:t>
      </w:r>
      <w:r w:rsidR="00022E10" w:rsidRPr="00594155">
        <w:t>.</w:t>
      </w:r>
      <w:r w:rsidR="00022E10" w:rsidRPr="00594155">
        <w:tab/>
        <w:t>opozarja, da je zbirka podatkov e-Petitions bistveno notranje orodje, ki članom Odbora za peticije omogoča, da dostopajo do vseh potrebnih informacij za spremljanje stanja posamezne peticije in sprejmejo odločitve o obravnavanju peticij na podlagi informacij; ugotavlja, da ima zbirka podatkov e-Petitions pomembno vlogo tudi pri komunikaciji z vlagatelji;</w:t>
      </w:r>
    </w:p>
    <w:p w14:paraId="5A3113C2" w14:textId="7B7298B6" w:rsidR="00022E10" w:rsidRPr="00594155" w:rsidRDefault="00C447EA" w:rsidP="00022E10">
      <w:pPr>
        <w:pStyle w:val="NormalHanging12a"/>
      </w:pPr>
      <w:r>
        <w:t>17</w:t>
      </w:r>
      <w:r w:rsidR="00022E10" w:rsidRPr="00594155">
        <w:t>.</w:t>
      </w:r>
      <w:r w:rsidR="00022E10" w:rsidRPr="00594155">
        <w:tab/>
        <w:t xml:space="preserve">želi spomniti na zavezo Komisije, da bo s Parlamentom oblikovala medinstitucionalno informacijsko orodje, ki bo namenjeno izmenjavi informacij in dokumentov o vseh </w:t>
      </w:r>
      <w:r w:rsidR="00022E10" w:rsidRPr="00594155">
        <w:lastRenderedPageBreak/>
        <w:t>nadaljnjih ukrepih v zvezi s peticijami, kot so postopki za ugotavljanje kršitev, zakonodajni predlogi ali odgovori nacionalnih organov, s čimer bi se povečali preglednost in učinkovitost pri obravnavanju peticij, to pa bi v širšem okviru prispevalo k zaupanju državljanov v institucije EU in evropski projekt;</w:t>
      </w:r>
    </w:p>
    <w:p w14:paraId="27CFDF02" w14:textId="76596631" w:rsidR="00022E10" w:rsidRPr="00594155" w:rsidRDefault="00C447EA" w:rsidP="00022E10">
      <w:pPr>
        <w:pStyle w:val="NormalHanging12a"/>
      </w:pPr>
      <w:r>
        <w:t>18</w:t>
      </w:r>
      <w:r w:rsidR="00022E10" w:rsidRPr="00594155">
        <w:t>.</w:t>
      </w:r>
      <w:r w:rsidR="00022E10" w:rsidRPr="00594155">
        <w:tab/>
        <w:t>poudarja, da je za celovito obravnavanje peticij bistveno sodelovanje z drugimi parlamentarnimi odbori</w:t>
      </w:r>
      <w:r w:rsidR="00BE5027" w:rsidRPr="00BE5027">
        <w:t>, pri čemer je treba posebno pozornost nameniti peticijam o enakosti spolov, raznolikosti družin, okoljski pravičnosti in jezikovnih pravicah manjšin</w:t>
      </w:r>
      <w:r w:rsidR="00022E10" w:rsidRPr="00594155">
        <w:t>; ugotavlja, da je bilo v letu 2023 drugim odborom poslanih 34 zaprosil za mnenje (ki ustrezajo 31 peticijam) in 223 zaprosil za informacije; ugotavlja, da je bilo od 34 zaprosil za mnenje do konca leta 2023 prejetih le 25 odgovorov (v 14 primerih je bilo podano mnenje, v 10 primerih se je odbor odločil, da mnenja ne pripravi, v štirih primerih pa uradna odločitev ni bila sporočena);</w:t>
      </w:r>
      <w:r w:rsidR="00022E10" w:rsidRPr="00594155">
        <w:rPr>
          <w:color w:val="FF0000"/>
        </w:rPr>
        <w:t xml:space="preserve"> </w:t>
      </w:r>
      <w:r w:rsidR="00022E10" w:rsidRPr="00594155">
        <w:t>želi spomniti, da so vlagatelji peticij obveščeni o odločitvah, da se bo v okviru obravnave njihovih peticij za mnenje zaprosilo druge odbore; poudarja, da bi morali parlamentarni odbori aktivneje prispevati k preučevanju peticij z zagotavljanjem svojega strokovnega znanja ter Parlamentu tako omogočati hitrejši in celovitejši odziv na pomisleke državljanov;</w:t>
      </w:r>
    </w:p>
    <w:p w14:paraId="6CAB07EC" w14:textId="5EB24B2D" w:rsidR="00022E10" w:rsidRPr="00594155" w:rsidRDefault="00C447EA" w:rsidP="00022E10">
      <w:pPr>
        <w:pStyle w:val="NormalHanging12a"/>
      </w:pPr>
      <w:r>
        <w:t>19</w:t>
      </w:r>
      <w:r w:rsidR="00022E10" w:rsidRPr="00594155">
        <w:t>.</w:t>
      </w:r>
      <w:r w:rsidR="00022E10" w:rsidRPr="00594155">
        <w:tab/>
        <w:t xml:space="preserve">meni, da je mreža za peticije koristno orodje, ki olajšuje nadaljnjo obravnavo peticij pri parlamentarnem in zakonodajnem delu; je prepričan, da so redne seje mreže za peticije ključne za zagotavljanje večje prepoznavnosti dejavnosti Odbora za peticije in boljše razumevanje njegovega dela in poslanstva ter za okrepitev sodelovanja z drugimi parlamentarnimi odbori; </w:t>
      </w:r>
    </w:p>
    <w:p w14:paraId="785BCB69" w14:textId="78FAF468" w:rsidR="00022E10" w:rsidRPr="00594155" w:rsidRDefault="00C447EA" w:rsidP="00022E10">
      <w:pPr>
        <w:pStyle w:val="NormalHanging12a"/>
      </w:pPr>
      <w:r>
        <w:t>20</w:t>
      </w:r>
      <w:r w:rsidR="00022E10" w:rsidRPr="00594155">
        <w:t>.</w:t>
      </w:r>
      <w:r w:rsidR="00022E10" w:rsidRPr="00594155">
        <w:tab/>
        <w:t>poudarja, da je Odbor za peticije svoje stališče o pomembnih vprašanjih iz peticij izrazil s sprejetjem poročila o izidu razprav v Odboru za peticije v letu 2022</w:t>
      </w:r>
      <w:r w:rsidR="00022E10" w:rsidRPr="00594155">
        <w:rPr>
          <w:rStyle w:val="FootnoteReference"/>
        </w:rPr>
        <w:footnoteReference w:id="5"/>
      </w:r>
      <w:r w:rsidR="00022E10" w:rsidRPr="00594155">
        <w:t>;</w:t>
      </w:r>
    </w:p>
    <w:p w14:paraId="749783E3" w14:textId="4E7F2BAC" w:rsidR="00022E10" w:rsidRPr="00594155" w:rsidRDefault="00C447EA" w:rsidP="00022E10">
      <w:pPr>
        <w:pStyle w:val="NormalHanging12a"/>
      </w:pPr>
      <w:r>
        <w:t>21</w:t>
      </w:r>
      <w:r w:rsidR="00022E10" w:rsidRPr="00594155">
        <w:t>.</w:t>
      </w:r>
      <w:r w:rsidR="00022E10" w:rsidRPr="00594155">
        <w:tab/>
        <w:t>poudarja, da se je v primerjavi z letom 2022 nekoliko zmanjšalo število peticij o zunanjih odnosih; meni, da bi bilo to lahko zaradi novih geopolitičnih razmer v letu 2023 in zlasti zaradi zmanjšanja števila peticij v zvezi z vojno v Ukrajini in znatnega povečanja števila peticij v zvezi z novimi konflikti na Bližnjem vzhodu; meni, da je Odbor za peticije med drugim upošteval pomisleke državljanov glede sankcij, varnosti, reševanja konfliktov, vizumske politike in napredka držav kandidatk za članstvo v EU ter na dnevni red uvrstil več peticij, ki so se nanašale zlasti na položaj beguncev, zlasti otrok, in položaj venezuelskih beguncev v EU; priznava prizadevanja odborov, ki že dejavno obravnavajo ta vprašanja, in poudarja, da bi morala Odbor za zunanje zadeve in Odbor za državljanske svoboščine, pravosodje in notranje zadeve v svojih razpravah upoštevati te peticije;</w:t>
      </w:r>
    </w:p>
    <w:p w14:paraId="73AB8855" w14:textId="7FBB42EB" w:rsidR="00022E10" w:rsidRPr="00594155" w:rsidRDefault="00C447EA" w:rsidP="00022E10">
      <w:pPr>
        <w:pStyle w:val="NormalHanging12a"/>
      </w:pPr>
      <w:r>
        <w:t>22</w:t>
      </w:r>
      <w:r w:rsidR="00022E10" w:rsidRPr="00594155">
        <w:t>.</w:t>
      </w:r>
      <w:r w:rsidR="00022E10" w:rsidRPr="00594155">
        <w:tab/>
        <w:t>ugotavlja, da je zdravje, ki je bilo v letu 2022 ena od glavnih skrbi vlagateljev peticij, očitno imelo pomembno vlogo tudi v letu 2023; zlasti ugotavlja, da je Odbor za peticije preučil in obravnaval peticije v zvezi s prepovedjo kemikalij in težkih kovin v otroških igračah, podporo zdravim in okolju prijaznim prehranskim sistemom in načinom življenja ter z izvajanjem predpisov EU o dodanih sladkorjih v živilih, namenjenih dojenčkom in majhnim otrokom;</w:t>
      </w:r>
    </w:p>
    <w:p w14:paraId="169A223D" w14:textId="520C19B2" w:rsidR="00022E10" w:rsidRPr="00594155" w:rsidRDefault="00C447EA" w:rsidP="00022E10">
      <w:pPr>
        <w:pStyle w:val="NormalHanging12a"/>
      </w:pPr>
      <w:r>
        <w:t>23</w:t>
      </w:r>
      <w:r w:rsidR="00022E10" w:rsidRPr="00594155">
        <w:t>.</w:t>
      </w:r>
      <w:r w:rsidR="00022E10" w:rsidRPr="00594155">
        <w:tab/>
        <w:t xml:space="preserve">opozarja na znatno število predloženih in obravnavanih peticij v zvezi s pomisleki državljanov glede ponovne uvedbe mejnih kontrol med nekaterimi državami članicami, </w:t>
      </w:r>
      <w:r w:rsidR="00022E10" w:rsidRPr="00594155">
        <w:lastRenderedPageBreak/>
        <w:t>ki so opozorili na problematični vidik omejitve prostega gibanja oseb v EU in druge vidike, kot so prednosti in slabosti razširitve schengenskega območja</w:t>
      </w:r>
      <w:r w:rsidR="00BE5027" w:rsidRPr="00BE5027">
        <w:t>; želi spomniti, da lahko države članice ponovno uvedejo nadzor na notranjih mejah</w:t>
      </w:r>
      <w:r w:rsidR="00BE5027">
        <w:rPr>
          <w:rStyle w:val="FootnoteReference"/>
        </w:rPr>
        <w:footnoteReference w:id="6"/>
      </w:r>
      <w:r w:rsidR="00BE5027" w:rsidRPr="00BE5027">
        <w:t xml:space="preserve"> v primeru resne grožnje javnemu redu ali notranji varnosti ali v izjemnih okoliščinah, ki ogrožajo splošno delovanje</w:t>
      </w:r>
      <w:r w:rsidR="00022E10" w:rsidRPr="00594155">
        <w:t xml:space="preserve"> schengenskega območja; se zaveda pomembne vloge Odbora za peticije, zlasti različnih dejavnosti, ki jih je izvedel, sprejetja kratkega predloga resolucije o pristopu k schengenskemu območju dne 27. junija 2023 in z njo povezane resolucije Parlamenta, naj močno podpre širitev schengenskega območja, da bi vključevalo Romunijo in Bolgarijo, ter organizacije javne predstavitve mnenj o schengenskih mejah dne 18. julija 2023 skupaj z Odborom za državljanske svoboščine, pravosodje in notranje zadeve; pozdravlja soglasno odločitev Sveta o popolnem vstopu obeh držav v schengensko območje od 1. januarja 2025, kar bo omogočilo polno uveljavljanje temeljnih svoboščin enotnega trga EU;</w:t>
      </w:r>
      <w:r w:rsidR="00BE5027">
        <w:t xml:space="preserve"> </w:t>
      </w:r>
      <w:r w:rsidR="00BE5027" w:rsidRPr="00BE5027">
        <w:t>poudarja, da je bila odločitev, s katero se je državama članicama preprečila pridružitev schengenskemu območju, čeprav sta izpolnjevali vse potrebne zahteve, diskriminatorna in ni bila pravno upravičena ter je močno prizadela številne državljane EU;</w:t>
      </w:r>
    </w:p>
    <w:p w14:paraId="32202D4B" w14:textId="35429BF4" w:rsidR="00022E10" w:rsidRPr="00594155" w:rsidRDefault="00C447EA" w:rsidP="00022E10">
      <w:pPr>
        <w:pStyle w:val="NormalHanging12a"/>
        <w:rPr>
          <w:b/>
          <w:i/>
        </w:rPr>
      </w:pPr>
      <w:r>
        <w:t>24</w:t>
      </w:r>
      <w:r w:rsidR="00022E10" w:rsidRPr="00594155">
        <w:t>.</w:t>
      </w:r>
      <w:r w:rsidR="00022E10" w:rsidRPr="00594155">
        <w:rPr>
          <w:b/>
          <w:i/>
        </w:rPr>
        <w:tab/>
      </w:r>
      <w:r w:rsidR="00022E10" w:rsidRPr="00594155">
        <w:t>je seznanjen z nenadnim povečanjem števila peticij španskega izvora v drugem polletju 2023 v zvezi s tveganji za pravno državo v Španiji, ki so posledica namere španske vlade, da sprejme zakon o amnestiji, ki je v nasprotju z ustavnim in evropskim pravom;</w:t>
      </w:r>
      <w:r w:rsidR="00BE5027">
        <w:t xml:space="preserve"> </w:t>
      </w:r>
      <w:r w:rsidR="00BE5027" w:rsidRPr="00BE5027">
        <w:t>obžaluje napade španske vlade na pravno državo in delitev oblasti;</w:t>
      </w:r>
    </w:p>
    <w:p w14:paraId="17765364" w14:textId="5765B4C2" w:rsidR="00022E10" w:rsidRPr="00594155" w:rsidRDefault="00C447EA" w:rsidP="00022E10">
      <w:pPr>
        <w:pStyle w:val="NormalHanging12a"/>
      </w:pPr>
      <w:r>
        <w:t>25</w:t>
      </w:r>
      <w:r w:rsidR="00022E10" w:rsidRPr="00594155">
        <w:t>.</w:t>
      </w:r>
      <w:r w:rsidR="00022E10" w:rsidRPr="00594155">
        <w:tab/>
        <w:t>poudarja delo Odbora za peticije v zvezi s peticijami, ki so se nanašale na skupna pravila glede enotnega standarda za dimenzije ročne prtljage, pri čemer opozarja na pomisleke, ki so jih izrazili državljani v zvezi z nevšečnostjo in nelagodjem zaradi nedoslednih pravil letalskih družb o ročni prtljagi, ter na prikrite stroške, ki ob tem nastanejo; opozarja na svoj poziv k upoštevanju zadevne sodbe Sodišča Evropske unije v okviru revizije zakonodaje EU o letalskih prevozih; v zvezi s tem opozarja na kratek predlog resolucije o standardnih merah za ročno prtljago, ki ga je Odbor za peticije sprejel 20. septembra 2023 in ki mu je 4. oktobra 2023 sledilo sprejetje resolucije z enim samim glasovanjem Evropskega parlamenta; pozdravlja dejstvo, da je Komisija novembra 2023 predložila pregled okvira za pravice potnikov in vrsto predlogov za boljšo izkušnjo potnikov, vključno z zahtevo za določitev nekaterih skupnih mer in tež, da bi se zmanjšala zmeda; z obžalovanjem ugotavlja, da invalidni potniki med potovanjem še vedno naletijo na preveč ovir, zlasti v primeru multimodalnih potovanj; obžaluje, da sistemi javnega prevoza številnih držav članic ne izpolnjujejo zahtev Konvencije Združenih narodov o pravicah invalidov;</w:t>
      </w:r>
    </w:p>
    <w:p w14:paraId="3169DF32" w14:textId="73D45D80" w:rsidR="00022E10" w:rsidRPr="00594155" w:rsidRDefault="00C447EA" w:rsidP="00022E10">
      <w:pPr>
        <w:pStyle w:val="NormalHanging12a"/>
      </w:pPr>
      <w:r>
        <w:t>26</w:t>
      </w:r>
      <w:r w:rsidR="00022E10" w:rsidRPr="00594155">
        <w:t>.</w:t>
      </w:r>
      <w:r w:rsidR="00022E10" w:rsidRPr="00594155">
        <w:tab/>
        <w:t xml:space="preserve">ugotavlja, da so bila med resnimi pomisleki, izraženimi v peticijah v letu 2023, še vedno okoljska vprašanja, saj se je nanje nanašalo več kot 21 % peticij; ugotavlja, da se nekatere od teh peticij nanašajo na nepravilno izvajanje zakonodaje EU v državah članicah in da so bili proti nekaterim državam članicam zaradi kršitev okoljskega prava EU že uvedeni postopki za ugotavljanje kršitev; ugotavlja, da se vlagatelji v številnih peticijah pritožujejo zaradi kakovosti zraka, obremenitve s hrupom, ravnanja z odpadki in njihove obdelave, slabšanja stanja naravnih ekosistemov in kršitev direktive o habitatih v različnih državah članicah; želi spomniti na javno predstavitev mnenj o stanju izvajanja direktive o habitatih, ki je bila organizirana 24. maja 2023; ugotavlja, </w:t>
      </w:r>
      <w:r w:rsidR="00022E10" w:rsidRPr="00594155">
        <w:lastRenderedPageBreak/>
        <w:t>da je Odbor za peticije v letu 2023 nadaljeval delo v zvezi z vplivom podnebnih sprememb na različnih področjih, in sicer ne le na okoljskem področju, temveč tudi na področju rabe zemljišč, ter na dnevni red uvrstil številne prejete peticije o tej temi; želi spomniti na delavnico o vplivu podnebnih sprememb na socialno varnost in najbolj ranljive skupine, organizirano 22. marca 2023, ter na predstavitev študije o povrnitvi škode žrtvam nesreč zaradi podnebnih sprememb, ki je potekala 18. julija 2023;</w:t>
      </w:r>
    </w:p>
    <w:p w14:paraId="45A46006" w14:textId="3513EE56" w:rsidR="00022E10" w:rsidRPr="00594155" w:rsidRDefault="00C447EA" w:rsidP="00022E10">
      <w:pPr>
        <w:pStyle w:val="NormalHanging12a"/>
      </w:pPr>
      <w:r>
        <w:t>27</w:t>
      </w:r>
      <w:r w:rsidR="00022E10" w:rsidRPr="00594155">
        <w:t>.</w:t>
      </w:r>
      <w:r w:rsidR="00022E10" w:rsidRPr="00594155">
        <w:tab/>
        <w:t>želi spomniti na delavnico, ki jo je 25. januarja 2023 organiziral Odbor za peticije o preglednosti določanja cen in povračil za zdravila, na kateri se je razpravljalo o preglednosti z vidika pacientov in potrošnikov, proizvajalcev zdravil ter akademskih raziskav; ugotavlja, da so bili v središču razprav stroški raziskav in razvoja za podjetja ter razpoložljive informacije o cenah, plačanih za zdravila, kar poudarja pomen preglednosti glede teh vprašanj;</w:t>
      </w:r>
    </w:p>
    <w:p w14:paraId="4E049E5F" w14:textId="58AB3660" w:rsidR="00022E10" w:rsidRPr="00594155" w:rsidRDefault="00C447EA" w:rsidP="00022E10">
      <w:pPr>
        <w:pStyle w:val="NormalHanging12a"/>
      </w:pPr>
      <w:r>
        <w:t>28</w:t>
      </w:r>
      <w:r w:rsidR="00022E10" w:rsidRPr="00594155">
        <w:t>.</w:t>
      </w:r>
      <w:r w:rsidR="00022E10" w:rsidRPr="00594155">
        <w:tab/>
        <w:t>poudarja, da je pomembno izpolniti pričakovanja državljanov EU glede varstva okolja, in poziva Komisijo, naj skupaj z državami članicami poskrbi za to, da se bo zakonodaja EU na področju okolja pravilno izvajala, zlasti na področju nezakonite sečnje; opozarja na peticije o okoljskih vprašanjih, ki odražajo vse večjo zaskrbljenost javnosti zaradi posledic podnebnih sprememb, zaradi česar morajo Komisija in države članice dosledno izvrševati obstoječo okoljsko zakonodajo EU;</w:t>
      </w:r>
      <w:r w:rsidR="00633377">
        <w:t xml:space="preserve"> </w:t>
      </w:r>
      <w:r w:rsidR="00633377" w:rsidRPr="00633377">
        <w:t>poudarja, da je enako pomembno kot izpolnjevanje pričakovanj državljanov EU glede varstva okolja tudi to, da se upoštevajo dejanske gospodarske razmere v posameznih državah članicah; poudarja, da pretirano pravno urejanje negativno vpliva na gospodarstva v vzponu; zato poudarja, da bi morala imeti vsaka država članica možnost odločanja o svojem procesu prehoda in da okoljska zakonodaja ne bi smela ovirati gospodarske konkurenčnosti;</w:t>
      </w:r>
    </w:p>
    <w:p w14:paraId="223C7456" w14:textId="3B51F89C" w:rsidR="00022E10" w:rsidRPr="00594155" w:rsidRDefault="00C447EA" w:rsidP="00022E10">
      <w:pPr>
        <w:pStyle w:val="NormalHanging12a"/>
        <w:rPr>
          <w:b/>
          <w:i/>
        </w:rPr>
      </w:pPr>
      <w:r>
        <w:t>29</w:t>
      </w:r>
      <w:r w:rsidR="00022E10" w:rsidRPr="00594155">
        <w:t>.</w:t>
      </w:r>
      <w:r w:rsidR="00022E10" w:rsidRPr="00594155">
        <w:rPr>
          <w:b/>
          <w:i/>
        </w:rPr>
        <w:tab/>
      </w:r>
      <w:r w:rsidR="00022E10" w:rsidRPr="00594155">
        <w:t>priznava pozitivne učinke, ki jih je imel obisk za ugotavljanje dejstev v Romuniji od 15. do 18. maja 2023 na upravljanje in zaščito populacije rjavega medveda; vendar z obžalovanjem ugotavlja, da je še vedno preveč nesreč s smrtnim izidom med ljudmi in živino, ki jih povzroči rjavi medved, zaradi česar sta potrebna nadaljnje spremljanje in sodelovanje z nacionalnimi organi;</w:t>
      </w:r>
      <w:r w:rsidR="00633377">
        <w:t xml:space="preserve"> </w:t>
      </w:r>
      <w:r w:rsidR="00633377" w:rsidRPr="00633377">
        <w:t>poudarja, da bi morali biti zaščita človeških življenj in varnost vedno na prvem mestu;</w:t>
      </w:r>
    </w:p>
    <w:p w14:paraId="0447C836" w14:textId="52BB5C8D" w:rsidR="00022E10" w:rsidRPr="00594155" w:rsidRDefault="00C447EA" w:rsidP="00022E10">
      <w:pPr>
        <w:pStyle w:val="NormalHanging12a"/>
        <w:rPr>
          <w:b/>
          <w:i/>
        </w:rPr>
      </w:pPr>
      <w:r>
        <w:t>30</w:t>
      </w:r>
      <w:r w:rsidR="00022E10" w:rsidRPr="00594155">
        <w:t>.</w:t>
      </w:r>
      <w:r w:rsidR="00022E10" w:rsidRPr="00594155">
        <w:rPr>
          <w:b/>
          <w:i/>
        </w:rPr>
        <w:tab/>
      </w:r>
      <w:r w:rsidR="00022E10" w:rsidRPr="00594155">
        <w:t>po obisku za ugotavljanje dejstev v Romuniji poudarja potrebo po ravnovesju med zaščito prostoživečih živali in rastlin ter varnostjo državljanov; poudarja, da bi bilo treba vsaki državi članici omogočiti, da sprejme ukrepe, tudi z nadzorom populacije vrst, da bi preprečila ogrožanje življenj in premoženja svojih državljanov;</w:t>
      </w:r>
    </w:p>
    <w:p w14:paraId="50D85F3C" w14:textId="6E6B7A13" w:rsidR="00022E10" w:rsidRPr="00594155" w:rsidRDefault="00C447EA" w:rsidP="00022E10">
      <w:pPr>
        <w:pStyle w:val="NormalHanging12a"/>
      </w:pPr>
      <w:r>
        <w:t>31</w:t>
      </w:r>
      <w:r w:rsidR="00022E10" w:rsidRPr="00594155">
        <w:t>.</w:t>
      </w:r>
      <w:r w:rsidR="00022E10" w:rsidRPr="00594155">
        <w:tab/>
        <w:t xml:space="preserve">poudarja zavezanost Odbora za peticije varstvu pravic invalidov; želi spomniti na letno delavnico o pravicah invalidov, ki jo je Odbor za peticije organiziral 29. novembra 2023; želi spomniti, da je bil prvi del delavnice osredotočen na to, kako so se invalidi spoprijemali z nedavnimi krizami (cene energije, vojna, visoka inflacija) in kako so ukrepi EU pomagali premagati te ovire, drugi del pa se je nanašal na vprašanje, kako so evropske institucije vzpostavile vključujočo komunikacijo z državljani, ki so invalidi; v zvezi s tem poudarja tudi, da je Odbor za peticije 29. novembra 2023 sprejel mnenje v obliki pisma o uvedbi evropske kartice ugodnosti za invalide in evropske parkirne karte za invalide; </w:t>
      </w:r>
      <w:r w:rsidR="00633377" w:rsidRPr="00633377">
        <w:t xml:space="preserve">poudarja, da je dostop invalidov do prejemkov socialne varnosti v nacionalni pristojnosti in v okviru sistemov socialnega usklajevanja ter da bi bilo treba spore reševati in spoštovati z vzpostavljenimi sodnimi mehanizmi in njihovimi pristojnostmi z obveznostjo izčrpanja pravnih sredstev, ne pa z neposrednim posredovanjem Komisije, ob spoštovanju načela subsidiarnosti; </w:t>
      </w:r>
      <w:r w:rsidR="00022E10" w:rsidRPr="00594155">
        <w:t xml:space="preserve">v zvezi s tem poudarja tudi, da je nujno potreben popoln in dosleden prenos evropskega akta o dostopnosti, in </w:t>
      </w:r>
      <w:r w:rsidR="00022E10" w:rsidRPr="00594155">
        <w:lastRenderedPageBreak/>
        <w:t>poziva države članice, naj se izogibajo nadaljnjim zamudam, ki kratijo pravice invalidov; opozarja, da je namen akta o dostopnosti izboljšati življenje vsaj 87 milijonov invalidov in jim med drugim olajšati dostop do javnega prevoza, bančnih storitev, računalnikov, televizije, e-knjig in spletnih trgovin;</w:t>
      </w:r>
    </w:p>
    <w:p w14:paraId="17CA73AA" w14:textId="5B88FC09" w:rsidR="00022E10" w:rsidRPr="00594155" w:rsidRDefault="00C447EA" w:rsidP="00022E10">
      <w:pPr>
        <w:pStyle w:val="NormalHanging12a"/>
      </w:pPr>
      <w:r>
        <w:t>32</w:t>
      </w:r>
      <w:r w:rsidR="00022E10" w:rsidRPr="00594155">
        <w:t>.</w:t>
      </w:r>
      <w:r w:rsidR="00022E10" w:rsidRPr="00594155">
        <w:tab/>
        <w:t xml:space="preserve">poudarja, kako pomemben je prispevek Odbora za peticije k varstvu pravic invalidov, ki je razviden iz obravnave številnih peticij o tej občutljivi temi; v zvezi s tem priznava prizadevanja služb Parlamenta in ugotavlja, da je treba najti najboljšo tehnično, pa tudi najbolj dostopno rešitev za gluhe državljane, da bi z njimi komunicirali v njihovem maternem jeziku in v nacionalnih znakovnih jezikih; zahteva spremembo Poslovnika v tesnem sodelovanju z Odborom za ustavne zadeve, da bi odpravili </w:t>
      </w:r>
      <w:r w:rsidR="00621815" w:rsidRPr="00621815">
        <w:t xml:space="preserve">obvezno izključno </w:t>
      </w:r>
      <w:r w:rsidR="00022E10" w:rsidRPr="00594155">
        <w:t xml:space="preserve">pisno komunikacijo z </w:t>
      </w:r>
      <w:r w:rsidR="00621815" w:rsidRPr="00621815">
        <w:t>državljani, ki so uporabniki znakovnega jezika, gluhi ali naglušni, tako da bodo lahko med postopkom na zahtevo uporabljali svoj znakovni jezik</w:t>
      </w:r>
      <w:r w:rsidR="00022E10" w:rsidRPr="00594155">
        <w:t>; v zvezi s tem poudarja tudi, da je Odbor za peticije 29. novembra 2023 sprejel mnenje v obliki pisma o uvedbi evropske kartice ugodnosti za invalide in evropske parkirne karte za invalide;</w:t>
      </w:r>
    </w:p>
    <w:p w14:paraId="4CC405B1" w14:textId="3139DB82" w:rsidR="00022E10" w:rsidRPr="00594155" w:rsidRDefault="00C447EA" w:rsidP="00022E10">
      <w:pPr>
        <w:pStyle w:val="NormalHanging12a"/>
      </w:pPr>
      <w:r>
        <w:t>33</w:t>
      </w:r>
      <w:r w:rsidR="00022E10" w:rsidRPr="00594155">
        <w:t>.</w:t>
      </w:r>
      <w:r w:rsidR="00022E10" w:rsidRPr="00594155">
        <w:tab/>
        <w:t>poleg tega poudarja, da ima Odbor za peticije zaradi svoje zmožnosti, da prisluhne peticijam, posebno zaščitno vlogo v EU v okviru konvencije OZN o pravicah invalidov in poudarja pomembno tekoče delo odbora v zvezi s peticijami o vprašanjih v zvezi z invalidnostjo; medtem ko ugotavlja, da se je število peticij o invalidnosti v letu 2023 nekoliko zmanjšalo v primerjavi z letom 2022, poudarja, da se je v primerjavi z letom 2021 to število skoraj podvojilo; poudarja tudi, da sta glavna izziva, s katerima se srečujejo invalidi, še vedno diskriminacija ter dostop do javnega prevoza in zaposlovanja, ter poudarja posebno pozornost, ki jo je odbor namenil zahtevi, naj se v evropskem statutu o invalidnosti priznajo pravice oseb z avtizmom; pozdravlja sprejetje kratkega predloga resolucije o uskladitvi pravic oseb z avtizmom, v katerem je poudarjena potreba po večji dostopnosti diagnosticiranja, zdravstvenega varstva, izobraževanja, zaposlovanja, dostopnosti in razumne prilagoditve, pravne sposobnosti ter vseživljenjske podpore v skupnosti, tudi v zvezi s kulturo in športom; poleg tega opozarja na posebno vlogo Odbora za peticije pri varstvu pravic otrok in njihovih staršev ter se zaveda številnih prejetih peticij o otrokovih pravicah, ki zahtevajo posebno pozornost in ukrepanje; v zvezi s tem opozarja na določbe Listine EU o temeljnih pravicah, zlasti na člen 24 o otrokovih pravicah, da se vsakemu otroku omogoči ohranjanje osebnih odnosov in neposrednih stikov z obema staršema, razen če je to v nasprotju z njegovimi koristmi; ponovno poudarja tudi tveganje, da so družine z avtističnimi otroki tarča ponudbe nedokazanih, potencialno škodljivih in nezakonitih terapij in posegov, ki lahko pomenijo hudo fizično zlorabo otrok;</w:t>
      </w:r>
    </w:p>
    <w:p w14:paraId="171B3557" w14:textId="13A6D5D5" w:rsidR="00022E10" w:rsidRPr="00594155" w:rsidRDefault="00C447EA" w:rsidP="00022E10">
      <w:pPr>
        <w:pStyle w:val="NormalHanging12a"/>
        <w:rPr>
          <w:rFonts w:eastAsia="Calibri"/>
        </w:rPr>
      </w:pPr>
      <w:r>
        <w:t>34</w:t>
      </w:r>
      <w:r w:rsidR="00022E10" w:rsidRPr="00594155">
        <w:t>.</w:t>
      </w:r>
      <w:r w:rsidR="00022E10" w:rsidRPr="00594155">
        <w:tab/>
        <w:t>opozarja, da so odnosi z evropskim varuhom človekovih pravic ena od obveznosti, ki jih Odboru za peticije nalaga poslovnik Parlamenta; pozdravlja konstruktivno sodelovanje Parlamenta z evropsko varuhinjo človekovih pravic, s katero si Odbor za peticije deli cilje glede preglednosti, strokovnosti in integritete institucij EU v odnosu do evropskih državljanov, ter njegovo sodelovanje v evropski mreži varuhov človekovih pravic;</w:t>
      </w:r>
      <w:r w:rsidR="00621815">
        <w:t xml:space="preserve"> </w:t>
      </w:r>
      <w:r w:rsidR="00621815" w:rsidRPr="00621815">
        <w:t>poudarja, da je treba okrepiti sodelovanje z evropsko varuhinjo človekovih pravic, da bi zagotovili hiter, nepristranski in pregleden odziv na pritožbe državljanov zaradi kakršnega koli upravnega nepravilnega delovanja v institucijah EU;</w:t>
      </w:r>
    </w:p>
    <w:p w14:paraId="09D9FC83" w14:textId="02660A6C" w:rsidR="00022E10" w:rsidRPr="00594155" w:rsidRDefault="00C447EA" w:rsidP="00022E10">
      <w:pPr>
        <w:pStyle w:val="NormalHanging12a"/>
        <w:rPr>
          <w:b/>
          <w:i/>
        </w:rPr>
      </w:pPr>
      <w:r>
        <w:t>35</w:t>
      </w:r>
      <w:r w:rsidR="00022E10" w:rsidRPr="00594155">
        <w:t>.</w:t>
      </w:r>
      <w:r w:rsidR="00022E10" w:rsidRPr="00594155">
        <w:rPr>
          <w:b/>
          <w:i/>
        </w:rPr>
        <w:tab/>
      </w:r>
      <w:r w:rsidR="00022E10" w:rsidRPr="00594155">
        <w:t xml:space="preserve">poudarja ključno delo, ki ga je Odbor za peticije opravil na področju varstva pravic delavcev; poudarja, da so več prejetim peticijam na tem področju sledili nadaljnji ukrepi, kot sta razprava o uporabi pogodb za določen čas in peticija o pobudi evropskih državljanov z naslovom </w:t>
      </w:r>
      <w:r w:rsidR="00022E10" w:rsidRPr="00594155">
        <w:rPr>
          <w:i/>
          <w:iCs/>
        </w:rPr>
        <w:t>Good Clothes, Fair Pay</w:t>
      </w:r>
      <w:r w:rsidR="00022E10" w:rsidRPr="00594155">
        <w:t xml:space="preserve"> (Kakovostna oblačila, pravično </w:t>
      </w:r>
      <w:r w:rsidR="00022E10" w:rsidRPr="00594155">
        <w:lastRenderedPageBreak/>
        <w:t>plačilo), ki se osredotoča na škodljiv položaj delavcev v svetovni industriji oblačil in obutve, ali parlamentarno vprašanje za ustni odgovor o delovnih pogojih učiteljev v Evropski uniji, ki temelji tudi na peticiji, prejeti na to temo; ponovno poudarja, kako pomembno je zagotoviti poštene delovne pogoje in večjo zaščito delavcev v EU, ter poziva države članice in Komisijo, naj učinkovito obravnavajo pomisleke iz peticij v zvezi s pravicami delavcev in sindikati;</w:t>
      </w:r>
      <w:r w:rsidR="00022E10" w:rsidRPr="00594155">
        <w:rPr>
          <w:b/>
          <w:i/>
        </w:rPr>
        <w:t> </w:t>
      </w:r>
    </w:p>
    <w:p w14:paraId="0AB8E005" w14:textId="1FAA93FF" w:rsidR="00022E10" w:rsidRPr="00594155" w:rsidRDefault="00C447EA" w:rsidP="00022E10">
      <w:pPr>
        <w:pStyle w:val="NormalHanging12a"/>
        <w:rPr>
          <w:b/>
          <w:i/>
        </w:rPr>
      </w:pPr>
      <w:r>
        <w:t>36</w:t>
      </w:r>
      <w:r w:rsidR="00022E10" w:rsidRPr="00594155">
        <w:t>.</w:t>
      </w:r>
      <w:r w:rsidR="00022E10" w:rsidRPr="00594155">
        <w:rPr>
          <w:b/>
          <w:i/>
        </w:rPr>
        <w:tab/>
      </w:r>
      <w:r w:rsidR="00022E10" w:rsidRPr="00594155">
        <w:t>opozarja na študijo Evropskega parlamenta o brezdomstvu v EU, ki jo je naročil Odbor za peticije in je bila predstavljena na seji novembra 2023; ugotavlja, da je ta študija pomembno prispevala k razumevanju tega perečega družbenega in gospodarskega izzivu, ki je ena najhujših oblik družbene izključenosti, in poudarja potrebo po spremembi javne politike, da bi preprečili brezdomstvo, med drugim z zagotavljanjem varnih in cenovno dostopnih stanovanj;</w:t>
      </w:r>
      <w:r w:rsidR="00621815">
        <w:t xml:space="preserve"> </w:t>
      </w:r>
      <w:r w:rsidR="00621815" w:rsidRPr="00621815">
        <w:t>opozarja, da nezakonitega skvoterstva ni mogoče obravnavati kot rešitev za brezdomstvo, saj je lastninska pravica zapisana v členu 17 Listine EU o temeljnih pravicah; poudarja, da bi morale države članice poiskati resnične rešitve, namesto da bi spodbujale nezakonito skvoterstvo, saj je stanovanjska politika v izključni pristojnosti držav članic;</w:t>
      </w:r>
    </w:p>
    <w:p w14:paraId="7176DCA8" w14:textId="6DFC7168" w:rsidR="00022E10" w:rsidRPr="00594155" w:rsidRDefault="00C447EA" w:rsidP="00022E10">
      <w:pPr>
        <w:pStyle w:val="NormalHanging12a"/>
        <w:rPr>
          <w:rFonts w:eastAsia="Calibri"/>
        </w:rPr>
      </w:pPr>
      <w:r>
        <w:t>37</w:t>
      </w:r>
      <w:r w:rsidR="00022E10" w:rsidRPr="00594155">
        <w:t>.</w:t>
      </w:r>
      <w:r w:rsidR="00022E10" w:rsidRPr="00594155">
        <w:tab/>
        <w:t>potrjuje, da evropska varuhinja človekovih pravic vse leto redno prispeva k delu Odbora za peticije; je trdno prepričan, da morajo institucije, organi in agencije Unije zagotoviti, da se bo na podlagi priporočil varuhinje človekovih pravic dosledno in učinkovito ukrepalo;</w:t>
      </w:r>
    </w:p>
    <w:p w14:paraId="77FC05C0" w14:textId="08979679" w:rsidR="00022E10" w:rsidRPr="00594155" w:rsidRDefault="00C447EA" w:rsidP="00022E10">
      <w:pPr>
        <w:pStyle w:val="NormalHanging12a"/>
      </w:pPr>
      <w:r>
        <w:t>38</w:t>
      </w:r>
      <w:r w:rsidR="00022E10" w:rsidRPr="00594155">
        <w:t>.</w:t>
      </w:r>
      <w:r w:rsidR="00022E10" w:rsidRPr="00594155">
        <w:tab/>
        <w:t>poudarja, da je evropska državljanska pobuda pomemben instrument aktivnega državljanstva in udeležbe javnosti; pozdravlja dejstvo, da so na nekaterih sejah potekale razprave o nekaterih neuspešnih evropskih državljanskih pobudah, ki so bile nato včasih preoblikovane v peticije, s čimer so državljani dobili priložnost, da so predstavili svoje zamisli in konstruktivno razpravljali, in kar je prispevalo k njihovi udeležbi v demokratičnih procesih Unije; je seznanjen, da je Komisija v letu 2023 registrirala znatno število novih evropskih državljanskih pobud, kar kaže, da državljani izkoriščajo možnost uporabe participativnih instrumentov, da bi imeli besedo pri oblikovanju politike in pripravi zakonodaje; poziva Komisijo, naj bolje sodeluje z državljani in ustrezno spremlja uspešne evropske državljanske pobude; pozdravlja pomembna prizadevanja, da se je skupaj z drugimi odbori sklicalo štiri javne predstavitve uspešnih evropskih državljanskih pobud, na katerih so lahko organizatorji predstavili cilje pobude ter sodelovali s poslanci Evropskega parlamenta in predstavniki Evropske komisije; poudarja, da je zaveza Komisije, da se bo odzvala na veljavne evropske državljanske pobude, bistvena za ohranjanje zaupanja državljanov v evropsko državljansko pobudo kot najpomembnejši instrument participativne demokracije;</w:t>
      </w:r>
    </w:p>
    <w:p w14:paraId="1A75862C" w14:textId="3A7464D1" w:rsidR="00022E10" w:rsidRPr="00594155" w:rsidRDefault="00C447EA" w:rsidP="00022E10">
      <w:pPr>
        <w:pStyle w:val="NormalHanging12a"/>
        <w:rPr>
          <w:b/>
          <w:i/>
        </w:rPr>
      </w:pPr>
      <w:r>
        <w:t>39</w:t>
      </w:r>
      <w:r w:rsidR="00022E10" w:rsidRPr="00594155">
        <w:t>.</w:t>
      </w:r>
      <w:r w:rsidR="00022E10" w:rsidRPr="00594155">
        <w:rPr>
          <w:b/>
          <w:i/>
        </w:rPr>
        <w:tab/>
      </w:r>
      <w:r w:rsidR="00022E10" w:rsidRPr="00594155">
        <w:t>poziva Komisijo, naj ustrezno upošteva resolucije Parlamenta, sprejete o evropskih državljanskih pobudah, in okrepi sodelovanje z državljani, zlasti z zagotavljanjem ustreznih in učinkovitih nadaljnjih ukrepov v zvezi z uspešnimi evropskimi državljanskimi pobudami, s čimer bi okrepili demokratični proces in zagotovili, da se glas državljanov ustrezno odraža pri oblikovanju politik EU;</w:t>
      </w:r>
    </w:p>
    <w:p w14:paraId="29A8FD5C" w14:textId="1E4C7CFF" w:rsidR="00022E10" w:rsidRPr="00594155" w:rsidRDefault="00C447EA" w:rsidP="00022E10">
      <w:pPr>
        <w:pStyle w:val="NormalHanging12a"/>
        <w:rPr>
          <w:rFonts w:eastAsia="Calibri"/>
        </w:rPr>
      </w:pPr>
      <w:r>
        <w:t>40</w:t>
      </w:r>
      <w:r w:rsidR="00022E10" w:rsidRPr="00594155">
        <w:t>.</w:t>
      </w:r>
      <w:r w:rsidR="00022E10" w:rsidRPr="00594155">
        <w:tab/>
        <w:t xml:space="preserve">poudarja, da je spletni portal Parlamenta za peticije ključno orodje za nemoten, učinkovit in pregleden postopek vlaganja peticij; v zvezi s tem pozdravlja izboljšave varstva podatkov in varnostnih elementov, zaradi katerih je portal uporabniku prijaznejši in varnejši za državljane; poudarja, da si je treba še naprej prizadevati, da bi bil portal dostopnejši, med drugim uporabnikom znakovnega jezika in invalidom; poudarja, da je spletni portal za peticije eno od najbolje obiskanih spletnih mest </w:t>
      </w:r>
      <w:r w:rsidR="00022E10" w:rsidRPr="00594155">
        <w:lastRenderedPageBreak/>
        <w:t>Evropskega parlamenta, ki je tako za številne državljane EU prva stična točka z Evropskim parlamentom;</w:t>
      </w:r>
    </w:p>
    <w:p w14:paraId="530C6ED0" w14:textId="7763F8A8" w:rsidR="00022E10" w:rsidRPr="00594155" w:rsidRDefault="00C447EA" w:rsidP="00022E10">
      <w:pPr>
        <w:pStyle w:val="NormalHanging12a"/>
      </w:pPr>
      <w:r>
        <w:t>41</w:t>
      </w:r>
      <w:r w:rsidR="00022E10" w:rsidRPr="00594155">
        <w:t>.</w:t>
      </w:r>
      <w:r w:rsidR="00022E10" w:rsidRPr="00594155">
        <w:rPr>
          <w:b/>
          <w:i/>
        </w:rPr>
        <w:tab/>
      </w:r>
      <w:r w:rsidR="00022E10" w:rsidRPr="00594155">
        <w:t>opozarja na evropsko razsežnost Odbora za peticije, na katerega se lahko obrnejo državljani iz vseh 27 držav članic v zvezi z vprašanji, ki spadajo na področje dejavnosti Unije; meni, da ima odbor posebno odgovornost, da podpira to evropsko razsežnost in državljanom pokaže dodano vrednost evropske enotnosti in povezanosti ter še naprej obravnava vprašanja, povezana s kršitvami prava EU, pa tudi vrzeli in pomanjkljivosti v določbah veljavnega prava EU; meni, da bi lahko pravočasno izogibanje peticijam z jasnimi nacionalnimi pristojnostmi, skupaj s celovitimi pojasnili in navodili o alternativnih ukrepih, kjer je to ustrezno, prispevalo h konstruktivnemu pristopu in okrepljenemu sodelovanju državljanov; v zvezi s tem meni, da bi moral Evropski parlament okrepiti svoja prizadevanja za spodbujanje vloge in dela Odbora za peticije ter povečati ozaveščenost vseh državljanov EU o možnosti, da na Evropski parlament naslovijo peticijo; opozarja, da se zaradi omejenega časa, dodeljenega sejam odborov, večina peticij obravnava po pisnem postopku; v zvezi s tem opozarja, da bi bilo treba vse prejete peticije, tudi tiste na področju mednarodnih zadev, obravnavati s potrebno preglednostjo in nepristranskostjo; meni, da bi morala izbira peticij za razpravo v odboru odražati geografsko in politično uravnoteženost prejetih vlog; poleg tega meni, da bi si bilo treba prizadevati za geografsko uravnoteženost tudi pri organizaciji obiskov odbora za ugotavljanje dejstev, in sicer vsako leto in med zakonodajnim mandatom;</w:t>
      </w:r>
    </w:p>
    <w:p w14:paraId="1F040AD7" w14:textId="514743CF" w:rsidR="00022E10" w:rsidRPr="00594155" w:rsidRDefault="00C447EA" w:rsidP="00022E10">
      <w:pPr>
        <w:pStyle w:val="NormalHanging12a"/>
      </w:pPr>
      <w:r>
        <w:t>42</w:t>
      </w:r>
      <w:r w:rsidR="00022E10" w:rsidRPr="00594155">
        <w:t>.</w:t>
      </w:r>
      <w:r w:rsidR="00022E10" w:rsidRPr="00594155">
        <w:tab/>
        <w:t>pozdravlja sprejetje kratkega predloga resolucije o ustanovitvi evropske prestolnice lokalne trgovine</w:t>
      </w:r>
      <w:r w:rsidR="00022E10" w:rsidRPr="00594155">
        <w:rPr>
          <w:rStyle w:val="FootnoteReference"/>
        </w:rPr>
        <w:footnoteReference w:id="7"/>
      </w:r>
      <w:r w:rsidR="00022E10" w:rsidRPr="00594155">
        <w:t xml:space="preserve"> na plenarnem zasedanju januarja 2023; poudarja, da je ta dosežek odličen rezultat delovanja Odbora za peticije, pri čemer ugotavlja, da je ta projekt uspešno vključen v proračun za leto 2024 kot pripravljalni ukrep s skupnim proračunom v višini 3 milijonov EUR; želi spomniti, da je projekt ustanovitve evropske prestolnice malih trgovcev na drobno (ECSR) uradno predstavila Komisija decembra 2023 v Barceloni;</w:t>
      </w:r>
    </w:p>
    <w:p w14:paraId="1D03A07A" w14:textId="360142ED" w:rsidR="00E365E1" w:rsidRPr="00594155" w:rsidRDefault="00C447EA" w:rsidP="00F14342">
      <w:pPr>
        <w:pStyle w:val="NormalHanging12a"/>
      </w:pPr>
      <w:r>
        <w:t>43</w:t>
      </w:r>
      <w:r w:rsidR="00022E10" w:rsidRPr="00594155">
        <w:t>.</w:t>
      </w:r>
      <w:r w:rsidR="00022E10" w:rsidRPr="00594155">
        <w:tab/>
        <w:t>naroči svoji predsednici, naj to resolucijo in poročilo Odbora za peticije posreduje Svetu, Komisiji, evropskemu varuhu človekovih pravic, vladam držav članic in parlamentom držav članic, njihovim odborom za peticije in njihovim varuhom človekovih pravic ali podobnim pristojnim organom.</w:t>
      </w:r>
    </w:p>
    <w:sectPr w:rsidR="00E365E1" w:rsidRPr="00594155" w:rsidSect="00FB46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4D0D7" w14:textId="77777777" w:rsidR="007B0D10" w:rsidRPr="00FB4667" w:rsidRDefault="007B0D10">
      <w:r w:rsidRPr="00FB4667">
        <w:separator/>
      </w:r>
    </w:p>
  </w:endnote>
  <w:endnote w:type="continuationSeparator" w:id="0">
    <w:p w14:paraId="352693FF" w14:textId="77777777" w:rsidR="007B0D10" w:rsidRPr="00FB4667" w:rsidRDefault="007B0D10">
      <w:r w:rsidRPr="00FB46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5EE44" w14:textId="77777777" w:rsidR="007B0D10" w:rsidRPr="00FB4667" w:rsidRDefault="007B0D10">
      <w:r w:rsidRPr="00FB4667">
        <w:separator/>
      </w:r>
    </w:p>
  </w:footnote>
  <w:footnote w:type="continuationSeparator" w:id="0">
    <w:p w14:paraId="75F2EB23" w14:textId="77777777" w:rsidR="007B0D10" w:rsidRPr="00FB4667" w:rsidRDefault="007B0D10">
      <w:r w:rsidRPr="00FB4667">
        <w:continuationSeparator/>
      </w:r>
    </w:p>
  </w:footnote>
  <w:footnote w:id="1">
    <w:p w14:paraId="3DFD586B" w14:textId="29270571" w:rsidR="00621815" w:rsidRPr="00613E03" w:rsidRDefault="00621815" w:rsidP="00613E03">
      <w:pPr>
        <w:pStyle w:val="FootnoteText"/>
        <w:ind w:left="567" w:hanging="567"/>
        <w:rPr>
          <w:sz w:val="24"/>
          <w:szCs w:val="24"/>
          <w:lang w:val="sl-SI"/>
        </w:rPr>
      </w:pPr>
      <w:r w:rsidRPr="00613E03">
        <w:rPr>
          <w:rStyle w:val="FootnoteReference"/>
          <w:sz w:val="24"/>
          <w:szCs w:val="24"/>
          <w:lang w:val="sl-SI"/>
        </w:rPr>
        <w:footnoteRef/>
      </w:r>
      <w:r w:rsidRPr="00613E03">
        <w:rPr>
          <w:sz w:val="24"/>
          <w:szCs w:val="24"/>
          <w:lang w:val="sl-SI"/>
        </w:rPr>
        <w:t xml:space="preserve"> </w:t>
      </w:r>
      <w:r w:rsidRPr="004D6FA9">
        <w:rPr>
          <w:sz w:val="24"/>
          <w:szCs w:val="24"/>
          <w:lang w:val="sl-SI"/>
        </w:rPr>
        <w:tab/>
        <w:t xml:space="preserve">UL C, C/2024/3999, 17.7.2024, ELI: </w:t>
      </w:r>
      <w:hyperlink r:id="rId1" w:history="1">
        <w:r w:rsidRPr="004D6FA9">
          <w:rPr>
            <w:rStyle w:val="Hyperlink"/>
            <w:sz w:val="24"/>
            <w:szCs w:val="24"/>
            <w:lang w:val="sl-SI"/>
          </w:rPr>
          <w:t>http://data.europa.eu/eli/C/2024/3999/oj</w:t>
        </w:r>
      </w:hyperlink>
      <w:r w:rsidRPr="004D6FA9">
        <w:rPr>
          <w:sz w:val="24"/>
          <w:szCs w:val="24"/>
          <w:lang w:val="sl-SI"/>
        </w:rPr>
        <w:t xml:space="preserve">. </w:t>
      </w:r>
    </w:p>
  </w:footnote>
  <w:footnote w:id="2">
    <w:p w14:paraId="25E0A737" w14:textId="0A76BAC9" w:rsidR="00BE5027" w:rsidRPr="00613E03" w:rsidRDefault="00BE5027" w:rsidP="004D6FA9">
      <w:pPr>
        <w:pStyle w:val="FootnoteText"/>
        <w:ind w:left="567" w:hanging="567"/>
        <w:rPr>
          <w:sz w:val="24"/>
          <w:szCs w:val="24"/>
          <w:lang w:val="sl-SI"/>
        </w:rPr>
      </w:pPr>
      <w:r w:rsidRPr="00613E03">
        <w:rPr>
          <w:rStyle w:val="FootnoteReference"/>
          <w:sz w:val="24"/>
          <w:szCs w:val="24"/>
          <w:lang w:val="sl-SI"/>
        </w:rPr>
        <w:footnoteRef/>
      </w:r>
      <w:r w:rsidRPr="00613E03">
        <w:rPr>
          <w:sz w:val="24"/>
          <w:szCs w:val="24"/>
          <w:lang w:val="sl-SI"/>
        </w:rPr>
        <w:t xml:space="preserve"> </w:t>
      </w:r>
      <w:r w:rsidRPr="00613E03">
        <w:rPr>
          <w:sz w:val="24"/>
          <w:szCs w:val="24"/>
          <w:lang w:val="sl-SI"/>
        </w:rPr>
        <w:tab/>
        <w:t xml:space="preserve">Direktiva Sveta 92/43/EGS z dne 21. maja 1992 o ohranjanju naravnih habitatov ter prosto živečih živalskih in rastlinskih vrst (UL L 206, 22.7.1992, str. </w:t>
      </w:r>
      <w:r w:rsidRPr="00613E03">
        <w:rPr>
          <w:sz w:val="24"/>
          <w:szCs w:val="24"/>
          <w:lang w:val="sl-SI"/>
        </w:rPr>
        <w:t xml:space="preserve">7, ELI: </w:t>
      </w:r>
      <w:hyperlink r:id="rId2" w:history="1">
        <w:r w:rsidRPr="00613E03">
          <w:rPr>
            <w:rStyle w:val="Hyperlink"/>
            <w:sz w:val="24"/>
            <w:szCs w:val="24"/>
            <w:lang w:val="sl-SI"/>
          </w:rPr>
          <w:t>http://data.europa.eu/eli/dir/1992/43/oj</w:t>
        </w:r>
      </w:hyperlink>
      <w:r w:rsidRPr="00613E03">
        <w:rPr>
          <w:sz w:val="24"/>
          <w:szCs w:val="24"/>
          <w:lang w:val="sl-SI"/>
        </w:rPr>
        <w:t>).</w:t>
      </w:r>
    </w:p>
  </w:footnote>
  <w:footnote w:id="3">
    <w:p w14:paraId="6400E404" w14:textId="2B6618A8" w:rsidR="00BE5027" w:rsidRPr="00613E03" w:rsidRDefault="00BE5027" w:rsidP="00613E03">
      <w:pPr>
        <w:pStyle w:val="FootnoteText"/>
        <w:tabs>
          <w:tab w:val="left" w:pos="975"/>
        </w:tabs>
        <w:ind w:left="567" w:hanging="567"/>
        <w:rPr>
          <w:sz w:val="24"/>
          <w:szCs w:val="24"/>
          <w:lang w:val="sl-SI"/>
        </w:rPr>
      </w:pPr>
      <w:r w:rsidRPr="00613E03">
        <w:rPr>
          <w:rStyle w:val="FootnoteReference"/>
          <w:sz w:val="24"/>
          <w:szCs w:val="24"/>
          <w:lang w:val="sl-SI"/>
        </w:rPr>
        <w:footnoteRef/>
      </w:r>
      <w:r w:rsidRPr="00613E03">
        <w:rPr>
          <w:sz w:val="24"/>
          <w:szCs w:val="24"/>
          <w:lang w:val="sl-SI"/>
        </w:rPr>
        <w:t xml:space="preserve"> </w:t>
      </w:r>
      <w:r w:rsidRPr="004D6FA9">
        <w:rPr>
          <w:sz w:val="24"/>
          <w:szCs w:val="24"/>
          <w:lang w:val="sl-SI"/>
        </w:rPr>
        <w:tab/>
        <w:t xml:space="preserve">Direktiva 2009/147/ES Evropskega parlamenta in Sveta z dne 30. novembra 2009 o ohranjanju prosto živečih ptic (UL L 20, 26.1.2010, str. </w:t>
      </w:r>
      <w:r w:rsidRPr="004D6FA9">
        <w:rPr>
          <w:sz w:val="24"/>
          <w:szCs w:val="24"/>
          <w:lang w:val="sl-SI"/>
        </w:rPr>
        <w:t xml:space="preserve">7, ELI: </w:t>
      </w:r>
      <w:hyperlink r:id="rId3" w:history="1">
        <w:r w:rsidRPr="004D6FA9">
          <w:rPr>
            <w:rStyle w:val="Hyperlink"/>
            <w:sz w:val="24"/>
            <w:szCs w:val="24"/>
            <w:lang w:val="sl-SI"/>
          </w:rPr>
          <w:t>http://data.europa.eu/eli/dir/2009/147/oj</w:t>
        </w:r>
      </w:hyperlink>
      <w:r w:rsidRPr="004D6FA9">
        <w:rPr>
          <w:sz w:val="24"/>
          <w:szCs w:val="24"/>
          <w:lang w:val="sl-SI"/>
        </w:rPr>
        <w:t>).</w:t>
      </w:r>
    </w:p>
  </w:footnote>
  <w:footnote w:id="4">
    <w:p w14:paraId="768DBCFF" w14:textId="011B088D" w:rsidR="00BE5027" w:rsidRPr="00613E03" w:rsidRDefault="00BE5027" w:rsidP="004D6FA9">
      <w:pPr>
        <w:pStyle w:val="FootnoteText"/>
        <w:ind w:left="567" w:hanging="567"/>
        <w:rPr>
          <w:sz w:val="24"/>
          <w:szCs w:val="24"/>
          <w:lang w:val="sl-SI"/>
        </w:rPr>
      </w:pPr>
      <w:r w:rsidRPr="00613E03">
        <w:rPr>
          <w:rStyle w:val="FootnoteReference"/>
          <w:sz w:val="24"/>
          <w:szCs w:val="24"/>
          <w:lang w:val="sl-SI"/>
        </w:rPr>
        <w:footnoteRef/>
      </w:r>
      <w:r w:rsidRPr="00613E03">
        <w:rPr>
          <w:sz w:val="24"/>
          <w:szCs w:val="24"/>
          <w:lang w:val="sl-SI"/>
        </w:rPr>
        <w:t xml:space="preserve"> </w:t>
      </w:r>
      <w:r w:rsidRPr="004D6FA9">
        <w:rPr>
          <w:sz w:val="24"/>
          <w:szCs w:val="24"/>
          <w:lang w:val="sl-SI"/>
        </w:rPr>
        <w:tab/>
      </w:r>
      <w:r w:rsidRPr="004D6FA9">
        <w:rPr>
          <w:sz w:val="24"/>
          <w:szCs w:val="24"/>
          <w:lang w:val="sl-SI"/>
        </w:rPr>
        <w:t xml:space="preserve">UL C, C/2024/6559, 12.11.2024, ELI: </w:t>
      </w:r>
      <w:hyperlink r:id="rId4" w:history="1">
        <w:r w:rsidRPr="004D6FA9">
          <w:rPr>
            <w:rStyle w:val="Hyperlink"/>
            <w:sz w:val="24"/>
            <w:szCs w:val="24"/>
            <w:lang w:val="sl-SI"/>
          </w:rPr>
          <w:t>http://data.europa.eu/eli/C/2024/6559/oj</w:t>
        </w:r>
      </w:hyperlink>
      <w:r w:rsidRPr="004D6FA9">
        <w:rPr>
          <w:sz w:val="24"/>
          <w:szCs w:val="24"/>
          <w:lang w:val="sl-SI"/>
        </w:rPr>
        <w:t xml:space="preserve">. </w:t>
      </w:r>
    </w:p>
  </w:footnote>
  <w:footnote w:id="5">
    <w:p w14:paraId="2A8B2CBF" w14:textId="23A6AB92" w:rsidR="00022E10" w:rsidRPr="004D6FA9" w:rsidRDefault="00022E10" w:rsidP="004D6FA9">
      <w:pPr>
        <w:pStyle w:val="FootnoteText"/>
        <w:ind w:left="567" w:hanging="567"/>
        <w:rPr>
          <w:sz w:val="24"/>
          <w:szCs w:val="24"/>
          <w:lang w:val="sl-SI"/>
        </w:rPr>
      </w:pPr>
      <w:r w:rsidRPr="004D6FA9">
        <w:rPr>
          <w:rStyle w:val="FootnoteReference"/>
          <w:sz w:val="24"/>
          <w:szCs w:val="24"/>
          <w:lang w:val="sl-SI"/>
        </w:rPr>
        <w:footnoteRef/>
      </w:r>
      <w:r w:rsidR="00FB4667" w:rsidRPr="004D6FA9">
        <w:rPr>
          <w:sz w:val="24"/>
          <w:szCs w:val="24"/>
          <w:lang w:val="sl-SI"/>
        </w:rPr>
        <w:t xml:space="preserve"> </w:t>
      </w:r>
      <w:r w:rsidR="00FB4667" w:rsidRPr="004D6FA9">
        <w:rPr>
          <w:sz w:val="24"/>
          <w:szCs w:val="24"/>
          <w:lang w:val="sl-SI"/>
        </w:rPr>
        <w:tab/>
      </w:r>
      <w:r w:rsidRPr="004D6FA9">
        <w:rPr>
          <w:sz w:val="24"/>
          <w:szCs w:val="24"/>
          <w:lang w:val="sl-SI"/>
        </w:rPr>
        <w:t>Parlament ga je sprejel kot resolucijo z dne 23. </w:t>
      </w:r>
      <w:r w:rsidRPr="004D6FA9">
        <w:rPr>
          <w:sz w:val="24"/>
          <w:szCs w:val="24"/>
          <w:lang w:val="sl-SI"/>
        </w:rPr>
        <w:t xml:space="preserve">novembra 2023 o izidu posvetovanj v Odboru za peticije v parlamentarnem letu 2022 </w:t>
      </w:r>
      <w:r w:rsidR="00033341" w:rsidRPr="004D6FA9">
        <w:rPr>
          <w:sz w:val="24"/>
          <w:szCs w:val="24"/>
          <w:lang w:val="sl-SI"/>
        </w:rPr>
        <w:t>(</w:t>
      </w:r>
      <w:r w:rsidRPr="004D6FA9">
        <w:rPr>
          <w:sz w:val="24"/>
          <w:szCs w:val="24"/>
          <w:lang w:val="sl-SI"/>
        </w:rPr>
        <w:t xml:space="preserve">UL C, C/2024/4220, 24.7.2024, ELI: </w:t>
      </w:r>
      <w:hyperlink r:id="rId5" w:history="1">
        <w:r w:rsidRPr="004D6FA9">
          <w:rPr>
            <w:rStyle w:val="Hyperlink"/>
            <w:sz w:val="24"/>
            <w:szCs w:val="24"/>
            <w:lang w:val="sl-SI"/>
          </w:rPr>
          <w:t>http://data.europa.eu/eli/C/2024/4220/oj</w:t>
        </w:r>
      </w:hyperlink>
      <w:r w:rsidR="00033341" w:rsidRPr="004D6FA9">
        <w:rPr>
          <w:sz w:val="24"/>
          <w:szCs w:val="24"/>
          <w:lang w:val="sl-SI"/>
        </w:rPr>
        <w:t>)</w:t>
      </w:r>
      <w:r w:rsidRPr="004D6FA9">
        <w:rPr>
          <w:sz w:val="24"/>
          <w:szCs w:val="24"/>
          <w:lang w:val="sl-SI"/>
        </w:rPr>
        <w:t>.</w:t>
      </w:r>
    </w:p>
  </w:footnote>
  <w:footnote w:id="6">
    <w:p w14:paraId="631BCC7B" w14:textId="77E440A4" w:rsidR="00BE5027" w:rsidRPr="00613E03" w:rsidRDefault="00BE5027" w:rsidP="004D6FA9">
      <w:pPr>
        <w:pStyle w:val="FootnoteText"/>
        <w:ind w:left="567" w:hanging="567"/>
        <w:rPr>
          <w:sz w:val="24"/>
          <w:szCs w:val="24"/>
          <w:lang w:val="sl-SI"/>
        </w:rPr>
      </w:pPr>
      <w:r w:rsidRPr="00613E03">
        <w:rPr>
          <w:rStyle w:val="FootnoteReference"/>
          <w:sz w:val="24"/>
          <w:szCs w:val="24"/>
          <w:lang w:val="sl-SI"/>
        </w:rPr>
        <w:footnoteRef/>
      </w:r>
      <w:r w:rsidRPr="00613E03">
        <w:rPr>
          <w:sz w:val="24"/>
          <w:szCs w:val="24"/>
          <w:lang w:val="sl-SI"/>
        </w:rPr>
        <w:t xml:space="preserve"> </w:t>
      </w:r>
      <w:r w:rsidRPr="004D6FA9">
        <w:rPr>
          <w:sz w:val="24"/>
          <w:szCs w:val="24"/>
          <w:lang w:val="sl-SI"/>
        </w:rPr>
        <w:tab/>
        <w:t xml:space="preserve">Členi 25 do 30 Uredbe (EU) 2016/399 Evropskega parlamenta in Sveta z dne 9. marca 2016 o Zakoniku Unije o pravilih, ki urejajo gibanje oseb prek meja (Zakonik o schengenskih mejah) (UL L 77, 23.3.2016, str. </w:t>
      </w:r>
      <w:r w:rsidRPr="004D6FA9">
        <w:rPr>
          <w:sz w:val="24"/>
          <w:szCs w:val="24"/>
          <w:lang w:val="sl-SI"/>
        </w:rPr>
        <w:t xml:space="preserve">1, ELI: </w:t>
      </w:r>
      <w:hyperlink r:id="rId6" w:history="1">
        <w:r w:rsidRPr="00C447EA">
          <w:rPr>
            <w:rStyle w:val="Hyperlink"/>
            <w:sz w:val="24"/>
            <w:szCs w:val="24"/>
            <w:lang w:val="sl-SI"/>
          </w:rPr>
          <w:t>http://data.europa.eu/eli/reg/2016/399/oj</w:t>
        </w:r>
      </w:hyperlink>
      <w:r w:rsidRPr="004D6FA9">
        <w:rPr>
          <w:sz w:val="24"/>
          <w:szCs w:val="24"/>
          <w:lang w:val="sl-SI"/>
        </w:rPr>
        <w:t>).</w:t>
      </w:r>
    </w:p>
  </w:footnote>
  <w:footnote w:id="7">
    <w:p w14:paraId="384077D9" w14:textId="229FB1B0" w:rsidR="00022E10" w:rsidRPr="004D6FA9" w:rsidRDefault="00022E10" w:rsidP="004D6FA9">
      <w:pPr>
        <w:pStyle w:val="FootnoteText"/>
        <w:ind w:left="567" w:hanging="567"/>
        <w:rPr>
          <w:sz w:val="24"/>
          <w:szCs w:val="24"/>
          <w:lang w:val="sl-SI"/>
        </w:rPr>
      </w:pPr>
      <w:r w:rsidRPr="004D6FA9">
        <w:rPr>
          <w:rStyle w:val="FootnoteReference"/>
          <w:sz w:val="24"/>
          <w:szCs w:val="24"/>
          <w:lang w:val="sl-SI"/>
        </w:rPr>
        <w:footnoteRef/>
      </w:r>
      <w:r w:rsidR="00FB4667" w:rsidRPr="004D6FA9">
        <w:rPr>
          <w:sz w:val="24"/>
          <w:szCs w:val="24"/>
          <w:lang w:val="sl-SI"/>
        </w:rPr>
        <w:t xml:space="preserve"> </w:t>
      </w:r>
      <w:r w:rsidR="00FB4667" w:rsidRPr="004D6FA9">
        <w:rPr>
          <w:sz w:val="24"/>
          <w:szCs w:val="24"/>
          <w:lang w:val="sl-SI"/>
        </w:rPr>
        <w:tab/>
      </w:r>
      <w:r w:rsidRPr="004D6FA9">
        <w:rPr>
          <w:sz w:val="24"/>
          <w:szCs w:val="24"/>
          <w:lang w:val="sl-SI"/>
        </w:rPr>
        <w:t>UL C 214, 16.6.2023, str.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8887096">
    <w:abstractNumId w:val="9"/>
  </w:num>
  <w:num w:numId="2" w16cid:durableId="630743090">
    <w:abstractNumId w:val="9"/>
  </w:num>
  <w:num w:numId="3" w16cid:durableId="673804133">
    <w:abstractNumId w:val="7"/>
  </w:num>
  <w:num w:numId="4" w16cid:durableId="923539640">
    <w:abstractNumId w:val="7"/>
  </w:num>
  <w:num w:numId="5" w16cid:durableId="126171724">
    <w:abstractNumId w:val="6"/>
  </w:num>
  <w:num w:numId="6" w16cid:durableId="65997252">
    <w:abstractNumId w:val="6"/>
  </w:num>
  <w:num w:numId="7" w16cid:durableId="2084598614">
    <w:abstractNumId w:val="5"/>
  </w:num>
  <w:num w:numId="8" w16cid:durableId="1594700326">
    <w:abstractNumId w:val="5"/>
  </w:num>
  <w:num w:numId="9" w16cid:durableId="1955286561">
    <w:abstractNumId w:val="4"/>
  </w:num>
  <w:num w:numId="10" w16cid:durableId="70275423">
    <w:abstractNumId w:val="4"/>
  </w:num>
  <w:num w:numId="11" w16cid:durableId="548419559">
    <w:abstractNumId w:val="8"/>
  </w:num>
  <w:num w:numId="12" w16cid:durableId="2093234298">
    <w:abstractNumId w:val="8"/>
  </w:num>
  <w:num w:numId="13" w16cid:durableId="1880584849">
    <w:abstractNumId w:val="3"/>
  </w:num>
  <w:num w:numId="14" w16cid:durableId="504707226">
    <w:abstractNumId w:val="3"/>
  </w:num>
  <w:num w:numId="15" w16cid:durableId="964458271">
    <w:abstractNumId w:val="2"/>
  </w:num>
  <w:num w:numId="16" w16cid:durableId="1847477943">
    <w:abstractNumId w:val="2"/>
  </w:num>
  <w:num w:numId="17" w16cid:durableId="1377315679">
    <w:abstractNumId w:val="1"/>
  </w:num>
  <w:num w:numId="18" w16cid:durableId="2015760913">
    <w:abstractNumId w:val="1"/>
  </w:num>
  <w:num w:numId="19" w16cid:durableId="1928880158">
    <w:abstractNumId w:val="0"/>
  </w:num>
  <w:num w:numId="20" w16cid:durableId="220287846">
    <w:abstractNumId w:val="0"/>
  </w:num>
  <w:num w:numId="21" w16cid:durableId="497960349">
    <w:abstractNumId w:val="9"/>
  </w:num>
  <w:num w:numId="22" w16cid:durableId="1220901358">
    <w:abstractNumId w:val="7"/>
  </w:num>
  <w:num w:numId="23" w16cid:durableId="1015614451">
    <w:abstractNumId w:val="6"/>
  </w:num>
  <w:num w:numId="24" w16cid:durableId="1100374868">
    <w:abstractNumId w:val="5"/>
  </w:num>
  <w:num w:numId="25" w16cid:durableId="79715946">
    <w:abstractNumId w:val="4"/>
  </w:num>
  <w:num w:numId="26" w16cid:durableId="357388651">
    <w:abstractNumId w:val="8"/>
  </w:num>
  <w:num w:numId="27" w16cid:durableId="1552185452">
    <w:abstractNumId w:val="3"/>
  </w:num>
  <w:num w:numId="28" w16cid:durableId="1799297565">
    <w:abstractNumId w:val="2"/>
  </w:num>
  <w:num w:numId="29" w16cid:durableId="794715994">
    <w:abstractNumId w:val="1"/>
  </w:num>
  <w:num w:numId="30" w16cid:durableId="1678077032">
    <w:abstractNumId w:val="0"/>
  </w:num>
  <w:num w:numId="31" w16cid:durableId="875191598">
    <w:abstractNumId w:val="9"/>
  </w:num>
  <w:num w:numId="32" w16cid:durableId="1389761615">
    <w:abstractNumId w:val="7"/>
  </w:num>
  <w:num w:numId="33" w16cid:durableId="307248459">
    <w:abstractNumId w:val="6"/>
  </w:num>
  <w:num w:numId="34" w16cid:durableId="1581330506">
    <w:abstractNumId w:val="5"/>
  </w:num>
  <w:num w:numId="35" w16cid:durableId="503907390">
    <w:abstractNumId w:val="4"/>
  </w:num>
  <w:num w:numId="36" w16cid:durableId="1671907051">
    <w:abstractNumId w:val="8"/>
  </w:num>
  <w:num w:numId="37" w16cid:durableId="1351445498">
    <w:abstractNumId w:val="3"/>
  </w:num>
  <w:num w:numId="38" w16cid:durableId="651250778">
    <w:abstractNumId w:val="2"/>
  </w:num>
  <w:num w:numId="39" w16cid:durableId="461533578">
    <w:abstractNumId w:val="1"/>
  </w:num>
  <w:num w:numId="40" w16cid:durableId="164981449">
    <w:abstractNumId w:val="0"/>
  </w:num>
  <w:num w:numId="41" w16cid:durableId="1419326070">
    <w:abstractNumId w:val="10"/>
  </w:num>
  <w:num w:numId="42" w16cid:durableId="341859160">
    <w:abstractNumId w:val="10"/>
  </w:num>
  <w:num w:numId="43" w16cid:durableId="142700237">
    <w:abstractNumId w:val="10"/>
  </w:num>
  <w:num w:numId="44" w16cid:durableId="1365137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3/2025"/>
    <w:docVar w:name="dvlangue" w:val="SL"/>
    <w:docVar w:name="dvnumam" w:val="0"/>
    <w:docVar w:name="dvpe" w:val="768.068"/>
    <w:docVar w:name="dvrapporteur" w:val="Poročevalec: "/>
    <w:docVar w:name="dvtitre" w:val="Resolucija Evropskega parlamenta z dne 22. maja 2025 o izidu posvetovanj Odbora za peticije v parlamentarnem letu 2023(2025/2027(INI))"/>
  </w:docVars>
  <w:rsids>
    <w:rsidRoot w:val="007B0D10"/>
    <w:rsid w:val="00002272"/>
    <w:rsid w:val="00022E10"/>
    <w:rsid w:val="00033341"/>
    <w:rsid w:val="00064002"/>
    <w:rsid w:val="000677B9"/>
    <w:rsid w:val="000831BA"/>
    <w:rsid w:val="000A42CC"/>
    <w:rsid w:val="000D6F2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945"/>
    <w:rsid w:val="004C0004"/>
    <w:rsid w:val="004C5D52"/>
    <w:rsid w:val="004D6FA9"/>
    <w:rsid w:val="0050519A"/>
    <w:rsid w:val="005072A1"/>
    <w:rsid w:val="00514517"/>
    <w:rsid w:val="00516473"/>
    <w:rsid w:val="00545827"/>
    <w:rsid w:val="00560270"/>
    <w:rsid w:val="00594155"/>
    <w:rsid w:val="005C2568"/>
    <w:rsid w:val="005F1B17"/>
    <w:rsid w:val="006037C0"/>
    <w:rsid w:val="00613E03"/>
    <w:rsid w:val="00621815"/>
    <w:rsid w:val="00633377"/>
    <w:rsid w:val="006631B6"/>
    <w:rsid w:val="00680577"/>
    <w:rsid w:val="006F74FA"/>
    <w:rsid w:val="00731ADD"/>
    <w:rsid w:val="00734777"/>
    <w:rsid w:val="00747932"/>
    <w:rsid w:val="00751A4A"/>
    <w:rsid w:val="00756632"/>
    <w:rsid w:val="00762C74"/>
    <w:rsid w:val="00764ACA"/>
    <w:rsid w:val="00786EC0"/>
    <w:rsid w:val="007B0D1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027"/>
    <w:rsid w:val="00BE6ADC"/>
    <w:rsid w:val="00C05BFE"/>
    <w:rsid w:val="00C23CD4"/>
    <w:rsid w:val="00C447EA"/>
    <w:rsid w:val="00C61C0C"/>
    <w:rsid w:val="00C941CB"/>
    <w:rsid w:val="00CC2357"/>
    <w:rsid w:val="00CF071A"/>
    <w:rsid w:val="00D058B8"/>
    <w:rsid w:val="00D56C11"/>
    <w:rsid w:val="00D834A0"/>
    <w:rsid w:val="00D872DF"/>
    <w:rsid w:val="00D91E21"/>
    <w:rsid w:val="00DA7FCD"/>
    <w:rsid w:val="00E365E1"/>
    <w:rsid w:val="00E6520A"/>
    <w:rsid w:val="00E820A4"/>
    <w:rsid w:val="00EB006A"/>
    <w:rsid w:val="00EB4772"/>
    <w:rsid w:val="00ED169E"/>
    <w:rsid w:val="00ED4235"/>
    <w:rsid w:val="00F04346"/>
    <w:rsid w:val="00F075DC"/>
    <w:rsid w:val="00F14342"/>
    <w:rsid w:val="00F149E9"/>
    <w:rsid w:val="00F5134D"/>
    <w:rsid w:val="00F74202"/>
    <w:rsid w:val="00F87713"/>
    <w:rsid w:val="00FB4360"/>
    <w:rsid w:val="00FB466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93407"/>
  <w15:chartTrackingRefBased/>
  <w15:docId w15:val="{2132F4C8-98AB-4587-8BC0-5C0632D8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22E10"/>
    <w:pPr>
      <w:spacing w:after="240"/>
      <w:ind w:left="567" w:hanging="567"/>
    </w:pPr>
  </w:style>
  <w:style w:type="paragraph" w:customStyle="1" w:styleId="EPComma">
    <w:name w:val="EPComma"/>
    <w:basedOn w:val="Normal"/>
    <w:uiPriority w:val="99"/>
    <w:rsid w:val="00022E10"/>
    <w:pPr>
      <w:spacing w:before="480" w:after="240"/>
    </w:pPr>
  </w:style>
  <w:style w:type="character" w:styleId="Hyperlink">
    <w:name w:val="Hyperlink"/>
    <w:basedOn w:val="DefaultParagraphFont"/>
    <w:uiPriority w:val="99"/>
    <w:unhideWhenUsed/>
    <w:rsid w:val="00022E10"/>
    <w:rPr>
      <w:color w:val="0000FF"/>
      <w:u w:val="single"/>
    </w:rPr>
  </w:style>
  <w:style w:type="character" w:customStyle="1" w:styleId="NormalHanging12aChar">
    <w:name w:val="NormalHanging12a Char"/>
    <w:basedOn w:val="DefaultParagraphFont"/>
    <w:link w:val="NormalHanging12a"/>
    <w:rsid w:val="00022E10"/>
    <w:rPr>
      <w:sz w:val="24"/>
      <w:lang w:val="sl-SI"/>
    </w:rPr>
  </w:style>
  <w:style w:type="paragraph" w:styleId="Revision">
    <w:name w:val="Revision"/>
    <w:hidden/>
    <w:uiPriority w:val="99"/>
    <w:semiHidden/>
    <w:rsid w:val="00033341"/>
    <w:rPr>
      <w:sz w:val="24"/>
      <w:lang w:val="sl-SI"/>
    </w:rPr>
  </w:style>
  <w:style w:type="character" w:styleId="UnresolvedMention">
    <w:name w:val="Unresolved Mention"/>
    <w:basedOn w:val="DefaultParagraphFont"/>
    <w:uiPriority w:val="99"/>
    <w:semiHidden/>
    <w:unhideWhenUsed/>
    <w:rsid w:val="00033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6433</Words>
  <Characters>37418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2025-05-22T13:06:00Z</dcterms:created>
  <dcterms:modified xsi:type="dcterms:W3CDTF">2025-05-22T13:06:00Z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A10-0063/2025</vt:lpwstr>
  </property>
  <property fmtid="{D5CDD505-2E9C-101B-9397-08002B2CF9AE}" pid="4" name="&lt;Type&gt;">
    <vt:lpwstr>RR</vt:lpwstr>
  </property>
</Properties>
</file>