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671" w14:paraId="625277E4" w14:textId="77777777" w:rsidTr="0010095E">
        <w:trPr>
          <w:trHeight w:hRule="exact" w:val="1418"/>
        </w:trPr>
        <w:tc>
          <w:tcPr>
            <w:tcW w:w="6804" w:type="dxa"/>
            <w:shd w:val="clear" w:color="auto" w:fill="auto"/>
            <w:vAlign w:val="center"/>
          </w:tcPr>
          <w:p w14:paraId="42575B5E" w14:textId="77777777" w:rsidR="00751A4A" w:rsidRPr="008F1671" w:rsidRDefault="004413A6" w:rsidP="0010095E">
            <w:pPr>
              <w:pStyle w:val="EPName"/>
            </w:pPr>
            <w:r w:rsidRPr="008F1671">
              <w:t>Europaparlamentet</w:t>
            </w:r>
          </w:p>
          <w:p w14:paraId="2C5900CA" w14:textId="77777777" w:rsidR="00751A4A" w:rsidRPr="008F1671" w:rsidRDefault="005F1B17" w:rsidP="005F1B17">
            <w:pPr>
              <w:pStyle w:val="EPTerm"/>
              <w:rPr>
                <w:rStyle w:val="HideTWBExt"/>
                <w:noProof w:val="0"/>
                <w:vanish w:val="0"/>
                <w:color w:val="auto"/>
              </w:rPr>
            </w:pPr>
            <w:r w:rsidRPr="008F1671">
              <w:t>2024</w:t>
            </w:r>
            <w:r w:rsidR="00817416" w:rsidRPr="008F1671">
              <w:t>-202</w:t>
            </w:r>
            <w:r w:rsidRPr="008F1671">
              <w:t>9</w:t>
            </w:r>
          </w:p>
        </w:tc>
        <w:tc>
          <w:tcPr>
            <w:tcW w:w="2268" w:type="dxa"/>
            <w:shd w:val="clear" w:color="auto" w:fill="auto"/>
          </w:tcPr>
          <w:p w14:paraId="6D7FFE7A" w14:textId="77777777" w:rsidR="00751A4A" w:rsidRPr="008F1671" w:rsidRDefault="00187494" w:rsidP="0010095E">
            <w:pPr>
              <w:pStyle w:val="EPLogo"/>
            </w:pPr>
            <w:r w:rsidRPr="008F1671">
              <w:rPr>
                <w:noProof/>
                <w:lang w:val="en-GB"/>
              </w:rPr>
              <w:drawing>
                <wp:inline distT="0" distB="0" distL="0" distR="0" wp14:anchorId="0FF0A710" wp14:editId="1E45DA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CE637C" w14:textId="77777777" w:rsidR="00D058B8" w:rsidRPr="008F1671" w:rsidRDefault="00D058B8" w:rsidP="004C5D52">
      <w:pPr>
        <w:pStyle w:val="LineTop"/>
      </w:pPr>
    </w:p>
    <w:p w14:paraId="58CB56F9" w14:textId="77777777" w:rsidR="00680577" w:rsidRPr="008F1671" w:rsidRDefault="004413A6" w:rsidP="00680577">
      <w:pPr>
        <w:pStyle w:val="EPBodyTA1"/>
      </w:pPr>
      <w:r w:rsidRPr="008F1671">
        <w:t>ANTAGNA TEXTER</w:t>
      </w:r>
    </w:p>
    <w:p w14:paraId="0BD480E0" w14:textId="77777777" w:rsidR="00D058B8" w:rsidRPr="008F1671" w:rsidRDefault="00D058B8" w:rsidP="00D058B8">
      <w:pPr>
        <w:pStyle w:val="LineBottom"/>
      </w:pPr>
    </w:p>
    <w:p w14:paraId="7260D2DC" w14:textId="7FC875AC" w:rsidR="004413A6" w:rsidRPr="008F1671" w:rsidRDefault="004413A6" w:rsidP="004413A6">
      <w:pPr>
        <w:pStyle w:val="ATHeading1"/>
      </w:pPr>
      <w:bookmarkStart w:id="0" w:name="TANumber"/>
      <w:r w:rsidRPr="008F1671">
        <w:t>P10_TA(2025)0</w:t>
      </w:r>
      <w:r w:rsidR="002A3AE9">
        <w:t>114</w:t>
      </w:r>
      <w:bookmarkEnd w:id="0"/>
    </w:p>
    <w:p w14:paraId="078638B0" w14:textId="77777777" w:rsidR="004413A6" w:rsidRPr="008F1671" w:rsidRDefault="00EF1D10" w:rsidP="004413A6">
      <w:pPr>
        <w:pStyle w:val="ATHeading2"/>
      </w:pPr>
      <w:r w:rsidRPr="008F1671">
        <w:t>Överläggningarna i utskottet för framställningar under 2023</w:t>
      </w:r>
    </w:p>
    <w:p w14:paraId="433967AB" w14:textId="77777777" w:rsidR="004413A6" w:rsidRPr="008F1671" w:rsidRDefault="004413A6" w:rsidP="004413A6">
      <w:pPr>
        <w:rPr>
          <w:i/>
          <w:vanish/>
        </w:rPr>
      </w:pPr>
      <w:r w:rsidRPr="008F1671">
        <w:rPr>
          <w:i/>
        </w:rPr>
        <w:fldChar w:fldCharType="begin"/>
      </w:r>
      <w:r w:rsidRPr="008F1671">
        <w:rPr>
          <w:i/>
        </w:rPr>
        <w:instrText xml:space="preserve"> TC"(</w:instrText>
      </w:r>
      <w:bookmarkStart w:id="1" w:name="DocNumber"/>
      <w:r w:rsidRPr="008F1671">
        <w:rPr>
          <w:i/>
        </w:rPr>
        <w:instrText>A10-0063/2025</w:instrText>
      </w:r>
      <w:bookmarkEnd w:id="1"/>
      <w:r w:rsidRPr="008F1671">
        <w:rPr>
          <w:i/>
        </w:rPr>
        <w:instrText xml:space="preserve"> - Föredragande: Gheorghe Falcă)"\l3 \n&gt; \* MERGEFORMAT </w:instrText>
      </w:r>
      <w:r w:rsidRPr="008F1671">
        <w:rPr>
          <w:i/>
        </w:rPr>
        <w:fldChar w:fldCharType="end"/>
      </w:r>
    </w:p>
    <w:p w14:paraId="0C4AD9A6" w14:textId="77777777" w:rsidR="004413A6" w:rsidRPr="008F1671" w:rsidRDefault="004413A6" w:rsidP="004413A6">
      <w:pPr>
        <w:rPr>
          <w:vanish/>
        </w:rPr>
      </w:pPr>
      <w:bookmarkStart w:id="2" w:name="Commission"/>
      <w:r w:rsidRPr="008F1671">
        <w:rPr>
          <w:vanish/>
        </w:rPr>
        <w:t>Utskottet för framställningar</w:t>
      </w:r>
      <w:bookmarkEnd w:id="2"/>
    </w:p>
    <w:p w14:paraId="2E8C7692" w14:textId="77777777" w:rsidR="004413A6" w:rsidRPr="008F1671" w:rsidRDefault="004413A6" w:rsidP="004413A6">
      <w:pPr>
        <w:rPr>
          <w:vanish/>
        </w:rPr>
      </w:pPr>
      <w:bookmarkStart w:id="3" w:name="PE"/>
      <w:r w:rsidRPr="008F1671">
        <w:rPr>
          <w:vanish/>
        </w:rPr>
        <w:t>PE768.068</w:t>
      </w:r>
      <w:bookmarkEnd w:id="3"/>
    </w:p>
    <w:p w14:paraId="5DAD7A88" w14:textId="77777777" w:rsidR="004413A6" w:rsidRPr="008F1671" w:rsidRDefault="004413A6" w:rsidP="004413A6">
      <w:pPr>
        <w:pStyle w:val="ATHeading3"/>
      </w:pPr>
      <w:bookmarkStart w:id="4" w:name="Sujet"/>
      <w:r w:rsidRPr="008F1671">
        <w:t>Europaparl</w:t>
      </w:r>
      <w:r w:rsidR="00E0335F" w:rsidRPr="008F1671">
        <w:t>amentets resolution av den 22</w:t>
      </w:r>
      <w:r w:rsidR="00BF7019" w:rsidRPr="008F1671">
        <w:t xml:space="preserve"> maj</w:t>
      </w:r>
      <w:r w:rsidRPr="008F1671">
        <w:t xml:space="preserve"> 2025 om överläggningarna i utskottet för framställningar under 2023</w:t>
      </w:r>
      <w:bookmarkEnd w:id="4"/>
      <w:r w:rsidRPr="008F1671">
        <w:t xml:space="preserve"> </w:t>
      </w:r>
      <w:bookmarkStart w:id="5" w:name="References"/>
      <w:r w:rsidRPr="008F1671">
        <w:t>(2025/2027(INI))</w:t>
      </w:r>
      <w:bookmarkEnd w:id="5"/>
    </w:p>
    <w:p w14:paraId="634295C9" w14:textId="77777777" w:rsidR="00814C79" w:rsidRPr="008F1671" w:rsidRDefault="00814C79" w:rsidP="00814C79">
      <w:pPr>
        <w:pStyle w:val="EPComma"/>
      </w:pPr>
      <w:r w:rsidRPr="008F1671">
        <w:rPr>
          <w:i/>
          <w:iCs/>
        </w:rPr>
        <w:t>Europaparlamentet utfärdar denna resolution</w:t>
      </w:r>
    </w:p>
    <w:p w14:paraId="0C792CD2" w14:textId="77777777" w:rsidR="00814C79" w:rsidRPr="008F1671" w:rsidRDefault="00814C79" w:rsidP="00814C79">
      <w:pPr>
        <w:pStyle w:val="NormalHanging12a"/>
      </w:pPr>
      <w:r w:rsidRPr="008F1671">
        <w:t>–</w:t>
      </w:r>
      <w:r w:rsidRPr="008F1671">
        <w:tab/>
        <w:t>med beaktande av sina tidigare resolutioner om resultatet av överläggningarna i utskottet för framställningar,</w:t>
      </w:r>
    </w:p>
    <w:p w14:paraId="1FB91DE0" w14:textId="77777777" w:rsidR="00814C79" w:rsidRPr="008F1671" w:rsidRDefault="00814C79" w:rsidP="00814C79">
      <w:pPr>
        <w:pStyle w:val="NormalHanging12a"/>
      </w:pPr>
      <w:r w:rsidRPr="008F1671">
        <w:t>–</w:t>
      </w:r>
      <w:r w:rsidRPr="008F1671">
        <w:tab/>
        <w:t>med beaktande av artiklarna 10 och 11 i fördraget om Europeiska unionen (EU</w:t>
      </w:r>
      <w:r w:rsidRPr="008F1671">
        <w:noBreakHyphen/>
        <w:t>fördraget),</w:t>
      </w:r>
    </w:p>
    <w:p w14:paraId="1BBBECF3" w14:textId="77777777" w:rsidR="00814C79" w:rsidRPr="008F1671" w:rsidRDefault="00814C79" w:rsidP="00814C79">
      <w:pPr>
        <w:pStyle w:val="NormalHanging12a"/>
      </w:pPr>
      <w:r w:rsidRPr="008F1671">
        <w:t>–</w:t>
      </w:r>
      <w:r w:rsidRPr="008F1671">
        <w:tab/>
        <w:t>med beaktande av artiklarna 20, 24 och 227 i fördraget om Europeiska unionens funktionssätt (EUF-fördraget) om rätten för medborgare och bosatta i EU att framföra sina problem och göra parlamentet uppmärksamt på dem,</w:t>
      </w:r>
    </w:p>
    <w:p w14:paraId="137DE033" w14:textId="77777777" w:rsidR="00814C79" w:rsidRPr="008F1671" w:rsidRDefault="00814C79" w:rsidP="00814C79">
      <w:pPr>
        <w:pStyle w:val="NormalHanging12a"/>
      </w:pPr>
      <w:r w:rsidRPr="008F1671">
        <w:t>–</w:t>
      </w:r>
      <w:r w:rsidRPr="008F1671">
        <w:tab/>
        <w:t>med beaktande av artikel 228 i EUF-fördraget om Europeiska ombudsmannens roll och uppgifter,</w:t>
      </w:r>
    </w:p>
    <w:p w14:paraId="5F0EC7A9" w14:textId="77777777" w:rsidR="00814C79" w:rsidRPr="008F1671" w:rsidRDefault="00814C79" w:rsidP="00814C79">
      <w:pPr>
        <w:pStyle w:val="NormalHanging12a"/>
      </w:pPr>
      <w:r w:rsidRPr="008F1671">
        <w:t>–</w:t>
      </w:r>
      <w:r w:rsidRPr="008F1671">
        <w:tab/>
        <w:t>med beaktande av artikel 44 i Europeiska unionens stadga om de grundläggande rättigheterna om rätten att inge framställningar till Europaparlamentet,</w:t>
      </w:r>
    </w:p>
    <w:p w14:paraId="550E9501" w14:textId="126DFED8" w:rsidR="00814C79" w:rsidRDefault="00814C79" w:rsidP="00814C79">
      <w:pPr>
        <w:pStyle w:val="NormalHanging12a"/>
      </w:pPr>
      <w:r w:rsidRPr="008F1671">
        <w:t>–</w:t>
      </w:r>
      <w:r w:rsidRPr="008F1671">
        <w:tab/>
        <w:t>med beaktande av bestämmelserna i EUF-fördraget om överträdelseförfarandet, särskilt artiklarna 258 och 260,</w:t>
      </w:r>
    </w:p>
    <w:p w14:paraId="20D65387" w14:textId="594F2695" w:rsidR="006C29ED" w:rsidRPr="006C29ED" w:rsidRDefault="006C29ED" w:rsidP="00814C79">
      <w:pPr>
        <w:pStyle w:val="NormalHanging12a"/>
      </w:pPr>
      <w:r w:rsidRPr="00154A59">
        <w:rPr>
          <w:szCs w:val="24"/>
          <w:lang w:eastAsia="en-US"/>
        </w:rPr>
        <w:t>–</w:t>
      </w:r>
      <w:r w:rsidRPr="006C29ED">
        <w:rPr>
          <w:szCs w:val="24"/>
          <w:lang w:eastAsia="en-US"/>
        </w:rPr>
        <w:tab/>
      </w:r>
      <w:r w:rsidRPr="00154A59">
        <w:rPr>
          <w:szCs w:val="24"/>
          <w:lang w:eastAsia="en-US"/>
        </w:rPr>
        <w:t>med beaktande av de avslutande iakttagelserna av den 21 mars 2025 från FN:s kommitté för rättigheter för personer med funktionsnedsättning om Europeiska unionens andra och tredje periodiska rapport,</w:t>
      </w:r>
    </w:p>
    <w:p w14:paraId="2B7735CF" w14:textId="77777777" w:rsidR="00814C79" w:rsidRPr="008F1671" w:rsidRDefault="00814C79" w:rsidP="00814C79">
      <w:pPr>
        <w:pStyle w:val="NormalHanging12a"/>
      </w:pPr>
      <w:r w:rsidRPr="008F1671">
        <w:t>–</w:t>
      </w:r>
      <w:r w:rsidRPr="008F1671">
        <w:tab/>
        <w:t>med beaktande av artikel 55 och artikel 233.7 i arbetsordningen,</w:t>
      </w:r>
    </w:p>
    <w:p w14:paraId="17581600" w14:textId="77777777" w:rsidR="00814C79" w:rsidRPr="008F1671" w:rsidRDefault="00814C79" w:rsidP="00814C79">
      <w:pPr>
        <w:pStyle w:val="NormalHanging12a"/>
      </w:pPr>
      <w:r w:rsidRPr="008F1671">
        <w:t>–</w:t>
      </w:r>
      <w:r w:rsidRPr="008F1671">
        <w:tab/>
        <w:t>med beaktande av betänkandet från utskottet för framställningar (A10-0063/2025), och av följande skäl:</w:t>
      </w:r>
    </w:p>
    <w:p w14:paraId="2950C2A3" w14:textId="77777777" w:rsidR="00814C79" w:rsidRPr="008F1671" w:rsidRDefault="00814C79" w:rsidP="00814C79">
      <w:pPr>
        <w:pStyle w:val="NormalHanging12a"/>
      </w:pPr>
      <w:r w:rsidRPr="008F1671">
        <w:t>A.</w:t>
      </w:r>
      <w:r w:rsidRPr="008F1671">
        <w:tab/>
        <w:t>Syftet med det årliga betänkandet om resultatet av överläggningarna i utskottet för framställningar är att analysera de framställningar som mottogs 2023 och förbindelserna med andra institutioner och att ge en rättvisande bild av de mål som uppnåtts under 2023.</w:t>
      </w:r>
    </w:p>
    <w:p w14:paraId="1A47A961" w14:textId="77777777" w:rsidR="00814C79" w:rsidRPr="008F1671" w:rsidRDefault="00814C79" w:rsidP="00814C79">
      <w:pPr>
        <w:pStyle w:val="NormalHanging12a"/>
      </w:pPr>
      <w:r w:rsidRPr="008F1671">
        <w:lastRenderedPageBreak/>
        <w:t>B.</w:t>
      </w:r>
      <w:r w:rsidRPr="008F1671">
        <w:tab/>
        <w:t>2023 mottog parlamentet 1 452 framställningar, vilket innebar en ökning med 16,2 % jämfört med de 1 217 framställningar som ingavs 2022 och en ökning med 4,0 % jämfört med de 1 392 framställningar som registrerades 2021. Det totala antalet mottagna framställningar är fortfarande betydligt lägre än den topp som nåddes 2013 och 2014, då parlamentet mottog 2 891 respektive 2 715 framställningar.</w:t>
      </w:r>
    </w:p>
    <w:p w14:paraId="4A39B0A0" w14:textId="77777777" w:rsidR="00814C79" w:rsidRPr="008F1671" w:rsidRDefault="00814C79" w:rsidP="00814C79">
      <w:pPr>
        <w:pStyle w:val="NormalHanging12a"/>
      </w:pPr>
      <w:r w:rsidRPr="008F1671">
        <w:t>C.</w:t>
      </w:r>
      <w:r w:rsidRPr="008F1671">
        <w:tab/>
        <w:t>2023 var antalet användare som stödde en eller flera framställningar på parlamentets webbportal för framställningar 26 331, vilket utgör en betydande ökning jämfört med de 22 441 användare som registrerades 2022 (båda siffrorna är avsevärt lägre än de 209 272 personer som registrerades 2021). Antalet klick till stöd för framställningar ökade också något under 2023 och uppgick till totalt 29 287 (jämfört med 27 927 under 2022 och 217 876 under 2021).</w:t>
      </w:r>
    </w:p>
    <w:p w14:paraId="2239C16B" w14:textId="77777777" w:rsidR="00814C79" w:rsidRPr="008F1671" w:rsidRDefault="00814C79" w:rsidP="00814C79">
      <w:pPr>
        <w:pStyle w:val="NormalHanging12a"/>
      </w:pPr>
      <w:r w:rsidRPr="008F1671">
        <w:t>D.</w:t>
      </w:r>
      <w:r w:rsidRPr="008F1671">
        <w:tab/>
        <w:t>Det totala antalet framställningar är dock fortfarande blygsamt i förhållande till EU:s totala befolkning, vilket visar att det fortsättningsvis krävs intensifierade insatser för att göra medborgarna mer medvetna om sin rätt att göra framställningar och framställningarnas eventuella användbarhet som ett sätt att uppmärksamma institutionerna och medlemsstaterna på frågor som direkt påverkar och berör medborgarna. När medborgarna utövar sin rätt att göra framställningar förväntar de sig att EU-institutionerna ska tillföra ett mervärde genom att finna en lösning på deras problem.</w:t>
      </w:r>
    </w:p>
    <w:p w14:paraId="1CBDF0CD" w14:textId="77777777" w:rsidR="00814C79" w:rsidRPr="008F1671" w:rsidRDefault="00814C79" w:rsidP="00814C79">
      <w:pPr>
        <w:pStyle w:val="NormalHanging12a"/>
      </w:pPr>
      <w:r w:rsidRPr="008F1671">
        <w:t>E.</w:t>
      </w:r>
      <w:r w:rsidRPr="008F1671">
        <w:tab/>
        <w:t>Kriterierna för framställningars tillåtlighet fastställs i artikel 227 i EUF-fördraget och i artikel 232.1 i parlamentets arbetsordning, där det föreskrivs att framställningar får lämnas in av EU-medborgare eller fysiska eller juridiska personer som är bosatta i eller har sitt säte i en medlemsstat i en fråga som berör framställaren direkt och som hör till EU:s verksamhetsområde.</w:t>
      </w:r>
    </w:p>
    <w:p w14:paraId="3DCBB486" w14:textId="1D80B72C" w:rsidR="00814C79" w:rsidRDefault="00814C79" w:rsidP="00814C79">
      <w:pPr>
        <w:pStyle w:val="NormalHanging12a"/>
      </w:pPr>
      <w:r w:rsidRPr="008F1671">
        <w:t>F.</w:t>
      </w:r>
      <w:r w:rsidRPr="008F1671">
        <w:tab/>
        <w:t>Av de 1 452 framställningar som ingavs 2023 förklarades 429 otillåtliga, medan 13 drogs tillbaka. Den stora andelen (29,55 %) otillåtliga framställningar 2023 bekräftar att det fortfarande råder en utbredd brist på klarhet om omfattningen av EU:s ansvarsområde. För att minska antalet otillåtliga framställningar behövs det fortfarande insatser för att ytterligare klargöra omfattningen av EU:s verksamhetsområde.</w:t>
      </w:r>
    </w:p>
    <w:p w14:paraId="6DFFC569" w14:textId="1E172F08" w:rsidR="006C29ED" w:rsidRPr="006C29ED" w:rsidRDefault="002A3AE9" w:rsidP="00814C79">
      <w:pPr>
        <w:pStyle w:val="NormalHanging12a"/>
      </w:pPr>
      <w:r w:rsidRPr="002A3AE9">
        <w:rPr>
          <w:color w:val="000000"/>
          <w:szCs w:val="24"/>
          <w:lang w:eastAsia="en-US"/>
        </w:rPr>
        <w:t>G</w:t>
      </w:r>
      <w:r w:rsidR="006C29ED" w:rsidRPr="00154A59">
        <w:rPr>
          <w:color w:val="000000"/>
          <w:szCs w:val="24"/>
          <w:lang w:eastAsia="en-US"/>
        </w:rPr>
        <w:t>.</w:t>
      </w:r>
      <w:r w:rsidR="006C29ED" w:rsidRPr="00154A59">
        <w:rPr>
          <w:color w:val="000000"/>
          <w:szCs w:val="24"/>
          <w:lang w:eastAsia="en-US"/>
        </w:rPr>
        <w:tab/>
        <w:t xml:space="preserve">Utskottet för framställningar spelade en betydande roll i att bekämpa diskriminering av rumänska och bulgariska medborgare under den tid då deras länder ännu inte hade anslutit sig till Schengenområdet. Utskottet för framställningar har på ett avgörande sätt bidragit i fråga om att förespråka likabehandling och ta itu med de omotiverade hinder som dessa medborgare ställts inför. Utgångspunkten var framställning nr 0004/2023, ingiven av </w:t>
      </w:r>
      <w:proofErr w:type="spellStart"/>
      <w:r w:rsidR="006C29ED" w:rsidRPr="00154A59">
        <w:rPr>
          <w:color w:val="000000"/>
          <w:szCs w:val="24"/>
          <w:lang w:eastAsia="en-US"/>
        </w:rPr>
        <w:t>Răzvan</w:t>
      </w:r>
      <w:proofErr w:type="spellEnd"/>
      <w:r w:rsidR="006C29ED" w:rsidRPr="00154A59">
        <w:rPr>
          <w:color w:val="000000"/>
          <w:szCs w:val="24"/>
          <w:lang w:eastAsia="en-US"/>
        </w:rPr>
        <w:t xml:space="preserve"> Eugen </w:t>
      </w:r>
      <w:proofErr w:type="spellStart"/>
      <w:r w:rsidR="006C29ED" w:rsidRPr="00154A59">
        <w:rPr>
          <w:color w:val="000000"/>
          <w:szCs w:val="24"/>
          <w:lang w:eastAsia="en-US"/>
        </w:rPr>
        <w:t>Nicolescu</w:t>
      </w:r>
      <w:proofErr w:type="spellEnd"/>
      <w:r w:rsidR="006C29ED" w:rsidRPr="00154A59">
        <w:rPr>
          <w:color w:val="000000"/>
          <w:szCs w:val="24"/>
          <w:lang w:eastAsia="en-US"/>
        </w:rPr>
        <w:t xml:space="preserve"> för </w:t>
      </w:r>
      <w:proofErr w:type="spellStart"/>
      <w:r w:rsidR="006C29ED" w:rsidRPr="00154A59">
        <w:rPr>
          <w:color w:val="000000"/>
          <w:szCs w:val="24"/>
          <w:lang w:eastAsia="en-US"/>
        </w:rPr>
        <w:t>Asociația</w:t>
      </w:r>
      <w:proofErr w:type="spellEnd"/>
      <w:r w:rsidR="006C29ED" w:rsidRPr="00154A59">
        <w:rPr>
          <w:color w:val="000000"/>
          <w:szCs w:val="24"/>
          <w:lang w:eastAsia="en-US"/>
        </w:rPr>
        <w:t xml:space="preserve"> </w:t>
      </w:r>
      <w:proofErr w:type="spellStart"/>
      <w:r w:rsidR="006C29ED" w:rsidRPr="00154A59">
        <w:rPr>
          <w:color w:val="000000"/>
          <w:szCs w:val="24"/>
          <w:lang w:eastAsia="en-US"/>
        </w:rPr>
        <w:t>pentru</w:t>
      </w:r>
      <w:proofErr w:type="spellEnd"/>
      <w:r w:rsidR="006C29ED" w:rsidRPr="00154A59">
        <w:rPr>
          <w:color w:val="000000"/>
          <w:szCs w:val="24"/>
          <w:lang w:eastAsia="en-US"/>
        </w:rPr>
        <w:t xml:space="preserve"> </w:t>
      </w:r>
      <w:proofErr w:type="spellStart"/>
      <w:r w:rsidR="006C29ED" w:rsidRPr="00154A59">
        <w:rPr>
          <w:color w:val="000000"/>
          <w:szCs w:val="24"/>
          <w:lang w:eastAsia="en-US"/>
        </w:rPr>
        <w:t>Energie</w:t>
      </w:r>
      <w:proofErr w:type="spellEnd"/>
      <w:r w:rsidR="006C29ED" w:rsidRPr="00154A59">
        <w:rPr>
          <w:color w:val="000000"/>
          <w:szCs w:val="24"/>
          <w:lang w:eastAsia="en-US"/>
        </w:rPr>
        <w:t xml:space="preserve"> </w:t>
      </w:r>
      <w:proofErr w:type="spellStart"/>
      <w:r w:rsidR="006C29ED" w:rsidRPr="00154A59">
        <w:rPr>
          <w:color w:val="000000"/>
          <w:szCs w:val="24"/>
          <w:lang w:eastAsia="en-US"/>
        </w:rPr>
        <w:t>Curată</w:t>
      </w:r>
      <w:proofErr w:type="spellEnd"/>
      <w:r w:rsidR="006C29ED" w:rsidRPr="00154A59">
        <w:rPr>
          <w:color w:val="000000"/>
          <w:szCs w:val="24"/>
          <w:lang w:eastAsia="en-US"/>
        </w:rPr>
        <w:t xml:space="preserve"> </w:t>
      </w:r>
      <w:proofErr w:type="spellStart"/>
      <w:r w:rsidR="006C29ED" w:rsidRPr="00154A59">
        <w:rPr>
          <w:color w:val="000000"/>
          <w:szCs w:val="24"/>
          <w:lang w:eastAsia="en-US"/>
        </w:rPr>
        <w:t>și</w:t>
      </w:r>
      <w:proofErr w:type="spellEnd"/>
      <w:r w:rsidR="006C29ED" w:rsidRPr="00154A59">
        <w:rPr>
          <w:color w:val="000000"/>
          <w:szCs w:val="24"/>
          <w:lang w:eastAsia="en-US"/>
        </w:rPr>
        <w:t xml:space="preserve"> </w:t>
      </w:r>
      <w:proofErr w:type="spellStart"/>
      <w:r w:rsidR="006C29ED" w:rsidRPr="00154A59">
        <w:rPr>
          <w:color w:val="000000"/>
          <w:szCs w:val="24"/>
          <w:lang w:eastAsia="en-US"/>
        </w:rPr>
        <w:t>Combaterea</w:t>
      </w:r>
      <w:proofErr w:type="spellEnd"/>
      <w:r w:rsidR="006C29ED" w:rsidRPr="00154A59">
        <w:rPr>
          <w:color w:val="000000"/>
          <w:szCs w:val="24"/>
          <w:lang w:eastAsia="en-US"/>
        </w:rPr>
        <w:t xml:space="preserve"> </w:t>
      </w:r>
      <w:proofErr w:type="spellStart"/>
      <w:r w:rsidR="006C29ED" w:rsidRPr="00154A59">
        <w:rPr>
          <w:color w:val="000000"/>
          <w:szCs w:val="24"/>
          <w:lang w:eastAsia="en-US"/>
        </w:rPr>
        <w:t>Schimbărilor</w:t>
      </w:r>
      <w:proofErr w:type="spellEnd"/>
      <w:r w:rsidR="006C29ED" w:rsidRPr="00154A59">
        <w:rPr>
          <w:color w:val="000000"/>
          <w:szCs w:val="24"/>
          <w:lang w:eastAsia="en-US"/>
        </w:rPr>
        <w:t xml:space="preserve"> </w:t>
      </w:r>
      <w:proofErr w:type="spellStart"/>
      <w:r w:rsidR="006C29ED" w:rsidRPr="00154A59">
        <w:rPr>
          <w:color w:val="000000"/>
          <w:szCs w:val="24"/>
          <w:lang w:eastAsia="en-US"/>
        </w:rPr>
        <w:t>Climatice</w:t>
      </w:r>
      <w:proofErr w:type="spellEnd"/>
      <w:r w:rsidR="006C29ED" w:rsidRPr="00154A59">
        <w:rPr>
          <w:color w:val="000000"/>
          <w:szCs w:val="24"/>
          <w:lang w:eastAsia="en-US"/>
        </w:rPr>
        <w:t>, och den påföljande resolution som antogs i kammaren om anslutning till Schengenområdet enligt artikel 227.2 i arbetsordningen</w:t>
      </w:r>
      <w:r w:rsidR="006C29ED">
        <w:rPr>
          <w:rStyle w:val="FootnoteReference"/>
          <w:color w:val="000000"/>
          <w:szCs w:val="24"/>
          <w:lang w:eastAsia="en-US"/>
        </w:rPr>
        <w:footnoteReference w:id="1"/>
      </w:r>
      <w:r w:rsidR="006C29ED" w:rsidRPr="00154A59">
        <w:rPr>
          <w:color w:val="000000"/>
          <w:szCs w:val="24"/>
          <w:lang w:eastAsia="en-US"/>
        </w:rPr>
        <w:t>.</w:t>
      </w:r>
    </w:p>
    <w:p w14:paraId="4AD96088" w14:textId="70A0E862" w:rsidR="00814C79" w:rsidRPr="008F1671" w:rsidRDefault="002A3AE9" w:rsidP="00814C79">
      <w:pPr>
        <w:pStyle w:val="NormalHanging12a"/>
      </w:pPr>
      <w:r>
        <w:t>H</w:t>
      </w:r>
      <w:r w:rsidR="00814C79" w:rsidRPr="008F1671">
        <w:t>.</w:t>
      </w:r>
      <w:r w:rsidR="00814C79" w:rsidRPr="008F1671">
        <w:tab/>
        <w:t>Rätten att inge framställningar till parlamentet är en grundläggande rättighet för EU</w:t>
      </w:r>
      <w:r w:rsidR="00814C79" w:rsidRPr="008F1671">
        <w:noBreakHyphen/>
        <w:t xml:space="preserve">medborgarna som erbjuder både medborgare och invånare en öppen, demokratisk och transparent mekanism för att vända sig direkt till sina valda företrädare. Detta viktiga verktyg ger medborgarna möjlighet att aktivt och effektivt delta i unionslivet. Genom att använda sig av framställningar kan EU-medborgarna kritisera brister </w:t>
      </w:r>
      <w:r w:rsidR="00814C79" w:rsidRPr="008F1671">
        <w:lastRenderedPageBreak/>
        <w:t>i tillämpningen av EU-rätten och bidra till att överträdelser av EU-rätten upptäcks.</w:t>
      </w:r>
    </w:p>
    <w:p w14:paraId="105911CF" w14:textId="67FFFC73" w:rsidR="00814C79" w:rsidRPr="008F1671" w:rsidRDefault="002A3AE9" w:rsidP="00814C79">
      <w:pPr>
        <w:pStyle w:val="NormalHanging12a"/>
      </w:pPr>
      <w:r>
        <w:t>I</w:t>
      </w:r>
      <w:r w:rsidR="00814C79" w:rsidRPr="008F1671">
        <w:t>.</w:t>
      </w:r>
      <w:r w:rsidR="00814C79" w:rsidRPr="008F1671">
        <w:tab/>
      </w:r>
      <w:r w:rsidR="006C29ED" w:rsidRPr="006C29ED">
        <w:rPr>
          <w:szCs w:val="24"/>
          <w:lang w:eastAsia="en-US"/>
        </w:rPr>
        <w:t>Europaparlamentet är den enda EU-institution som väljs direkt av EU-medborgarna. Rätten att inge framställningar till Europaparlamentet är en av de grundläggande rättigheterna för medborgare och bosatta i EU och ger dem möjlighet att vända sig direkt till sina valda företrädare.</w:t>
      </w:r>
      <w:r w:rsidR="006C29ED" w:rsidRPr="00154A59">
        <w:rPr>
          <w:szCs w:val="24"/>
          <w:lang w:eastAsia="en-US"/>
        </w:rPr>
        <w:t xml:space="preserve"> Många personer med funktionsnedsättning saknar lika tillgång till information och kommunikation på grund av den begränsade tillgången till tillgängliga format och på grund av det faktum att nationella teckenspråk inte erkänns som en del av EU:s flerspråkighet.</w:t>
      </w:r>
      <w:r w:rsidR="006C29ED" w:rsidRPr="002A3AE9">
        <w:rPr>
          <w:szCs w:val="24"/>
          <w:lang w:eastAsia="en-US"/>
        </w:rPr>
        <w:t xml:space="preserve"> </w:t>
      </w:r>
      <w:r w:rsidR="006C29ED" w:rsidRPr="006C29ED">
        <w:rPr>
          <w:szCs w:val="24"/>
          <w:lang w:eastAsia="en-US"/>
        </w:rPr>
        <w:t>Parlamentet har länge internationellt gått i täten för utvecklingen av framställningsprocessen och har det mest öppna, demokratiska och transparenta framställningsförfarandet i Europa, som låter framställarna delta aktivt och konkret i institutionens verksamhet. När medborgarna utövar sin rätt att inge framställningar förväntar de sig att EU-institutionen i samarbete med kommissionen och medlemsstaterna kommer att tillföra ett mervärde genom att finna en lösning på deras problem.</w:t>
      </w:r>
    </w:p>
    <w:p w14:paraId="440CE1DB" w14:textId="6284A390" w:rsidR="00814C79" w:rsidRPr="008F1671" w:rsidRDefault="002A3AE9" w:rsidP="00814C79">
      <w:pPr>
        <w:pStyle w:val="NormalHanging12a"/>
      </w:pPr>
      <w:r>
        <w:t>J</w:t>
      </w:r>
      <w:r w:rsidR="00814C79" w:rsidRPr="008F1671">
        <w:t>.</w:t>
      </w:r>
      <w:r w:rsidR="00814C79" w:rsidRPr="008F1671">
        <w:tab/>
        <w:t>Den information som framställarna lämnar i sina framställningar och under utskottssammanträdena ger, tillsammans med kommissionens bedömningar och svaren från medlemsstaterna och andra organ, också värdefulla bidrag till arbetet i andra parlamentsutskott eftersom tillåtliga framställningar översänds till det berörda utskottet för yttrande eller information. Framställningar kan därför också spela en roll i lagstiftningsprocessen och ge konkret återkoppling om effekterna av EU:s politik och göra det möjligt för politiken att ta itu med nya behov.</w:t>
      </w:r>
    </w:p>
    <w:p w14:paraId="3D41561E" w14:textId="1583B8B6" w:rsidR="00814C79" w:rsidRPr="008F1671" w:rsidRDefault="002A3AE9" w:rsidP="00814C79">
      <w:pPr>
        <w:pStyle w:val="NormalHanging12a"/>
        <w:keepNext/>
        <w:keepLines/>
        <w:widowControl/>
      </w:pPr>
      <w:r>
        <w:t>K</w:t>
      </w:r>
      <w:r w:rsidR="00814C79" w:rsidRPr="008F1671">
        <w:t>.</w:t>
      </w:r>
      <w:r w:rsidR="00814C79" w:rsidRPr="008F1671">
        <w:tab/>
        <w:t>Verksamheten i utskottet för framställningar bygger på de synpunkter som lämnats av framställarna, vilket gör det möjligt för parlamentet att öka sin lyhördhet för klagomål och farhågor när det gäller respekten för EU:s grundläggande rättigheter och efterlevnaden av EU:s lagstiftning i medlemsstaterna. Framställningar utgör därmed en värdefull informationskälla när det gäller fall av bristfällig tillämpning eller överträdelser av EU-rätten och gör det möjligt att bedöma tillämpningen av EU-rätten och dess inverkan på rättigheterna för EU:s medborgare och invånare. 2023 var grundläggande rättigheter en av de tre viktigaste frågorna för alla framställare. Inom ramen för den strukturerade dialogen med kommissionen uppmanade utskottet för framställningar kommissionen att bekämpa diskriminering i Europeiska unionen, bland annat genom initiativ för att garantera lika rättigheter och stärka åtgärderna mot alla former av diskriminering, inbegripet diskriminering på grund av kön, ras eller etniskt ursprung, funktionsnedsättning, ålder, religion eller övertygelse och sexuell läggning.</w:t>
      </w:r>
    </w:p>
    <w:p w14:paraId="0E918249" w14:textId="7951D915" w:rsidR="00814C79" w:rsidRPr="008F1671" w:rsidRDefault="002A3AE9" w:rsidP="00814C79">
      <w:pPr>
        <w:pStyle w:val="NormalHanging12a"/>
        <w:rPr>
          <w:b/>
          <w:i/>
        </w:rPr>
      </w:pPr>
      <w:r>
        <w:t>L</w:t>
      </w:r>
      <w:r w:rsidR="00814C79" w:rsidRPr="008F1671">
        <w:t>.</w:t>
      </w:r>
      <w:r w:rsidR="00814C79" w:rsidRPr="008F1671">
        <w:tab/>
        <w:t>Enligt artikel 17 i EU-fördraget bör kommissionen säkerställa en korrekt tillämpning av fördragen och av de åtgärder som antas i enlighet med dem. Kommissionens strategiska tillvägagångssätt för att ta itu med frågor som tas upp i framställningar måste vara helt förenlig med fördragen för att säkerställa effektivast möjliga uppföljning av framställningar, med sikte på att garantera att medborgerliga rättigheter som följer av EU-rätten skyddas fullständigt och i tid.</w:t>
      </w:r>
    </w:p>
    <w:p w14:paraId="7F3FE5A2" w14:textId="5401F8F5" w:rsidR="00814C79" w:rsidRPr="008F1671" w:rsidRDefault="002A3AE9" w:rsidP="00814C79">
      <w:pPr>
        <w:pStyle w:val="NormalHanging12a"/>
      </w:pPr>
      <w:r>
        <w:t>M</w:t>
      </w:r>
      <w:r w:rsidR="00814C79" w:rsidRPr="008F1671">
        <w:t>.</w:t>
      </w:r>
      <w:r w:rsidR="00814C79" w:rsidRPr="008F1671">
        <w:tab/>
        <w:t xml:space="preserve">Alla framställningar måste behandlas och granskas noggrant, effektivt, opartiskt, rättvist och transparent, i enlighet med de normer som fastställs i artikel 41 i Europeiska unionens stadga om de grundläggande rättigheterna avseende rätten till god förvaltning. Alla framställare har rätt att inom rimlig tid få ett svar med information om det beslut om tillåtlighet och uppföljande åtgärder som utskottet har fattat. Svaret ska ges på deras eget språk eller på det språk som använts i framställningen. Snabba och </w:t>
      </w:r>
      <w:r w:rsidR="00814C79" w:rsidRPr="008F1671">
        <w:lastRenderedPageBreak/>
        <w:t>ändamålsenliga svar från kommissionen och medlemsstaterna på de frågor som tas upp i framställningarna, tillsammans med lösningar för prövning, när så är lämpligt, bidrar till att stärka medborgarnas förtroende för unionen och dess politik.</w:t>
      </w:r>
    </w:p>
    <w:p w14:paraId="5159841E" w14:textId="6AB8B26E" w:rsidR="00814C79" w:rsidRPr="008F1671" w:rsidRDefault="002A3AE9" w:rsidP="00814C79">
      <w:pPr>
        <w:pStyle w:val="NormalHanging12a"/>
      </w:pPr>
      <w:r>
        <w:t>N</w:t>
      </w:r>
      <w:r w:rsidR="00814C79" w:rsidRPr="008F1671">
        <w:t>.</w:t>
      </w:r>
      <w:r w:rsidR="00814C79" w:rsidRPr="008F1671">
        <w:tab/>
        <w:t>Utskottet för framställningar fäster mycket stor vikt vid granskningen av framställningar och vid den offentliga diskussionen kring dessa vid sina sammanträden. Framställarna har rätt att presentera sina framställningar och får ofta ordet i diskussionen. De bidrar därmed aktivt till utskottets arbete. Utskottet för framställningar höll tio utskottssammanträden 2023, och vid dessa diskuterades 191 framställningar med 114 framställare närvarande som deltog aktivt genom att yttra sig.</w:t>
      </w:r>
    </w:p>
    <w:p w14:paraId="722E4DEF" w14:textId="4AA22796" w:rsidR="00814C79" w:rsidRPr="008F1671" w:rsidRDefault="002A3AE9" w:rsidP="00814C79">
      <w:pPr>
        <w:pStyle w:val="NormalHanging12a"/>
      </w:pPr>
      <w:r>
        <w:t>O</w:t>
      </w:r>
      <w:r w:rsidR="00814C79" w:rsidRPr="008F1671">
        <w:t>.</w:t>
      </w:r>
      <w:r w:rsidR="00814C79" w:rsidRPr="008F1671">
        <w:tab/>
        <w:t>De viktigaste frågor som väcktes i de framställningar som ingavs 2023 rörde miljö, grundläggande rättigheter, personliga frågor och rättvisa.</w:t>
      </w:r>
    </w:p>
    <w:p w14:paraId="7570BE43" w14:textId="49D58879" w:rsidR="00814C79" w:rsidRPr="008F1671" w:rsidRDefault="002A3AE9" w:rsidP="00814C79">
      <w:pPr>
        <w:pStyle w:val="NormalHanging12a"/>
      </w:pPr>
      <w:r>
        <w:t>P</w:t>
      </w:r>
      <w:r w:rsidR="00814C79" w:rsidRPr="008F1671">
        <w:t>.</w:t>
      </w:r>
      <w:r w:rsidR="00814C79" w:rsidRPr="008F1671">
        <w:rPr>
          <w:color w:val="FF0000"/>
        </w:rPr>
        <w:t xml:space="preserve"> </w:t>
      </w:r>
      <w:r w:rsidR="00814C79" w:rsidRPr="008F1671">
        <w:rPr>
          <w:color w:val="FF0000"/>
        </w:rPr>
        <w:tab/>
      </w:r>
      <w:r w:rsidR="00814C79" w:rsidRPr="008F1671">
        <w:t>Vid antagandet av föredragningslistan för sammanträdet uppmärksammar utskottet för framställningar sådana framställningar och frågor som är av stor betydelse för diskussionen på EU-nivå och behovet att upprätthålla en balanserad geografisk täckning av ämnen i enlighet med de framställningar som mottagits.</w:t>
      </w:r>
    </w:p>
    <w:p w14:paraId="013FF4AC" w14:textId="1FE161C6" w:rsidR="00814C79" w:rsidRPr="008F1671" w:rsidRDefault="002A3AE9" w:rsidP="00814C79">
      <w:pPr>
        <w:pStyle w:val="NormalHanging12a"/>
        <w:keepNext/>
        <w:keepLines/>
        <w:widowControl/>
      </w:pPr>
      <w:r>
        <w:t>Q</w:t>
      </w:r>
      <w:r w:rsidR="00814C79" w:rsidRPr="008F1671">
        <w:t>.</w:t>
      </w:r>
      <w:r w:rsidR="00814C79" w:rsidRPr="008F1671">
        <w:tab/>
        <w:t>82,4 % av de framställningar som mottogs 2023 lämnades in via parlamentets webbportal för framställningar, vilket är en liten ökning jämfört med 2022 (79,05 %), vilket återigen bekräftar att det är den överlägset mest använda kanalen för medborgare att lämna in framställningar till parlamentet.</w:t>
      </w:r>
    </w:p>
    <w:p w14:paraId="0D9A265B" w14:textId="2470BE46" w:rsidR="00814C79" w:rsidRPr="008F1671" w:rsidRDefault="002A3AE9" w:rsidP="00814C79">
      <w:pPr>
        <w:pStyle w:val="NormalHanging12a"/>
      </w:pPr>
      <w:r>
        <w:t>R</w:t>
      </w:r>
      <w:r w:rsidR="00814C79" w:rsidRPr="008F1671">
        <w:t>.</w:t>
      </w:r>
      <w:r w:rsidR="00814C79" w:rsidRPr="008F1671">
        <w:tab/>
        <w:t>I februari 2023 uppdaterades och återlanserades webbportalen för framställningar för att anpassa den till de nuvarande förväntningarna och göra det lättare för invånarna i medlemsstaterna att utöva sin rätt att inge framställningar till parlamentet. Den uppdaterade portalen för framställningar 2.0 har integrerats sömlöst med parlamentets webbpubliceringsverktyg, vilket möjliggör snabbare och enklare innehållsuppdateringar och nya funktioner (inklusive sju ”snabbstartsguider” som innehåller tydliga stegvisa instruktioner för att lämna in, spåra och stödja framställningar). En ny sökmotor med elastisk sökteknik har förbättrat användarupplevelsen genom att på ett effektivt sätt ge mer exakta resultat, vilket gör att den nya portalen prioriterar en verkligt medborgarcentrerad strategi. Under 2023 bereddes och offentliggjordes alla framställningar i god tid, inom några dagar efter att de antogs, och alla interna och externa begäranden om stöd avseende användningen av och innehållet i portalen för framställningar besvarades snabbt och på ett framgångsrikt sätt på alla språk.</w:t>
      </w:r>
    </w:p>
    <w:p w14:paraId="6DBE298E" w14:textId="14405900" w:rsidR="00814C79" w:rsidRPr="008F1671" w:rsidRDefault="002A3AE9" w:rsidP="00814C79">
      <w:pPr>
        <w:pStyle w:val="NormalHanging12a"/>
      </w:pPr>
      <w:r>
        <w:t>S</w:t>
      </w:r>
      <w:r w:rsidR="00814C79" w:rsidRPr="008F1671">
        <w:t>.</w:t>
      </w:r>
      <w:r w:rsidR="00814C79" w:rsidRPr="008F1671">
        <w:tab/>
        <w:t>2023 genomförde utskottet för framställningar (PETI) fyra undersökningsresor, under vilka ledamöterna reste till Rumänien för att undersöka förvaltningen och skyddet av brunbjörnspopulationen respektive den olagliga skogsavverkningen, till Donegal (Irland) för att undersöka användningen av defekta glimmerblock inom byggsektorn i Irland samt till Katalonien (Spanien) för att på plats bedöma språkbadsmodellen i Katalonien. PETI-utskottets ledamöter ingick också i en gemensam delegation från utskottet för sysselsättning och sociala frågor, utskottet för medborgerliga fri- och rättigheter samt rättsliga och inrikes frågor och PETI som reste till New York för att delta i det sextonde mötet i konferensen för de stater som är parter i konventionen om rättigheter för personer med funktionsnedsättning.</w:t>
      </w:r>
    </w:p>
    <w:p w14:paraId="334D1047" w14:textId="03A3191D" w:rsidR="00814C79" w:rsidRPr="008F1671" w:rsidRDefault="002A3AE9" w:rsidP="00814C79">
      <w:pPr>
        <w:pStyle w:val="NormalHanging12a"/>
      </w:pPr>
      <w:r>
        <w:t>T</w:t>
      </w:r>
      <w:r w:rsidR="00814C79" w:rsidRPr="008F1671">
        <w:t>.</w:t>
      </w:r>
      <w:r w:rsidR="00814C79" w:rsidRPr="008F1671">
        <w:tab/>
        <w:t xml:space="preserve">Enligt parlamentets arbetsordning ansvarar utskottet för framställningar även för förbindelserna med Europeiska ombudsmannen, som utreder klagomål om </w:t>
      </w:r>
      <w:r w:rsidR="00814C79" w:rsidRPr="008F1671">
        <w:lastRenderedPageBreak/>
        <w:t xml:space="preserve">administrativa missförhållanden inom EU:s institutioner och organ. Den tidigare Europeiska ombudsmannen, Emily </w:t>
      </w:r>
      <w:proofErr w:type="spellStart"/>
      <w:r w:rsidR="00814C79" w:rsidRPr="008F1671">
        <w:t>O’Reilly</w:t>
      </w:r>
      <w:proofErr w:type="spellEnd"/>
      <w:r w:rsidR="00814C79" w:rsidRPr="008F1671">
        <w:t>, lade fram sin årsrapport för 2022 för utskottet för framställningar vid dess sammanträde den 27 juni 2023.</w:t>
      </w:r>
    </w:p>
    <w:p w14:paraId="2E765460" w14:textId="23072549" w:rsidR="00814C79" w:rsidRPr="008F1671" w:rsidRDefault="002A3AE9" w:rsidP="00814C79">
      <w:pPr>
        <w:pStyle w:val="NormalHanging12a"/>
      </w:pPr>
      <w:r>
        <w:t>U</w:t>
      </w:r>
      <w:r w:rsidR="00814C79" w:rsidRPr="008F1671">
        <w:t>.</w:t>
      </w:r>
      <w:r w:rsidR="00814C79" w:rsidRPr="008F1671">
        <w:tab/>
        <w:t>Utskottet för framställningar är medlem i Europeiska ombudsmannanätverket, som också omfattar Europeiska ombudsmannen, nationella och regionala ombudsmän och liknande organ i medlemsstaterna, kandidatländerna och andra länder i Europeiska ekonomiska samarbetsområdet, och som syftar till att främja informationsutbytet om EU-rätten och EU:s politik och att utbyta bästa praxis.</w:t>
      </w:r>
    </w:p>
    <w:p w14:paraId="0C8FC5E3" w14:textId="77777777" w:rsidR="00814C79" w:rsidRPr="008F1671" w:rsidRDefault="00814C79" w:rsidP="00814C79">
      <w:pPr>
        <w:pStyle w:val="NormalHanging12a"/>
      </w:pPr>
      <w:r w:rsidRPr="008F1671">
        <w:t>1.</w:t>
      </w:r>
      <w:r w:rsidRPr="008F1671">
        <w:tab/>
        <w:t>Europaparlamentet betonar den grundläggande roll som utskottet för framställningar spelar för att skydda och främja rättigheterna för medborgare och bosatta i EU genom att se till att framställarnas farhågor och klagomål behandlas i god tid och på ett effektivt och lämpligt sätt och att framställare informeras om de åtgärder som vidtas och de framsteg som görs med avseende på deras framställningar. Parlamentet påminner om att alla framställningar behandlas genom ett öppet, demokratisk och transparent framställningsförfarande.</w:t>
      </w:r>
    </w:p>
    <w:p w14:paraId="687D8203" w14:textId="00143D3E" w:rsidR="00293ED7" w:rsidRPr="00154A59" w:rsidRDefault="002A3AE9" w:rsidP="00154A59">
      <w:pPr>
        <w:spacing w:after="120"/>
        <w:ind w:left="567" w:hanging="567"/>
        <w:rPr>
          <w:szCs w:val="24"/>
          <w:lang w:eastAsia="en-US"/>
        </w:rPr>
      </w:pPr>
      <w:r>
        <w:rPr>
          <w:szCs w:val="24"/>
          <w:lang w:eastAsia="en-US"/>
        </w:rPr>
        <w:t>2</w:t>
      </w:r>
      <w:r w:rsidR="00293ED7" w:rsidRPr="00154A59">
        <w:rPr>
          <w:szCs w:val="24"/>
          <w:lang w:eastAsia="en-US"/>
        </w:rPr>
        <w:t>.</w:t>
      </w:r>
      <w:r w:rsidR="00293ED7" w:rsidRPr="00293ED7">
        <w:rPr>
          <w:szCs w:val="24"/>
          <w:lang w:eastAsia="en-US"/>
        </w:rPr>
        <w:tab/>
      </w:r>
      <w:r w:rsidR="00293ED7" w:rsidRPr="00154A59">
        <w:rPr>
          <w:szCs w:val="24"/>
          <w:lang w:eastAsia="en-US"/>
        </w:rPr>
        <w:t xml:space="preserve">Europaparlamentet lovordar det avgörande arbetet </w:t>
      </w:r>
      <w:r w:rsidR="004F7BD0" w:rsidRPr="00740FF2">
        <w:rPr>
          <w:szCs w:val="24"/>
          <w:lang w:eastAsia="en-US"/>
        </w:rPr>
        <w:t>i utskottet för framställningar</w:t>
      </w:r>
      <w:r w:rsidR="004F7BD0" w:rsidRPr="004F7BD0">
        <w:rPr>
          <w:szCs w:val="24"/>
          <w:lang w:eastAsia="en-US"/>
        </w:rPr>
        <w:t xml:space="preserve"> </w:t>
      </w:r>
      <w:r w:rsidR="00293ED7" w:rsidRPr="00154A59">
        <w:rPr>
          <w:szCs w:val="24"/>
          <w:lang w:eastAsia="en-US"/>
        </w:rPr>
        <w:t xml:space="preserve">med framställningarna om </w:t>
      </w:r>
      <w:proofErr w:type="spellStart"/>
      <w:r w:rsidR="00293ED7" w:rsidRPr="00154A59">
        <w:rPr>
          <w:szCs w:val="24"/>
          <w:lang w:eastAsia="en-US"/>
        </w:rPr>
        <w:t>Akamashalvön</w:t>
      </w:r>
      <w:proofErr w:type="spellEnd"/>
      <w:r w:rsidR="00293ED7" w:rsidRPr="00154A59">
        <w:rPr>
          <w:szCs w:val="24"/>
          <w:lang w:eastAsia="en-US"/>
        </w:rPr>
        <w:t xml:space="preserve">, </w:t>
      </w:r>
      <w:r w:rsidR="002538A0">
        <w:rPr>
          <w:szCs w:val="24"/>
          <w:lang w:eastAsia="en-US"/>
        </w:rPr>
        <w:t>det område i Cypern som har</w:t>
      </w:r>
      <w:r w:rsidR="00293ED7" w:rsidRPr="00154A59">
        <w:rPr>
          <w:szCs w:val="24"/>
          <w:lang w:eastAsia="en-US"/>
        </w:rPr>
        <w:t xml:space="preserve"> störst biologisk mångfald och där det i flera årtionden har begåtts upprepade systematiska överträdelser av habitatdirektivet</w:t>
      </w:r>
      <w:r w:rsidR="00293ED7">
        <w:rPr>
          <w:rStyle w:val="FootnoteReference"/>
          <w:szCs w:val="24"/>
          <w:lang w:eastAsia="en-US"/>
        </w:rPr>
        <w:footnoteReference w:id="2"/>
      </w:r>
      <w:r w:rsidR="00293ED7" w:rsidRPr="00154A59">
        <w:rPr>
          <w:szCs w:val="24"/>
          <w:lang w:eastAsia="en-US"/>
        </w:rPr>
        <w:t xml:space="preserve"> och fågeldirektivet</w:t>
      </w:r>
      <w:r w:rsidR="00293ED7">
        <w:rPr>
          <w:rStyle w:val="FootnoteReference"/>
          <w:szCs w:val="24"/>
          <w:lang w:eastAsia="en-US"/>
        </w:rPr>
        <w:footnoteReference w:id="3"/>
      </w:r>
      <w:r w:rsidR="00293ED7" w:rsidRPr="00154A59">
        <w:rPr>
          <w:szCs w:val="24"/>
          <w:lang w:eastAsia="en-US"/>
        </w:rPr>
        <w:t>, i ett sammanhang</w:t>
      </w:r>
      <w:r w:rsidR="002538A0">
        <w:rPr>
          <w:szCs w:val="24"/>
          <w:lang w:eastAsia="en-US"/>
        </w:rPr>
        <w:t xml:space="preserve"> som i allmänhet</w:t>
      </w:r>
      <w:r w:rsidR="00293ED7" w:rsidRPr="00154A59">
        <w:rPr>
          <w:szCs w:val="24"/>
          <w:lang w:eastAsia="en-US"/>
        </w:rPr>
        <w:t xml:space="preserve"> prägla</w:t>
      </w:r>
      <w:r w:rsidR="002538A0">
        <w:rPr>
          <w:szCs w:val="24"/>
          <w:lang w:eastAsia="en-US"/>
        </w:rPr>
        <w:t>s</w:t>
      </w:r>
      <w:r w:rsidR="00293ED7" w:rsidRPr="00154A59">
        <w:rPr>
          <w:szCs w:val="24"/>
          <w:lang w:eastAsia="en-US"/>
        </w:rPr>
        <w:t xml:space="preserve"> av brist på ändamålsenliga och rättsligt bindande åtgärder för skydd av området och mot bakgrund av de planer som nyligen lagts fram av de behöriga cypriotiska myndigheterna, </w:t>
      </w:r>
      <w:r w:rsidR="002538A0">
        <w:rPr>
          <w:szCs w:val="24"/>
          <w:lang w:eastAsia="en-US"/>
        </w:rPr>
        <w:t>vilka medför</w:t>
      </w:r>
      <w:r w:rsidR="00293ED7" w:rsidRPr="00154A59">
        <w:rPr>
          <w:szCs w:val="24"/>
          <w:lang w:eastAsia="en-US"/>
        </w:rPr>
        <w:t xml:space="preserve">förödande konsekvenser för områdets mycket känsliga naturliga ekosystem och strider mot EU:s miljölagstiftning. Parlamentet understryker att </w:t>
      </w:r>
      <w:r w:rsidR="002538A0">
        <w:rPr>
          <w:szCs w:val="24"/>
          <w:lang w:eastAsia="en-US"/>
        </w:rPr>
        <w:t>sedan</w:t>
      </w:r>
      <w:r w:rsidR="00293ED7" w:rsidRPr="00154A59">
        <w:rPr>
          <w:szCs w:val="24"/>
          <w:lang w:eastAsia="en-US"/>
        </w:rPr>
        <w:t xml:space="preserve"> utskottet arbetat med denna fråga</w:t>
      </w:r>
      <w:r w:rsidR="002538A0">
        <w:rPr>
          <w:szCs w:val="24"/>
          <w:lang w:eastAsia="en-US"/>
        </w:rPr>
        <w:t xml:space="preserve"> beslutade </w:t>
      </w:r>
      <w:r w:rsidR="002538A0" w:rsidRPr="00740FF2">
        <w:rPr>
          <w:szCs w:val="24"/>
          <w:lang w:eastAsia="en-US"/>
        </w:rPr>
        <w:t>kommissionen</w:t>
      </w:r>
      <w:r w:rsidR="002538A0">
        <w:rPr>
          <w:szCs w:val="24"/>
          <w:lang w:eastAsia="en-US"/>
        </w:rPr>
        <w:t>,</w:t>
      </w:r>
      <w:r w:rsidR="002538A0" w:rsidRPr="00740FF2">
        <w:rPr>
          <w:szCs w:val="24"/>
          <w:lang w:eastAsia="en-US"/>
        </w:rPr>
        <w:t xml:space="preserve"> den 13 mars 2024, </w:t>
      </w:r>
      <w:r w:rsidR="00293ED7" w:rsidRPr="00154A59">
        <w:rPr>
          <w:szCs w:val="24"/>
          <w:lang w:eastAsia="en-US"/>
        </w:rPr>
        <w:t xml:space="preserve">att väcka talan mot Cypern </w:t>
      </w:r>
      <w:r w:rsidR="002538A0">
        <w:rPr>
          <w:szCs w:val="24"/>
          <w:lang w:eastAsia="en-US"/>
        </w:rPr>
        <w:t>vid</w:t>
      </w:r>
      <w:r w:rsidR="00293ED7" w:rsidRPr="00154A59">
        <w:rPr>
          <w:szCs w:val="24"/>
          <w:lang w:eastAsia="en-US"/>
        </w:rPr>
        <w:t xml:space="preserve"> Europeiska unionens domstol (EU-domstolen) </w:t>
      </w:r>
      <w:r w:rsidR="002538A0">
        <w:rPr>
          <w:szCs w:val="24"/>
          <w:lang w:eastAsia="en-US"/>
        </w:rPr>
        <w:t xml:space="preserve">till följd </w:t>
      </w:r>
      <w:r w:rsidR="00293ED7" w:rsidRPr="00154A59">
        <w:rPr>
          <w:szCs w:val="24"/>
          <w:lang w:eastAsia="en-US"/>
        </w:rPr>
        <w:t xml:space="preserve">av de cypriotiska myndigheternas underlåtenhet att efterleva habitatdirektivet. Parlamentet beklagar att kommissionen under den tid som förflutit sedan detta beslut – över ett år – inte har </w:t>
      </w:r>
      <w:r w:rsidR="002538A0">
        <w:rPr>
          <w:szCs w:val="24"/>
          <w:lang w:eastAsia="en-US"/>
        </w:rPr>
        <w:t>inkommit med</w:t>
      </w:r>
      <w:r w:rsidR="00293ED7" w:rsidRPr="00154A59">
        <w:rPr>
          <w:szCs w:val="24"/>
          <w:lang w:eastAsia="en-US"/>
        </w:rPr>
        <w:t xml:space="preserve"> någo</w:t>
      </w:r>
      <w:r w:rsidR="002538A0">
        <w:rPr>
          <w:szCs w:val="24"/>
          <w:lang w:eastAsia="en-US"/>
        </w:rPr>
        <w:t>n ansökan</w:t>
      </w:r>
      <w:r w:rsidR="00293ED7" w:rsidRPr="00154A59">
        <w:rPr>
          <w:szCs w:val="24"/>
          <w:lang w:eastAsia="en-US"/>
        </w:rPr>
        <w:t xml:space="preserve"> till EU-domstolen och att de rättsliga förfarandena därför inte har inletts officiellt.</w:t>
      </w:r>
    </w:p>
    <w:p w14:paraId="31F1952B" w14:textId="3A8292F9" w:rsidR="00293ED7" w:rsidRPr="00154A59" w:rsidRDefault="002A3AE9" w:rsidP="00814C79">
      <w:pPr>
        <w:pStyle w:val="NormalHanging12a"/>
      </w:pPr>
      <w:r>
        <w:rPr>
          <w:szCs w:val="24"/>
          <w:lang w:eastAsia="en-US"/>
        </w:rPr>
        <w:t>3</w:t>
      </w:r>
      <w:r w:rsidR="00293ED7" w:rsidRPr="00154A59">
        <w:rPr>
          <w:szCs w:val="24"/>
          <w:lang w:eastAsia="en-US"/>
        </w:rPr>
        <w:t>.</w:t>
      </w:r>
      <w:r w:rsidR="00293ED7" w:rsidRPr="00293ED7">
        <w:rPr>
          <w:szCs w:val="24"/>
          <w:lang w:eastAsia="en-US"/>
        </w:rPr>
        <w:tab/>
      </w:r>
      <w:r w:rsidR="00293ED7" w:rsidRPr="00154A59">
        <w:rPr>
          <w:szCs w:val="24"/>
          <w:lang w:eastAsia="en-US"/>
        </w:rPr>
        <w:t>Europaparlamentet understryker det viktiga arbete som utskottet för framställningar utför för att skydda arbetstagarrättigheter mot diskriminering och missbruk av visstidsanställningskontrakt inom den offentliga sektorn i Italien. Parlamentet välkomnar att kommissionen</w:t>
      </w:r>
      <w:r w:rsidR="002538A0">
        <w:rPr>
          <w:szCs w:val="24"/>
          <w:lang w:eastAsia="en-US"/>
        </w:rPr>
        <w:t>,</w:t>
      </w:r>
      <w:r w:rsidR="00293ED7" w:rsidRPr="00154A59">
        <w:rPr>
          <w:szCs w:val="24"/>
          <w:lang w:eastAsia="en-US"/>
        </w:rPr>
        <w:t xml:space="preserve"> när den beslutade att väcka talan mot Italien </w:t>
      </w:r>
      <w:r w:rsidR="002538A0">
        <w:rPr>
          <w:szCs w:val="24"/>
          <w:lang w:eastAsia="en-US"/>
        </w:rPr>
        <w:t xml:space="preserve">vid </w:t>
      </w:r>
      <w:r w:rsidR="00293ED7" w:rsidRPr="00154A59">
        <w:rPr>
          <w:szCs w:val="24"/>
          <w:lang w:eastAsia="en-US"/>
        </w:rPr>
        <w:t xml:space="preserve">EU-domstolen för underlåtenhet att upphöra med missbruk av visstidsanställningar och diskriminerande anställningsvillkor, </w:t>
      </w:r>
      <w:r w:rsidR="002538A0">
        <w:rPr>
          <w:szCs w:val="24"/>
          <w:lang w:eastAsia="en-US"/>
        </w:rPr>
        <w:t>vilket</w:t>
      </w:r>
      <w:r w:rsidR="00293ED7" w:rsidRPr="00154A59">
        <w:rPr>
          <w:szCs w:val="24"/>
          <w:lang w:eastAsia="en-US"/>
        </w:rPr>
        <w:t xml:space="preserve"> strider mot rådets direktiv 1999/70/EG, tog vederbörlig hänsyn till det juridiskt väl underbyggda underlag som framställarna hade lagt fram och som grundligt har behandlats vid olika sammanträden i utskottet för framställningar.</w:t>
      </w:r>
    </w:p>
    <w:p w14:paraId="1B8D0A1F" w14:textId="2B423FFD" w:rsidR="002A3AE9" w:rsidRPr="00E651E3" w:rsidRDefault="004A22D6" w:rsidP="002A3AE9">
      <w:pPr>
        <w:pStyle w:val="NormalHanging12a"/>
      </w:pPr>
      <w:r>
        <w:rPr>
          <w:color w:val="000000"/>
          <w:szCs w:val="24"/>
          <w:lang w:eastAsia="en-US"/>
        </w:rPr>
        <w:t>4</w:t>
      </w:r>
      <w:r w:rsidR="002A3AE9" w:rsidRPr="00E651E3">
        <w:rPr>
          <w:color w:val="000000"/>
          <w:szCs w:val="24"/>
          <w:lang w:eastAsia="en-US"/>
        </w:rPr>
        <w:t>.</w:t>
      </w:r>
      <w:r w:rsidR="002A3AE9" w:rsidRPr="00C223DF">
        <w:rPr>
          <w:color w:val="000000"/>
          <w:szCs w:val="24"/>
          <w:lang w:eastAsia="en-US"/>
        </w:rPr>
        <w:tab/>
        <w:t xml:space="preserve">Europaparlamentet lovordar utskottet för framställningar för att ha beaktat framställning nr 1168/2023, ingiven av </w:t>
      </w:r>
      <w:proofErr w:type="spellStart"/>
      <w:r w:rsidR="002A3AE9" w:rsidRPr="00C223DF">
        <w:rPr>
          <w:color w:val="000000"/>
          <w:szCs w:val="24"/>
          <w:lang w:eastAsia="en-US"/>
        </w:rPr>
        <w:t>Mihai</w:t>
      </w:r>
      <w:proofErr w:type="spellEnd"/>
      <w:r w:rsidR="002A3AE9" w:rsidRPr="00C223DF">
        <w:rPr>
          <w:color w:val="000000"/>
          <w:szCs w:val="24"/>
          <w:lang w:eastAsia="en-US"/>
        </w:rPr>
        <w:t xml:space="preserve"> </w:t>
      </w:r>
      <w:proofErr w:type="spellStart"/>
      <w:r w:rsidR="002A3AE9" w:rsidRPr="00C223DF">
        <w:rPr>
          <w:color w:val="000000"/>
          <w:szCs w:val="24"/>
          <w:lang w:eastAsia="en-US"/>
        </w:rPr>
        <w:t>Igna</w:t>
      </w:r>
      <w:proofErr w:type="spellEnd"/>
      <w:r w:rsidR="002A3AE9" w:rsidRPr="00C223DF">
        <w:rPr>
          <w:color w:val="000000"/>
          <w:szCs w:val="24"/>
          <w:lang w:eastAsia="en-US"/>
        </w:rPr>
        <w:t xml:space="preserve"> för föreningen Tillsammans skapar vi välstånd, </w:t>
      </w:r>
      <w:r w:rsidR="002538A0">
        <w:rPr>
          <w:color w:val="000000"/>
          <w:szCs w:val="24"/>
          <w:lang w:eastAsia="en-US"/>
        </w:rPr>
        <w:t>där</w:t>
      </w:r>
      <w:r w:rsidR="002A3AE9" w:rsidRPr="00C223DF">
        <w:rPr>
          <w:color w:val="000000"/>
          <w:szCs w:val="24"/>
          <w:lang w:eastAsia="en-US"/>
        </w:rPr>
        <w:t xml:space="preserve"> </w:t>
      </w:r>
      <w:r w:rsidR="002538A0">
        <w:rPr>
          <w:color w:val="000000"/>
          <w:szCs w:val="24"/>
          <w:lang w:eastAsia="en-US"/>
        </w:rPr>
        <w:lastRenderedPageBreak/>
        <w:t xml:space="preserve">Ryssland uppmanas att </w:t>
      </w:r>
      <w:r w:rsidR="002A3AE9" w:rsidRPr="00C223DF">
        <w:rPr>
          <w:color w:val="000000"/>
          <w:szCs w:val="24"/>
          <w:lang w:eastAsia="en-US"/>
        </w:rPr>
        <w:t>återlämna rumänska nationella skatter och historiska arkiv. Parlamentet understryker denna debatts stora historiska betydelse för alla medlemsstater som genom historien drabbats av Rysslands plundringar, i synnerhet i samband med det pågående kriget i Ukraina, eftersom den belyser de mer övergripande utmaningarna med bevarandet av kulturen och skyddet av det nationella kulturarvet vid geopolitiska konflikter. Parlamentet betonar att det engagemang som utskottet för framställningar har för denna fråga visar på viljan att upprätthålla EU-medborgarnas och medlemsstaternas rättigheter och att skydda Rumäniens historiska arv och stödja landets legitima anspråk på den internationella arenan. Parlamentet påminner om den påföljande resolution som antogs i kammaren om återlämnande av rumänska nationella skatter som olagligt beslagtagits av Ryssland</w:t>
      </w:r>
      <w:r w:rsidR="002A3AE9">
        <w:rPr>
          <w:rStyle w:val="FootnoteReference"/>
          <w:color w:val="000000"/>
          <w:szCs w:val="24"/>
          <w:lang w:eastAsia="en-US"/>
        </w:rPr>
        <w:footnoteReference w:id="4"/>
      </w:r>
      <w:r w:rsidR="002A3AE9" w:rsidRPr="00C223DF">
        <w:rPr>
          <w:color w:val="000000"/>
          <w:szCs w:val="24"/>
          <w:lang w:eastAsia="en-US"/>
        </w:rPr>
        <w:t>.</w:t>
      </w:r>
    </w:p>
    <w:p w14:paraId="1BF46891" w14:textId="279D9AC3" w:rsidR="00814C79" w:rsidRPr="008F1671" w:rsidRDefault="004A22D6" w:rsidP="00814C79">
      <w:pPr>
        <w:pStyle w:val="NormalHanging12a"/>
      </w:pPr>
      <w:r>
        <w:t>5</w:t>
      </w:r>
      <w:r w:rsidR="00814C79" w:rsidRPr="008F1671">
        <w:t>.</w:t>
      </w:r>
      <w:r w:rsidR="00814C79" w:rsidRPr="008F1671">
        <w:tab/>
      </w:r>
      <w:r w:rsidR="00E651E3" w:rsidRPr="00E651E3">
        <w:rPr>
          <w:szCs w:val="24"/>
          <w:lang w:eastAsia="en-US"/>
        </w:rPr>
        <w:t xml:space="preserve">Europaparlamentet upprepar vikten av en fortlöpande offentlig debatt om EU:s verksamhetsområden för att säkerställa att medborgarna får korrekt information om omfattningen av unionens befogenheter och de olika beslutsnivåerna. Parlamentet efterlyser en EU-omfattande förstärkt strukturerad informations- och kommunikationskampanj </w:t>
      </w:r>
      <w:r w:rsidR="00E651E3" w:rsidRPr="00154A59">
        <w:rPr>
          <w:szCs w:val="24"/>
          <w:lang w:eastAsia="en-US"/>
        </w:rPr>
        <w:t>som ska genomföras utan extra kostnad (dvs. genom användning av de resurser som Europaparlamentets förbindelsekontor för närvarande förfogar över)</w:t>
      </w:r>
      <w:r w:rsidR="00E651E3" w:rsidRPr="00E651E3">
        <w:rPr>
          <w:szCs w:val="24"/>
          <w:lang w:eastAsia="en-US"/>
        </w:rPr>
        <w:t xml:space="preserve"> på alla officiella EU-språk i samarbete med nationella och regionala ombudsmän, icke</w:t>
      </w:r>
      <w:r w:rsidR="00E651E3" w:rsidRPr="00E651E3">
        <w:rPr>
          <w:szCs w:val="24"/>
          <w:lang w:eastAsia="en-US"/>
        </w:rPr>
        <w:noBreakHyphen/>
        <w:t xml:space="preserve">statliga organisationer och utbildningsinstitutioner för att öka medborgarnas medvetenhet i alla medlemsstater om rätten att inge framställningar, särskilt med inriktning på landsbygdssamhällen och missgynnade och marginaliserade grupper samt avlägsna öar och regioner. Parlamentet föreslår en utvidgning av de utåtriktade insatserna </w:t>
      </w:r>
      <w:r w:rsidR="00E651E3" w:rsidRPr="00154A59">
        <w:rPr>
          <w:szCs w:val="24"/>
          <w:lang w:eastAsia="en-US"/>
        </w:rPr>
        <w:t>utan ytterligare kostnad</w:t>
      </w:r>
      <w:r w:rsidR="00E651E3" w:rsidRPr="004A22D6">
        <w:rPr>
          <w:szCs w:val="24"/>
          <w:lang w:eastAsia="en-US"/>
        </w:rPr>
        <w:t xml:space="preserve"> genom evenemang i sociala medier och lokalsamhällen, och betonar behovet av </w:t>
      </w:r>
      <w:r w:rsidR="00E651E3" w:rsidRPr="00154A59">
        <w:rPr>
          <w:szCs w:val="24"/>
          <w:lang w:eastAsia="en-US"/>
        </w:rPr>
        <w:t>större medvetenhet bland allmänheten och</w:t>
      </w:r>
      <w:r w:rsidR="00E651E3" w:rsidRPr="00E651E3">
        <w:rPr>
          <w:szCs w:val="24"/>
          <w:lang w:eastAsia="en-US"/>
        </w:rPr>
        <w:t xml:space="preserve"> bredare informationskampanjer, genom aktivt användande av kommunikationstjänster, för att bidra till att öka medborgarnas kunskap om sin rätt att inge framställningar samt omfattningen av EU:s ansvar och befogenheterna för utskottet för framställningar, i syfte att minska antalet otillåtliga framställningar och stärka medborgarnas deltagande i beslutsprocessen. Parlamentet rekommenderar att framställningsportalens digitala tillgänglighet förbättras, bland annat genom anpassningar för personer med funktionsnedsättning och översättningar av högre kvalitet till alla officiella EU-språk. Parlamentet rekommenderar att man utforskar de befintliga </w:t>
      </w:r>
      <w:proofErr w:type="spellStart"/>
      <w:r w:rsidR="00E651E3" w:rsidRPr="00E651E3">
        <w:rPr>
          <w:szCs w:val="24"/>
          <w:lang w:eastAsia="en-US"/>
        </w:rPr>
        <w:t>it-verktygens</w:t>
      </w:r>
      <w:proofErr w:type="spellEnd"/>
      <w:r w:rsidR="00E651E3" w:rsidRPr="00E651E3">
        <w:rPr>
          <w:szCs w:val="24"/>
          <w:lang w:eastAsia="en-US"/>
        </w:rPr>
        <w:t xml:space="preserve"> potential att förbättra supporten till medborgarna på portalen, bland annat genom alternativa hänvisningar till relevanta klagomålsmekanismer.</w:t>
      </w:r>
    </w:p>
    <w:p w14:paraId="0A5C4344" w14:textId="11F60B1F" w:rsidR="00814C79" w:rsidRPr="004A22D6" w:rsidRDefault="004A22D6" w:rsidP="00814C79">
      <w:pPr>
        <w:pStyle w:val="NormalHanging12a"/>
      </w:pPr>
      <w:r>
        <w:t>6</w:t>
      </w:r>
      <w:r w:rsidR="00814C79" w:rsidRPr="008F1671">
        <w:t>.</w:t>
      </w:r>
      <w:r w:rsidR="00814C79" w:rsidRPr="008F1671">
        <w:tab/>
      </w:r>
      <w:r w:rsidR="00E651E3" w:rsidRPr="00E651E3">
        <w:rPr>
          <w:szCs w:val="24"/>
          <w:lang w:eastAsia="en-US"/>
        </w:rPr>
        <w:t xml:space="preserve">Europaparlamentet påminner om den europeiska dimensionen av utskottet för framställningar, som medborgare från alla 27 medlemsstater kan vända sig till i frågor som omfattas av EU-fördragen och EU-rätten. Parlamentet anser att utskottet har ett särskilt ansvar att upprätthålla denna europeiska dimension och visa mervärdet av europeisk enighet och integration för medborgarna. </w:t>
      </w:r>
      <w:r w:rsidR="00E651E3" w:rsidRPr="00154A59">
        <w:rPr>
          <w:szCs w:val="24"/>
          <w:lang w:eastAsia="en-US"/>
        </w:rPr>
        <w:t>Parlamentet understryker att den europeiska dimensionen måste bygga på solidaritet, främjande av sociala och ekonomiska rättigheter, skydd av minoritetsspråk och minoritetskulturer samt på en aktiv kamp mot klimatförändringar.</w:t>
      </w:r>
    </w:p>
    <w:p w14:paraId="108D5136" w14:textId="799A1668" w:rsidR="00814C79" w:rsidRPr="008F1671" w:rsidRDefault="004A22D6" w:rsidP="00814C79">
      <w:pPr>
        <w:pStyle w:val="NormalHanging12a"/>
      </w:pPr>
      <w:r>
        <w:t>7</w:t>
      </w:r>
      <w:r w:rsidR="00814C79" w:rsidRPr="008F1671">
        <w:t>.</w:t>
      </w:r>
      <w:r w:rsidR="00814C79" w:rsidRPr="008F1671">
        <w:tab/>
      </w:r>
      <w:r w:rsidR="00E651E3" w:rsidRPr="00E651E3">
        <w:rPr>
          <w:szCs w:val="24"/>
          <w:lang w:eastAsia="en-US"/>
        </w:rPr>
        <w:t>Europaparlamentet påpekar att framställningar är en unik möjlighet för parlamentet och de andra EU-institutionerna att etablera direkt kontakt med EU-medborgare och ha en regelbunden dialog med dem, särskilt i fall där de påverkas av felaktig tillämpning eller överträdelser av EU-rätten. Parlamentet betonar behovet av ökat samarbete mellan EU-</w:t>
      </w:r>
      <w:r w:rsidR="00E651E3" w:rsidRPr="00E651E3">
        <w:rPr>
          <w:szCs w:val="24"/>
          <w:lang w:eastAsia="en-US"/>
        </w:rPr>
        <w:lastRenderedPageBreak/>
        <w:t xml:space="preserve">institutionerna och nationella, regionala och lokala myndigheter i frågor som rör genomförandet och efterlevnaden av EU-rätten. Parlamentet anser att sådant samarbete är avgörande för att ta itu med och tillhandahålla en lösning på medborgarnas oro över tillämpningen av EU-rätten och att det bidrar till att stärka unionens demokratiska legitimitet och ansvarsskyldighet. Parlamentet efterlyser därför ett deltagande från medlemsstaternas företrädare i utskottssammanträden samt snabba och utförliga svar på begäranden om förtydliganden och information från utskottet för framställningar till nationella myndigheter. </w:t>
      </w:r>
      <w:r w:rsidR="00E651E3" w:rsidRPr="00154A59">
        <w:rPr>
          <w:szCs w:val="24"/>
          <w:lang w:eastAsia="en-US"/>
        </w:rPr>
        <w:t xml:space="preserve">Parlamentet noterar det ökade antalet mottagna framställningar under 2023 som handlade om strukturella skillnader, såsom skillnader i </w:t>
      </w:r>
      <w:r w:rsidR="008930FB">
        <w:rPr>
          <w:szCs w:val="24"/>
          <w:lang w:eastAsia="en-US"/>
        </w:rPr>
        <w:t>löne-</w:t>
      </w:r>
      <w:r w:rsidR="00E651E3" w:rsidRPr="00154A59">
        <w:rPr>
          <w:szCs w:val="24"/>
          <w:lang w:eastAsia="en-US"/>
        </w:rPr>
        <w:t xml:space="preserve"> och pensionsinkomster mellan befolkningsgrupper. Parlamentet efterfrågar att man genom samordnade insatser</w:t>
      </w:r>
      <w:r w:rsidR="008930FB">
        <w:rPr>
          <w:szCs w:val="24"/>
          <w:lang w:eastAsia="en-US"/>
        </w:rPr>
        <w:t>,</w:t>
      </w:r>
      <w:r w:rsidR="00E651E3" w:rsidRPr="00154A59">
        <w:rPr>
          <w:szCs w:val="24"/>
          <w:lang w:eastAsia="en-US"/>
        </w:rPr>
        <w:t xml:space="preserve"> tillsammans med de berörda utskotten och kommissionen</w:t>
      </w:r>
      <w:r w:rsidR="008930FB">
        <w:rPr>
          <w:szCs w:val="24"/>
          <w:lang w:eastAsia="en-US"/>
        </w:rPr>
        <w:t>,</w:t>
      </w:r>
      <w:r w:rsidR="00E651E3" w:rsidRPr="00154A59">
        <w:rPr>
          <w:szCs w:val="24"/>
          <w:lang w:eastAsia="en-US"/>
        </w:rPr>
        <w:t xml:space="preserve"> på ett systematiskt sätt analyserar och griper sig an dessa farhågor. Parlamentet efterfrågar dessutom ett förbättrat skydd för och stöd till personer som är utsatta för övergrepp eller utestängning och som stöter på hinder när det gäller att få tillgång till lämpliga stödmekanismer och rättvisa.</w:t>
      </w:r>
    </w:p>
    <w:p w14:paraId="18713F5D" w14:textId="275A83BA" w:rsidR="00814C79" w:rsidRPr="008F1671" w:rsidRDefault="004A22D6" w:rsidP="00814C79">
      <w:pPr>
        <w:pStyle w:val="NormalHanging12a"/>
      </w:pPr>
      <w:r>
        <w:t>8</w:t>
      </w:r>
      <w:r w:rsidR="00814C79" w:rsidRPr="008F1671">
        <w:t>.</w:t>
      </w:r>
      <w:r w:rsidR="00814C79" w:rsidRPr="008F1671">
        <w:tab/>
        <w:t>Europaparlamentet påminner om att framställningar i hög grad bidrar till kommissionens utövande av sin roll som fördragens väktare genom att ge medborgarna ytterligare ett verktyg för att rapportera påstådda överträdelser av EU-rätten. Parlamentet betonar att ett konstruktivt samarbete mellan utskottet för framställningar och kommissionen, genom snabba och detaljerade svar från kommissionen som bygger på en grundlig genomgång av de frågor som tas upp i framställningarna, är avgörande för att säkerställa en framgångsrik behandling av framställningarna.</w:t>
      </w:r>
    </w:p>
    <w:p w14:paraId="4B9895D8" w14:textId="567C386E" w:rsidR="00814C79" w:rsidRPr="008F1671" w:rsidRDefault="004A22D6" w:rsidP="00814C79">
      <w:pPr>
        <w:pStyle w:val="NormalHanging12a"/>
      </w:pPr>
      <w:r>
        <w:t>9</w:t>
      </w:r>
      <w:r w:rsidR="00814C79" w:rsidRPr="008F1671">
        <w:t>.</w:t>
      </w:r>
      <w:r w:rsidR="00814C79" w:rsidRPr="008F1671">
        <w:tab/>
        <w:t>Europaparlamentet upprepar sin uppmaning till kommissionen att tillhandahålla rättsliga förtydliganden om de centrala kriterier som ligger till grund för dess strategi för att genomdriva EU-rätten och att regelbundet uppdatera utskottet för framställningar om utvecklingen i överträdelseförfaranden och att se till att utskottet för framställningar får tillgång till alla relevanta handlingar om EU Pilot- och överträdelseförfaranden samt lagstiftningsinitiativ som inletts på grundval av mottagna framställningar. Parlamentet anser att ökad transparens och regelbunden återkoppling om kommissionens hantering av pågående överträdelseförfaranden skulle gynna utskottets uppföljning av öppna framställningar. Parlamentet välkomnar det initiativ som kommissionen nyligen tog för att inkludera framställningar i söksystemet för kommissionens register över överträdelser. Parlamentet betonar att det är viktigt att kommissionen utreder framställningar i god tid och lyfter fram kränkningar av rättigheter som påverkar ett stort antal medborgare och bosatta i EU, och att den vid behov samråder med den relevanta nationella ombudsmannen. Parlamentet uttrycker oro över hur kommissionen hanterar vissa överträdelseförfaranden som inletts mot medlemsstaterna, inbegripet de som rör frågor som tas upp i många framställningar. Parlamentet uppmuntrar kommissionen att vidta alla nödvändiga åtgärder för att förbättra transparensen och effektiviteten i sin hantering av överträdelseförfaranden, eftersom medborgarna kan uppfatta den som otydlig.</w:t>
      </w:r>
    </w:p>
    <w:p w14:paraId="37B96F1D" w14:textId="768DC733" w:rsidR="00814C79" w:rsidRDefault="004A22D6" w:rsidP="00814C79">
      <w:pPr>
        <w:pStyle w:val="NormalHanging12a"/>
      </w:pPr>
      <w:r>
        <w:t>10</w:t>
      </w:r>
      <w:r w:rsidR="00814C79" w:rsidRPr="008F1671">
        <w:t>.</w:t>
      </w:r>
      <w:r w:rsidR="00814C79" w:rsidRPr="008F1671">
        <w:tab/>
        <w:t xml:space="preserve">Europaparlamentet uppmanar kommissionen att bedöma om de nationella myndigheterna vidtar nödvändiga åtgärder för att bemöta de farhågor som medborgare ger uttryck för i sina framställningar, i de fall där det förekommer brister avseende efterlevnaden av EU-rätten, och att vid behov inleda överträdelseförfaranden. Parlamentet betonar att snabba och proaktiva åtgärder från kommissionens sida vid överträdelser av EU-rätten är avgörande för att förhindra sådana överträdelser, som skulle kunna undergräva medborgarnas förtroende för EU-institutionerna och bli </w:t>
      </w:r>
      <w:r w:rsidR="00814C79" w:rsidRPr="008F1671">
        <w:lastRenderedPageBreak/>
        <w:t>systematiska.</w:t>
      </w:r>
    </w:p>
    <w:p w14:paraId="0923C8BE" w14:textId="0379311C" w:rsidR="006C29ED" w:rsidRPr="006C29ED" w:rsidRDefault="004A22D6" w:rsidP="00814C79">
      <w:pPr>
        <w:pStyle w:val="NormalHanging12a"/>
      </w:pPr>
      <w:r w:rsidRPr="004A22D6">
        <w:rPr>
          <w:szCs w:val="24"/>
          <w:lang w:eastAsia="en-US"/>
        </w:rPr>
        <w:t>11</w:t>
      </w:r>
      <w:r w:rsidR="006C29ED" w:rsidRPr="00154A59">
        <w:rPr>
          <w:szCs w:val="24"/>
          <w:lang w:eastAsia="en-US"/>
        </w:rPr>
        <w:t>.</w:t>
      </w:r>
      <w:r w:rsidR="006C29ED" w:rsidRPr="006C29ED">
        <w:rPr>
          <w:szCs w:val="24"/>
          <w:lang w:eastAsia="en-US"/>
        </w:rPr>
        <w:tab/>
      </w:r>
      <w:r w:rsidR="006C29ED" w:rsidRPr="00154A59">
        <w:rPr>
          <w:szCs w:val="24"/>
          <w:lang w:eastAsia="en-US"/>
        </w:rPr>
        <w:t>Europaparlamentet påminner om att yttrandefriheten är en grundläggande pelare i den europeiska demokratin. Parlamentet fördömer alla försök att censurera, marginalisera eller trakassera medborgare eller deras valda företrädare på grund av deras politiska åsikter. Parlamentet betonar också att respekten för valresultaten, på nationell och europeisk nivå, är avgörande för att upprätthålla medborgarnas förtroende för den demokratiska processen.</w:t>
      </w:r>
    </w:p>
    <w:p w14:paraId="5FE877BC" w14:textId="381FD74E" w:rsidR="00814C79" w:rsidRDefault="004A22D6" w:rsidP="00814C79">
      <w:pPr>
        <w:pStyle w:val="NormalHanging12a"/>
      </w:pPr>
      <w:r>
        <w:t>12</w:t>
      </w:r>
      <w:r w:rsidR="00814C79" w:rsidRPr="008F1671">
        <w:t>.</w:t>
      </w:r>
      <w:r w:rsidR="00814C79" w:rsidRPr="008F1671">
        <w:tab/>
        <w:t>Europaparlamentet betonar behovet av ett förstärkt och mer aktivt samarbete mellan medlemsstaterna och utskottet för framställningar för att häva blockeringen av de framställningar som kräver snabba svar och reaktioner från de nationella myndigheterna. Parlamentet påminner om att medlemsstaternas försenade svar skulle kunna inverka på en snabb lösning av frågor som tagits upp av medborgarna och få negativa konsekvenser för lösningen av överträdelser av unionsrätten. Medlemsstaterna bör garantera svar på framställningar inom den begärda tidsfristen på tre månader. Parlamentet betonar att bättre samordning och dialog skulle underlätta en effektivare hantering av medborgarnas farhågor, förhindra onödiga förseningar och effektivisera framställningsprocessen.</w:t>
      </w:r>
    </w:p>
    <w:p w14:paraId="6C01C4F2" w14:textId="0B8530B9" w:rsidR="006C29ED" w:rsidRPr="006C29ED" w:rsidRDefault="004A22D6" w:rsidP="00814C79">
      <w:pPr>
        <w:pStyle w:val="NormalHanging12a"/>
      </w:pPr>
      <w:r w:rsidRPr="004A22D6">
        <w:rPr>
          <w:szCs w:val="24"/>
          <w:lang w:eastAsia="en-US"/>
        </w:rPr>
        <w:t>13</w:t>
      </w:r>
      <w:r w:rsidR="006C29ED" w:rsidRPr="00154A59">
        <w:rPr>
          <w:szCs w:val="24"/>
          <w:lang w:eastAsia="en-US"/>
        </w:rPr>
        <w:t>.</w:t>
      </w:r>
      <w:r w:rsidR="006C29ED" w:rsidRPr="006C29ED">
        <w:rPr>
          <w:szCs w:val="24"/>
          <w:lang w:eastAsia="en-US"/>
        </w:rPr>
        <w:tab/>
      </w:r>
      <w:r w:rsidR="006C29ED" w:rsidRPr="00154A59">
        <w:rPr>
          <w:szCs w:val="24"/>
          <w:lang w:eastAsia="en-US"/>
        </w:rPr>
        <w:t xml:space="preserve">Europaparlamentet noterar med oro att de rekommendationer som utskottet för framställningar utfärdade i sitt betänkande av den 19 mars 2024 efter sin resa till Katalonien ännu inte har genomförts fullt ut av de berörda utbildningsmyndigheterna, särskilt de </w:t>
      </w:r>
      <w:r w:rsidR="008930FB">
        <w:rPr>
          <w:szCs w:val="24"/>
          <w:lang w:eastAsia="en-US"/>
        </w:rPr>
        <w:t xml:space="preserve">rekommendationer </w:t>
      </w:r>
      <w:r w:rsidR="006C29ED" w:rsidRPr="00154A59">
        <w:rPr>
          <w:szCs w:val="24"/>
          <w:lang w:eastAsia="en-US"/>
        </w:rPr>
        <w:t>som rör skyddet av språkliga rättigheter för alla studenter och deras familjer. Parlamentet beklagar djupt de spänningar som utskottets ledamöter erfor under sitt besök i Barcelona den 18–20 december 2023 och efterlyser respektfull dialog och samarbete mellan alla berörda parter för att säkerställa att demokratiska institutioner kan utföra sina uppdrag i ett klimat präglat av ömsesidig respekt och förståelse.</w:t>
      </w:r>
    </w:p>
    <w:p w14:paraId="74465D15" w14:textId="389394D7" w:rsidR="00814C79" w:rsidRPr="008F1671" w:rsidRDefault="004A22D6" w:rsidP="00814C79">
      <w:pPr>
        <w:pStyle w:val="NormalHanging12a"/>
        <w:keepNext/>
        <w:keepLines/>
        <w:widowControl/>
        <w:rPr>
          <w:b/>
          <w:i/>
        </w:rPr>
      </w:pPr>
      <w:r>
        <w:t>14</w:t>
      </w:r>
      <w:r w:rsidR="00814C79" w:rsidRPr="008F1671">
        <w:t>.</w:t>
      </w:r>
      <w:r w:rsidR="00814C79" w:rsidRPr="008F1671">
        <w:rPr>
          <w:b/>
          <w:i/>
        </w:rPr>
        <w:tab/>
      </w:r>
      <w:r w:rsidR="00814C79" w:rsidRPr="008F1671">
        <w:t>Europaparlamentet fördömer skarpt de trakasserier och hotelser som de officiella medlemmarna i delegationen från utskottet för framställningar utsattes för under sin undersökningsresa till Barcelona den 18–20 december 2023 i syfte att på plats bedöma språkbadsmodellen i Katalonien, dess inverkan på familjer som flyttar till och är bosatta i den autonoma regionen samt på flerspråkighet och icke-diskriminering och rättsstaten.</w:t>
      </w:r>
    </w:p>
    <w:p w14:paraId="73C9D1A5" w14:textId="3B355147" w:rsidR="00814C79" w:rsidRPr="008F1671" w:rsidRDefault="004A22D6" w:rsidP="00814C79">
      <w:pPr>
        <w:pStyle w:val="NormalHanging12a"/>
        <w:rPr>
          <w:b/>
          <w:i/>
        </w:rPr>
      </w:pPr>
      <w:r>
        <w:t>15</w:t>
      </w:r>
      <w:r w:rsidR="00814C79" w:rsidRPr="008F1671">
        <w:t>.</w:t>
      </w:r>
      <w:r w:rsidR="00814C79" w:rsidRPr="008F1671">
        <w:tab/>
        <w:t>Europaparlamentet beklagar att de behöriga utbildningsmyndigheterna i regionen inte har genomfört de rekommendationer som utskottet för framställningar utfärdade i sitt betänkande av den 19 mars 2024 efter uppdraget, som syftar till att skydda elevernas och deras familjers språkliga rättigheter.</w:t>
      </w:r>
    </w:p>
    <w:p w14:paraId="207C94CA" w14:textId="077BDD26" w:rsidR="00814C79" w:rsidRPr="008F1671" w:rsidRDefault="004A22D6" w:rsidP="00814C79">
      <w:pPr>
        <w:pStyle w:val="NormalHanging12a"/>
      </w:pPr>
      <w:r>
        <w:t>16</w:t>
      </w:r>
      <w:r w:rsidR="00814C79" w:rsidRPr="008F1671">
        <w:t>.</w:t>
      </w:r>
      <w:r w:rsidR="00814C79" w:rsidRPr="008F1671">
        <w:tab/>
        <w:t xml:space="preserve">Europaparlamentet påminner om att </w:t>
      </w:r>
      <w:proofErr w:type="spellStart"/>
      <w:r w:rsidR="00814C79" w:rsidRPr="008F1671">
        <w:t>ePetition</w:t>
      </w:r>
      <w:proofErr w:type="spellEnd"/>
      <w:r w:rsidR="00814C79" w:rsidRPr="008F1671">
        <w:t xml:space="preserve">-databasen är ett viktigt internt verktyg som gör det möjligt för ledamöterna i utskottet för framställningar att få tillgång till all nödvändig information för att följa upp läget för varje framställning och kunna fatta välgrundade beslut om behandlingen av framställningarna. Parlamentet konstaterar att </w:t>
      </w:r>
      <w:proofErr w:type="spellStart"/>
      <w:r w:rsidR="00814C79" w:rsidRPr="008F1671">
        <w:t>ePetition</w:t>
      </w:r>
      <w:proofErr w:type="spellEnd"/>
      <w:r w:rsidR="00814C79" w:rsidRPr="008F1671">
        <w:t>-databasen också spelar en viktig roll i kommunikationen med framställarna.</w:t>
      </w:r>
    </w:p>
    <w:p w14:paraId="6664C7F2" w14:textId="35DFB1CE" w:rsidR="00814C79" w:rsidRPr="008F1671" w:rsidRDefault="004A22D6" w:rsidP="00814C79">
      <w:pPr>
        <w:pStyle w:val="NormalHanging12a"/>
      </w:pPr>
      <w:r>
        <w:t>17</w:t>
      </w:r>
      <w:r w:rsidR="00814C79" w:rsidRPr="008F1671">
        <w:t>.</w:t>
      </w:r>
      <w:r w:rsidR="00814C79" w:rsidRPr="008F1671">
        <w:tab/>
        <w:t xml:space="preserve">Europaparlamentet påminner om kommissionens åtagande att tillsammans med parlamentet skapa ett interinstitutionellt </w:t>
      </w:r>
      <w:proofErr w:type="spellStart"/>
      <w:r w:rsidR="00814C79" w:rsidRPr="008F1671">
        <w:t>it-verktyg</w:t>
      </w:r>
      <w:proofErr w:type="spellEnd"/>
      <w:r w:rsidR="00814C79" w:rsidRPr="008F1671">
        <w:t xml:space="preserve"> för att utbyta information och handlingar om alla uppföljningsåtgärder i anslutning till framställningar, såsom överträdelseförfaranden, lagstiftningsförslag och svar från nationella myndigheter, för </w:t>
      </w:r>
      <w:r w:rsidR="00814C79" w:rsidRPr="008F1671">
        <w:lastRenderedPageBreak/>
        <w:t>att på så sätt öka insynen och effektiviteten i behandlingen av framställningarna, vilket i ett större sammanhang skulle bidra till att öka medborgarnas förtroende för EU</w:t>
      </w:r>
      <w:r w:rsidR="00814C79" w:rsidRPr="008F1671">
        <w:noBreakHyphen/>
        <w:t>institutionerna och det europeiska projektet.</w:t>
      </w:r>
    </w:p>
    <w:p w14:paraId="43578274" w14:textId="61B4EBBF" w:rsidR="00814C79" w:rsidRPr="008F1671" w:rsidRDefault="004A22D6" w:rsidP="00814C79">
      <w:pPr>
        <w:pStyle w:val="NormalHanging12a"/>
      </w:pPr>
      <w:r>
        <w:t>18</w:t>
      </w:r>
      <w:r w:rsidR="00814C79" w:rsidRPr="008F1671">
        <w:t>.</w:t>
      </w:r>
      <w:r w:rsidR="00814C79" w:rsidRPr="008F1671">
        <w:tab/>
      </w:r>
      <w:r w:rsidR="006C29ED" w:rsidRPr="006C29ED">
        <w:rPr>
          <w:szCs w:val="24"/>
          <w:lang w:eastAsia="en-US"/>
        </w:rPr>
        <w:t>Europaparlamentet påminner om att samarbete med parlamentets övriga utskott är avgörande för att framställningarna ska behandlas på ett grundligt sätt</w:t>
      </w:r>
      <w:r w:rsidR="008930FB">
        <w:rPr>
          <w:szCs w:val="24"/>
          <w:lang w:eastAsia="en-US"/>
        </w:rPr>
        <w:t>,</w:t>
      </w:r>
      <w:r w:rsidR="006C29ED" w:rsidRPr="006C29ED">
        <w:rPr>
          <w:b/>
          <w:i/>
          <w:szCs w:val="24"/>
          <w:lang w:eastAsia="en-US"/>
        </w:rPr>
        <w:t xml:space="preserve"> </w:t>
      </w:r>
      <w:r w:rsidR="006C29ED" w:rsidRPr="00154A59">
        <w:rPr>
          <w:szCs w:val="24"/>
          <w:lang w:eastAsia="en-US"/>
        </w:rPr>
        <w:t>och att framställningar om jämställdhet, olika familjekonstellationer, miljörättvisa och minoriteters språkliga rättigheter bör tillägnas särskild uppmärksamhet</w:t>
      </w:r>
      <w:r w:rsidR="006C29ED" w:rsidRPr="004A22D6">
        <w:rPr>
          <w:szCs w:val="24"/>
          <w:lang w:eastAsia="en-US"/>
        </w:rPr>
        <w:t>.</w:t>
      </w:r>
      <w:r w:rsidR="006C29ED" w:rsidRPr="006C29ED">
        <w:rPr>
          <w:szCs w:val="24"/>
          <w:lang w:eastAsia="en-US"/>
        </w:rPr>
        <w:t xml:space="preserve"> Parlamentet noterar att 34 begäranden om yttrande (motsvarande 31 framställningar) och 223 begäranden om information skickades till andra utskott 2023. Parlamentet noterar att endast 25 svar hade mottagits på de 34 begärandena om yttrande i slutet av 2023 (i 14 fall lämnades ett yttrande medan utskottet i 10 fall beslutade att inte utarbeta något yttrande, och vid fyra tillfällen hade inget officiellt beslut meddelats). Parlamentet påminner om att framställarna informeras om beslut att begära yttranden från andra utskott inom ramen för behandlingen av deras framställningar. Parlamentet understryker att utskotten bör öka sina ansträngningar för att aktivt bidra till granskningen av framställningar – genom att erbjuda sin sakkunskap – för att göra det möjligt för parlamentet att reagera snabbare och mer heltäckande på medborgarnas farhågor.</w:t>
      </w:r>
    </w:p>
    <w:p w14:paraId="0F34796E" w14:textId="74C4FC43" w:rsidR="00814C79" w:rsidRPr="008F1671" w:rsidRDefault="004A22D6" w:rsidP="00814C79">
      <w:pPr>
        <w:pStyle w:val="NormalHanging12a"/>
        <w:keepNext/>
        <w:keepLines/>
        <w:widowControl/>
      </w:pPr>
      <w:r>
        <w:t>19</w:t>
      </w:r>
      <w:r w:rsidR="00814C79" w:rsidRPr="008F1671">
        <w:t>.</w:t>
      </w:r>
      <w:r w:rsidR="00814C79" w:rsidRPr="008F1671">
        <w:tab/>
        <w:t xml:space="preserve">Europaparlamentet anser att nätverket för framställningar är ett användbart verktyg för att underlätta uppföljningen av framställningar i parlamentariskt arbete och lagstiftningsarbete. Parlamentet är övertygat om att regelbundna möten i nätverket för framställningar är avgörande för att säkerställa att verksamheten i utskottet för framställningar blir mer synlig och dess arbete och uppdrag förstås bättre, liksom för att stärka samarbetet med de andra utskotten. </w:t>
      </w:r>
    </w:p>
    <w:p w14:paraId="6B2329E7" w14:textId="440E9C89" w:rsidR="00814C79" w:rsidRPr="008F1671" w:rsidRDefault="004A22D6" w:rsidP="00814C79">
      <w:pPr>
        <w:pStyle w:val="NormalHanging12a"/>
      </w:pPr>
      <w:r>
        <w:t>20</w:t>
      </w:r>
      <w:r w:rsidR="00814C79" w:rsidRPr="008F1671">
        <w:t>.</w:t>
      </w:r>
      <w:r w:rsidR="00814C79" w:rsidRPr="008F1671">
        <w:tab/>
        <w:t>Europaparlamentet understryker att utskottet för framställningar uttryckte sin ståndpunkt i viktiga frågor som togs upp i framställningarna genom att anta sitt betänkande om resultatet av överläggningarna i utskottet för framställningar under 2022</w:t>
      </w:r>
      <w:r w:rsidR="00814C79" w:rsidRPr="008F1671">
        <w:rPr>
          <w:rStyle w:val="FootnoteReference"/>
        </w:rPr>
        <w:footnoteReference w:id="5"/>
      </w:r>
      <w:r w:rsidR="00814C79" w:rsidRPr="008F1671">
        <w:t>.</w:t>
      </w:r>
    </w:p>
    <w:p w14:paraId="3F0B84EB" w14:textId="7F9819E5" w:rsidR="00814C79" w:rsidRPr="008F1671" w:rsidRDefault="004A22D6" w:rsidP="00814C79">
      <w:pPr>
        <w:pStyle w:val="NormalHanging12a"/>
      </w:pPr>
      <w:r>
        <w:t>21</w:t>
      </w:r>
      <w:r w:rsidR="00814C79" w:rsidRPr="008F1671">
        <w:t>.</w:t>
      </w:r>
      <w:r w:rsidR="00814C79" w:rsidRPr="008F1671">
        <w:tab/>
        <w:t>Europaparlamentet framhåller att antalet framställningar om frågor som rör yttre förbindelser minskade något jämfört med 2022. Parlamentet noterar att detta skulle kunna förklaras av det nya geopolitiska sammanhanget 2023 och i synnerhet en minskning av antalet framställningar om kriget i Ukraina och en betydande ökning av antalet framställningar om de nya konflikterna i Mellanöstern. Utskottet för framställningar tog del av medborgarnas oro över bland annat sanktioner, säkerhet, konfliktlösning, viseringspolitik och framstegen för EU:s kandidatländer och förde upp ett antal framställningar på sin dagordning som i synnerhet rörde frågor om flyktingars situation, särskilt barn, och situationen för flyktingar från Venezuela i EU. Parlamentet konstaterar att utskotten redan aktivt arbetar med dessa frågor, och betonar att utskottet för utrikesfrågor och utskottet för medborgerliga fri- och rättigheter samt rättsliga och inrikes frågor bör ta del av dessa framställningar i sina överläggningar.</w:t>
      </w:r>
    </w:p>
    <w:p w14:paraId="37F70AE8" w14:textId="09265623" w:rsidR="00E0335F" w:rsidRPr="008F1671" w:rsidRDefault="004A22D6" w:rsidP="00E0335F">
      <w:pPr>
        <w:pStyle w:val="NormalHanging12a"/>
      </w:pPr>
      <w:r>
        <w:t>22</w:t>
      </w:r>
      <w:r w:rsidR="00814C79" w:rsidRPr="008F1671">
        <w:t>.</w:t>
      </w:r>
      <w:r w:rsidR="00814C79" w:rsidRPr="008F1671">
        <w:tab/>
        <w:t xml:space="preserve">Europaparlamentet noterar att hälsa, som var ett av de största problemområdena för framställarna 2022, verkade fortsätta att spela en viktig roll 2023. Parlamentet noterar i synnerhet att utskottet för framställningar granskade och diskuterade framställningar </w:t>
      </w:r>
      <w:r w:rsidR="00814C79" w:rsidRPr="008F1671">
        <w:lastRenderedPageBreak/>
        <w:t>om förbudet mot kemikalier och tungmetaller i barnleksaker, stöd för hälsosamma och miljövänliga livsmedelssystem och livsstilar och genomförandet av EU:s föreskrifter om tillsatt socker i livsmedel avsedda för spädbarn och småbarn.</w:t>
      </w:r>
    </w:p>
    <w:p w14:paraId="1B6A3076" w14:textId="042B5E25" w:rsidR="00814C79" w:rsidRPr="008F1671" w:rsidRDefault="004A22D6" w:rsidP="00E0335F">
      <w:pPr>
        <w:pStyle w:val="NormalHanging12a"/>
      </w:pPr>
      <w:r>
        <w:t>23</w:t>
      </w:r>
      <w:r w:rsidR="00814C79" w:rsidRPr="008F1671">
        <w:t>.</w:t>
      </w:r>
      <w:r w:rsidR="00814C79" w:rsidRPr="008F1671">
        <w:tab/>
      </w:r>
      <w:r w:rsidR="006C29ED" w:rsidRPr="006C29ED">
        <w:rPr>
          <w:szCs w:val="24"/>
          <w:lang w:eastAsia="en-US"/>
        </w:rPr>
        <w:t xml:space="preserve">Europaparlamentet uppmärksammar det stora antalet framställningar som lämnats in och diskuterats </w:t>
      </w:r>
      <w:r w:rsidR="006C29ED" w:rsidRPr="00154A59">
        <w:rPr>
          <w:szCs w:val="24"/>
          <w:lang w:eastAsia="en-US"/>
        </w:rPr>
        <w:t>om medborgarnas</w:t>
      </w:r>
      <w:r w:rsidR="006C29ED" w:rsidRPr="006C29ED">
        <w:rPr>
          <w:szCs w:val="24"/>
          <w:lang w:eastAsia="en-US"/>
        </w:rPr>
        <w:t xml:space="preserve"> oro över återinförandet av gränskontroller mellan vissa medlemsstater, </w:t>
      </w:r>
      <w:r w:rsidR="007F56C2" w:rsidRPr="00154A59">
        <w:rPr>
          <w:szCs w:val="24"/>
          <w:lang w:eastAsia="en-US"/>
        </w:rPr>
        <w:t>i vilka man</w:t>
      </w:r>
      <w:r w:rsidR="006C29ED" w:rsidRPr="006C29ED">
        <w:rPr>
          <w:szCs w:val="24"/>
          <w:lang w:eastAsia="en-US"/>
        </w:rPr>
        <w:t xml:space="preserve"> tar upp den problematiska aspekten av begränsningar av den fria rörligheten för personer inom EU och andra aspekter såsom styrkor och svagheter </w:t>
      </w:r>
      <w:r w:rsidR="006C29ED" w:rsidRPr="00154A59">
        <w:rPr>
          <w:szCs w:val="24"/>
          <w:lang w:eastAsia="en-US"/>
        </w:rPr>
        <w:t>när det gäller</w:t>
      </w:r>
      <w:r w:rsidR="006C29ED" w:rsidRPr="006C29ED">
        <w:rPr>
          <w:szCs w:val="24"/>
          <w:lang w:eastAsia="en-US"/>
        </w:rPr>
        <w:t xml:space="preserve"> utvidgningen av Schengenområdet</w:t>
      </w:r>
      <w:r w:rsidR="006C29ED" w:rsidRPr="006C29ED">
        <w:rPr>
          <w:b/>
          <w:i/>
          <w:szCs w:val="24"/>
          <w:lang w:eastAsia="en-US"/>
        </w:rPr>
        <w:t>.</w:t>
      </w:r>
      <w:r w:rsidR="006C29ED" w:rsidRPr="006C29ED">
        <w:rPr>
          <w:szCs w:val="24"/>
          <w:lang w:eastAsia="en-US"/>
        </w:rPr>
        <w:t xml:space="preserve"> </w:t>
      </w:r>
      <w:r w:rsidR="006C29ED" w:rsidRPr="00154A59">
        <w:rPr>
          <w:szCs w:val="24"/>
          <w:lang w:eastAsia="en-US"/>
        </w:rPr>
        <w:t>Parlamentet påminner om</w:t>
      </w:r>
      <w:r w:rsidR="006C29ED" w:rsidRPr="007F56C2">
        <w:rPr>
          <w:szCs w:val="24"/>
          <w:lang w:eastAsia="en-US"/>
        </w:rPr>
        <w:t xml:space="preserve"> att </w:t>
      </w:r>
      <w:r w:rsidR="006C29ED" w:rsidRPr="00154A59">
        <w:rPr>
          <w:szCs w:val="24"/>
          <w:lang w:eastAsia="en-US"/>
        </w:rPr>
        <w:t>medlemsstaterna får återinföra inre gränskontroller</w:t>
      </w:r>
      <w:r w:rsidRPr="00154A59">
        <w:rPr>
          <w:rStyle w:val="FootnoteReference"/>
          <w:szCs w:val="24"/>
          <w:lang w:eastAsia="en-US"/>
        </w:rPr>
        <w:footnoteReference w:id="6"/>
      </w:r>
      <w:r w:rsidR="006C29ED" w:rsidRPr="00154A59">
        <w:rPr>
          <w:szCs w:val="24"/>
          <w:lang w:eastAsia="en-US"/>
        </w:rPr>
        <w:t xml:space="preserve"> i händelse av ett allvarligt hot mot den allmänna ordningen eller den inre säkerheten eller under exceptionella omständigheter som hotar Schengenområdets övergripande funktionssätt</w:t>
      </w:r>
      <w:r w:rsidR="006C29ED" w:rsidRPr="007F56C2">
        <w:rPr>
          <w:szCs w:val="24"/>
          <w:lang w:eastAsia="en-US"/>
        </w:rPr>
        <w:t>.</w:t>
      </w:r>
      <w:r w:rsidR="006C29ED" w:rsidRPr="006C29ED">
        <w:rPr>
          <w:szCs w:val="24"/>
          <w:lang w:eastAsia="en-US"/>
        </w:rPr>
        <w:t xml:space="preserve"> </w:t>
      </w:r>
      <w:r w:rsidR="00814C79" w:rsidRPr="008F1671">
        <w:t xml:space="preserve">Parlamentet uppskattar den viktiga roll som utskottet för framställningar spelar, i synnerhet </w:t>
      </w:r>
      <w:r w:rsidR="007F56C2">
        <w:t>bredden av den</w:t>
      </w:r>
      <w:r w:rsidR="00814C79" w:rsidRPr="008F1671">
        <w:t xml:space="preserve"> verksamhet som bedrivs, antagandet i utskottet av ett kortfattat förslag till resolution om anslutning till Schengenområdet den 27 juni 2023 och parlamentets tillhörande resolution, för att starkt stödja utvidgningen av Schengenområdet så att det inkluderar Rumänien och Bulgarien, och anordnandet av en offentlig utfrågning om Schengengränserna den 18 juli 2023 tillsammans med utskottet för medborgerliga fri- och rättigheter samt rättsliga och inrikes frågor. Parlamentet välkomnar rådets enhälliga beslut om fullt medlemskap </w:t>
      </w:r>
      <w:r w:rsidR="007F56C2">
        <w:t xml:space="preserve">i Schengenområdet </w:t>
      </w:r>
      <w:r w:rsidR="00814C79" w:rsidRPr="008F1671">
        <w:t>för båda länderna från och med den 1 januari 2025, vilket gör det möjligt att fullt ut utöva de grundläggande friheterna på EU:s inre marknad.</w:t>
      </w:r>
      <w:r w:rsidR="006C29ED">
        <w:t xml:space="preserve"> </w:t>
      </w:r>
      <w:r w:rsidR="006C29ED" w:rsidRPr="00154A59">
        <w:rPr>
          <w:szCs w:val="24"/>
          <w:lang w:eastAsia="en-US"/>
        </w:rPr>
        <w:t xml:space="preserve">Parlamentet betonar att beslutet att hindra </w:t>
      </w:r>
      <w:r w:rsidR="007F56C2">
        <w:rPr>
          <w:szCs w:val="24"/>
          <w:lang w:eastAsia="en-US"/>
        </w:rPr>
        <w:t xml:space="preserve">dessa </w:t>
      </w:r>
      <w:r w:rsidR="006C29ED" w:rsidRPr="00154A59">
        <w:rPr>
          <w:szCs w:val="24"/>
          <w:lang w:eastAsia="en-US"/>
        </w:rPr>
        <w:t>medlemsstater från att ansluta sig till Schengenområdet trots att de uppfyllde alla nödvändiga krav var diskriminerande och saknade rättslig grund samt</w:t>
      </w:r>
      <w:r w:rsidR="00154A59">
        <w:rPr>
          <w:szCs w:val="24"/>
          <w:lang w:eastAsia="en-US"/>
        </w:rPr>
        <w:t xml:space="preserve"> </w:t>
      </w:r>
      <w:r w:rsidR="006C29ED" w:rsidRPr="00154A59">
        <w:rPr>
          <w:szCs w:val="24"/>
          <w:lang w:eastAsia="en-US"/>
        </w:rPr>
        <w:t xml:space="preserve">allvarligt </w:t>
      </w:r>
      <w:r w:rsidR="007F56C2">
        <w:rPr>
          <w:szCs w:val="24"/>
          <w:lang w:eastAsia="en-US"/>
        </w:rPr>
        <w:t xml:space="preserve">påverkade </w:t>
      </w:r>
      <w:r w:rsidR="006C29ED" w:rsidRPr="00154A59">
        <w:rPr>
          <w:szCs w:val="24"/>
          <w:lang w:eastAsia="en-US"/>
        </w:rPr>
        <w:t>många EU-medborgare.</w:t>
      </w:r>
      <w:r w:rsidR="00814C79" w:rsidRPr="00154A59">
        <w:t> </w:t>
      </w:r>
    </w:p>
    <w:p w14:paraId="53D1F1F6" w14:textId="475D3B6C" w:rsidR="00814C79" w:rsidRPr="008F1671" w:rsidRDefault="00814C79" w:rsidP="00814C79">
      <w:pPr>
        <w:pStyle w:val="NormalHanging12a"/>
        <w:rPr>
          <w:b/>
          <w:i/>
        </w:rPr>
      </w:pPr>
      <w:r w:rsidRPr="008F1671">
        <w:t>2</w:t>
      </w:r>
      <w:r w:rsidR="004A22D6">
        <w:t>4</w:t>
      </w:r>
      <w:r w:rsidRPr="008F1671">
        <w:t>.</w:t>
      </w:r>
      <w:r w:rsidRPr="008F1671">
        <w:rPr>
          <w:b/>
          <w:i/>
        </w:rPr>
        <w:tab/>
      </w:r>
      <w:r w:rsidR="006C29ED" w:rsidRPr="006C29ED">
        <w:rPr>
          <w:szCs w:val="24"/>
          <w:lang w:eastAsia="en-US"/>
        </w:rPr>
        <w:t>Europaparlamentet noterar den plötsliga ökningen av framställningar av spanskt ursprung under andra halvåret 2023 rörande riskerna för rättsstaten i Spanien till följd av den spanska regeringens avsikt att anta en amnestilag som strider mot författningen och EU-rätten.</w:t>
      </w:r>
      <w:r w:rsidR="006C29ED" w:rsidRPr="006C29ED">
        <w:rPr>
          <w:b/>
          <w:i/>
          <w:szCs w:val="24"/>
          <w:lang w:eastAsia="en-US"/>
        </w:rPr>
        <w:t xml:space="preserve"> </w:t>
      </w:r>
      <w:r w:rsidR="006C29ED" w:rsidRPr="00154A59">
        <w:rPr>
          <w:szCs w:val="24"/>
          <w:lang w:eastAsia="en-US"/>
        </w:rPr>
        <w:t>Parlamentet beklagar djupt det angrepp som den spanska regeringen riktat mot rättsstat</w:t>
      </w:r>
      <w:r w:rsidR="007F56C2">
        <w:rPr>
          <w:szCs w:val="24"/>
          <w:lang w:eastAsia="en-US"/>
        </w:rPr>
        <w:t>en</w:t>
      </w:r>
      <w:r w:rsidR="006C29ED" w:rsidRPr="00154A59">
        <w:rPr>
          <w:szCs w:val="24"/>
          <w:lang w:eastAsia="en-US"/>
        </w:rPr>
        <w:t xml:space="preserve"> och maktfördelningen.</w:t>
      </w:r>
    </w:p>
    <w:p w14:paraId="23EE1616" w14:textId="77777777" w:rsidR="00246160" w:rsidRDefault="00814C79" w:rsidP="00154A59">
      <w:pPr>
        <w:pStyle w:val="NormalHanging12a"/>
      </w:pPr>
      <w:r w:rsidRPr="008F1671">
        <w:t>2</w:t>
      </w:r>
      <w:r w:rsidR="004A22D6">
        <w:t>5</w:t>
      </w:r>
      <w:r w:rsidRPr="008F1671">
        <w:t>.</w:t>
      </w:r>
      <w:r w:rsidRPr="008F1671">
        <w:tab/>
        <w:t xml:space="preserve">Europaparlamentet understryker det arbete som utskottet för framställningar har utfört i samband med framställningar om gemensamma regler för en gemensam standard för handbagagedimensioner, och framhåller medborgarnas oro över de olägenheter och besvär som orsakas av inkonsekventa regler om kabinbagage från flygbolag och de dolda kostnader som detta medför. Parlamentet betonar sin uppmaning till efterlevnad av en relevant dom från domstolen i samband med översynen av EU:s luftfartslagstiftning. Parlamentet pekar i detta avseende på det kortfattade förslag till resolution om standardiserade dimensioner för handbagage som antogs av utskottet för framställningar den 20 september 2023, följt av antagandet av en resolution genom en enda omröstning i Europaparlamentet den 4 oktober 2023. Parlamentet välkomnar att kommissionen i november 2023 lade fram en översyn av ramen för passagerarrättigheter och en rad förslag som syftar till att förbättra passagerarnas och resenärernas upplevelser, inklusive kravet på ett begränsat antal gemensamma storlekar och vikter för att minska förvirringen. Parlamentet beklagar att passagerare med </w:t>
      </w:r>
      <w:r w:rsidRPr="008F1671">
        <w:lastRenderedPageBreak/>
        <w:t>funktionsnedsättning fortfarande stöter på alltför många hinder när de reser, särskilt när det gäller multimodala resor. Parlamentet beklagar att kollektivtrafiksystemen i många medlemsstater inte uppfyller kraven i FN:s konvention om rättigheter för personer med funktionsnedsättning.</w:t>
      </w:r>
    </w:p>
    <w:p w14:paraId="7D9839D3" w14:textId="7B6D1C92" w:rsidR="00814C79" w:rsidRPr="008F1671" w:rsidRDefault="004A22D6" w:rsidP="00154A59">
      <w:pPr>
        <w:pStyle w:val="NormalHanging12a"/>
      </w:pPr>
      <w:r>
        <w:t>26</w:t>
      </w:r>
      <w:r w:rsidR="00814C79" w:rsidRPr="008F1671">
        <w:t>.</w:t>
      </w:r>
      <w:r w:rsidR="00814C79" w:rsidRPr="008F1671">
        <w:tab/>
        <w:t>Europaparlamentet noterar att miljöfrågor fortsatte att väcka allvarlig oro hos framställarna under 2023, då mer än 21 % av framställningarna rörde miljöfrågor. Parlamentet beklagar att det i vissa av dessa framställningar hävdas att medlemsstaterna har genomfört EU-lagstiftningen på ett felaktigt sätt, och att vissa medlemsstater redan är föremål för överträdelseförfaranden på grund av överträdelser av EU:s miljölagstiftning. Parlamentet noterar att det i många framställningar framförs klagomål om luftkvalitet, bullerföroreningar, avfallshantering/avfallsbehandling, försämring av naturliga ekosystem och överträdelser av habitatdirektivet i olika medlemsstater. Parlamentet framhåller den offentliga utfrågning om läget i genomförandet av habitatdirektivet som anordnades den 24 maj 2023. Parlamentet noterar det arbete som utskottet för framställningar fortsatte att utföra under 2023 med avseende på effekterna av klimatförändringarna på olika områden, inte bara på miljöområdet utan även när det gäller markanvändning, och att utskottet förde upp ett antal framställningar om dessa frågor på dagordningen. Parlamentet pekar på det seminarium om klimatförändringarnas inverkan på den sociala tryggheten och de mest sårbara grupperna som anordnades den 22 mars 2023 och även presentationen av studien om ersättning till offer för katastrofer till följd av klimatförändringar den 18 juli 2023.</w:t>
      </w:r>
    </w:p>
    <w:p w14:paraId="53EF4CE3" w14:textId="2CFB5D69" w:rsidR="00814C79" w:rsidRPr="008F1671" w:rsidRDefault="004A22D6" w:rsidP="00814C79">
      <w:pPr>
        <w:pStyle w:val="NormalHanging12a"/>
      </w:pPr>
      <w:r>
        <w:t>27</w:t>
      </w:r>
      <w:r w:rsidR="00814C79" w:rsidRPr="008F1671">
        <w:t>.</w:t>
      </w:r>
      <w:r w:rsidR="00814C79" w:rsidRPr="008F1671">
        <w:tab/>
        <w:t>Europaparlamentet uppmärksammar det seminarium som anordnades av utskottet för framställningar den 25 januari 2023 om insyn i prissättningen och ersättningen för läkemedel, där insyn diskuterades ur patienters, konsumenters, läkemedelstillverkares och den akademiska forskningens perspektiv. Parlamentet noterar att diskussionerna fokuserade på företagens kostnader för forskning och utveckling och tillgänglig information om de priser som betalas för läkemedel, och understryker vikten av transparens i dessa frågor.</w:t>
      </w:r>
    </w:p>
    <w:p w14:paraId="1E657669" w14:textId="423B54F1" w:rsidR="00814C79" w:rsidRPr="004A22D6" w:rsidRDefault="004A22D6" w:rsidP="00814C79">
      <w:pPr>
        <w:pStyle w:val="NormalHanging12a"/>
      </w:pPr>
      <w:r>
        <w:t>28</w:t>
      </w:r>
      <w:r w:rsidR="00814C79" w:rsidRPr="008F1671">
        <w:t>.</w:t>
      </w:r>
      <w:r w:rsidR="00814C79" w:rsidRPr="008F1671">
        <w:tab/>
      </w:r>
      <w:r w:rsidR="006C29ED" w:rsidRPr="006C29ED">
        <w:rPr>
          <w:szCs w:val="24"/>
          <w:lang w:eastAsia="en-US"/>
        </w:rPr>
        <w:t>Europaparlamentet betonar vikten av att uppfylla EU-medborgarnas förväntningar i fråga om miljöskydd och uppmanar eftertryckligen kommissionen att tillsammans med medlemsstaterna säkerställa ett korrekt genomförande av EU:s miljölagstiftning, i synnerhet när det gäller olaglig avverkning. Parlamentet pekar på framställningarna om miljöfrågor, som återspeglar en växande oro bland allmänheten över klimatförändringarnas konsekvenser, vilket kräver att både kommissionen och medlemsstaterna konsekvent tillämpar EU:s befintliga miljölagstiftning</w:t>
      </w:r>
      <w:r w:rsidR="006C29ED" w:rsidRPr="004A22D6">
        <w:rPr>
          <w:szCs w:val="24"/>
          <w:lang w:eastAsia="en-US"/>
        </w:rPr>
        <w:t xml:space="preserve">. </w:t>
      </w:r>
      <w:r w:rsidR="006C29ED" w:rsidRPr="00154A59">
        <w:rPr>
          <w:szCs w:val="24"/>
          <w:lang w:eastAsia="en-US"/>
        </w:rPr>
        <w:t>Parlamentet betonar att det bör vara lika viktigt att ta hänsyn EU-medborgarnas förväntningar när det gäller miljöskydd som till den ekonomiska verkligheten i varje medlemsstat. Parlamentet understryker att överdriven lagstiftning har en negativ inverkan på tillväxtekonomierna. Parlamentet betonar därför att varje medlemsstat bör tillåtas att fatta beslut om sin övergångsprocess och att miljölagstiftningen inte bör hindra den ekonomiska konkurrenskraften.</w:t>
      </w:r>
    </w:p>
    <w:p w14:paraId="357C5ABC" w14:textId="79368C8C" w:rsidR="00814C79" w:rsidRPr="008F1671" w:rsidRDefault="004A22D6" w:rsidP="00814C79">
      <w:pPr>
        <w:pStyle w:val="NormalHanging12a"/>
        <w:rPr>
          <w:b/>
          <w:i/>
        </w:rPr>
      </w:pPr>
      <w:r>
        <w:t>29</w:t>
      </w:r>
      <w:r w:rsidR="00814C79" w:rsidRPr="008F1671">
        <w:t>.</w:t>
      </w:r>
      <w:r w:rsidR="00814C79" w:rsidRPr="008F1671">
        <w:rPr>
          <w:b/>
          <w:i/>
        </w:rPr>
        <w:tab/>
      </w:r>
      <w:r w:rsidR="00814C79" w:rsidRPr="008F1671">
        <w:t xml:space="preserve">Europaparlamentet erkänner de positiva effekterna av undersökningsresan till Rumänien den 15–18 maj 2023 på förvaltningen och skyddet av brunbjörnspopulationen. Parlamentet beklagar dock att det fortfarande förekommer alltför många dödsolyckor orsakade av brunbjörnar i anslutning till människor och boskap, vilket gör det nödvändigt med ytterligare övervakning och samarbete med de nationella </w:t>
      </w:r>
      <w:r w:rsidR="00814C79" w:rsidRPr="008F1671">
        <w:lastRenderedPageBreak/>
        <w:t>myndigheterna.</w:t>
      </w:r>
      <w:r>
        <w:t xml:space="preserve"> </w:t>
      </w:r>
      <w:r w:rsidRPr="00154A59">
        <w:rPr>
          <w:szCs w:val="24"/>
          <w:lang w:eastAsia="en-US"/>
        </w:rPr>
        <w:t>Parlamentet understryker att skyddet av människors liv och säkerhet alltid bör prioriteras.</w:t>
      </w:r>
    </w:p>
    <w:p w14:paraId="373D6786" w14:textId="77777777" w:rsidR="00246160" w:rsidRDefault="004A22D6" w:rsidP="00154A59">
      <w:pPr>
        <w:pStyle w:val="NormalHanging12a"/>
      </w:pPr>
      <w:r>
        <w:t>30</w:t>
      </w:r>
      <w:r w:rsidR="00814C79" w:rsidRPr="008F1671">
        <w:t>.</w:t>
      </w:r>
      <w:r w:rsidR="00814C79" w:rsidRPr="008F1671">
        <w:rPr>
          <w:b/>
          <w:i/>
        </w:rPr>
        <w:tab/>
      </w:r>
      <w:r w:rsidR="00814C79" w:rsidRPr="008F1671">
        <w:t>Efter undersökningsresan till Rumänien betonar Europaparlamentet behovet av en balans mellan naturskydd och medborgarnas säkerhet. Parlamentet understryker att varje medlemsstat bör tillåtas att vidta åtgärder, inbegripet populationskontroll av arten, för att förebygga hot mot sina medborgares liv och egendom.</w:t>
      </w:r>
    </w:p>
    <w:p w14:paraId="007F4495" w14:textId="7FD20602" w:rsidR="00814C79" w:rsidRPr="008F1671" w:rsidRDefault="004A22D6" w:rsidP="00154A59">
      <w:pPr>
        <w:pStyle w:val="NormalHanging12a"/>
      </w:pPr>
      <w:r>
        <w:t>31</w:t>
      </w:r>
      <w:r w:rsidR="00814C79" w:rsidRPr="008F1671">
        <w:t>.</w:t>
      </w:r>
      <w:r w:rsidR="00814C79" w:rsidRPr="008F1671">
        <w:tab/>
      </w:r>
      <w:r w:rsidRPr="004A22D6">
        <w:rPr>
          <w:szCs w:val="24"/>
          <w:lang w:eastAsia="en-US"/>
        </w:rPr>
        <w:t xml:space="preserve">Europaparlamentet </w:t>
      </w:r>
      <w:r w:rsidR="007F56C2">
        <w:rPr>
          <w:szCs w:val="24"/>
          <w:lang w:eastAsia="en-US"/>
        </w:rPr>
        <w:t xml:space="preserve">framhåller det engagemang som utskottet för framställningar visar när det gäller </w:t>
      </w:r>
      <w:r w:rsidRPr="004A22D6">
        <w:rPr>
          <w:szCs w:val="24"/>
          <w:lang w:eastAsia="en-US"/>
        </w:rPr>
        <w:t>att skydda rättigheterna för personer med funktionsnedsättning. Parlamentet påminner om det årliga seminarium som utskottet anordnade den 29 november 2023 om rättigheterna för personer med funktionsnedsättning. Parlamentet påminner om att den första delen fokuserade på hur personer med funktionsnedsättning hanterat den senaste tidens kriser (energikostnader, krig, hög inflation osv.) och hur EU:s åtgärder bidragit till att övervinna dessa hinder, medan man i den andra delen tog upp frågan om hur EU-institutionerna byggt upp en inkluderande kommunikation med medborgare med funktionsnedsättning. Parlamentet framhåller i detta sammanhang också utskottets antagande av ett yttrande</w:t>
      </w:r>
      <w:r w:rsidR="006F2CFA">
        <w:rPr>
          <w:szCs w:val="24"/>
          <w:lang w:eastAsia="en-US"/>
        </w:rPr>
        <w:t>, den 29 november 2023,</w:t>
      </w:r>
      <w:r w:rsidRPr="004A22D6">
        <w:rPr>
          <w:szCs w:val="24"/>
          <w:lang w:eastAsia="en-US"/>
        </w:rPr>
        <w:t xml:space="preserve"> i form av en skrivelse om inrättande</w:t>
      </w:r>
      <w:r w:rsidR="006F2CFA">
        <w:rPr>
          <w:szCs w:val="24"/>
          <w:lang w:eastAsia="en-US"/>
        </w:rPr>
        <w:t>t</w:t>
      </w:r>
      <w:r w:rsidRPr="004A22D6">
        <w:rPr>
          <w:szCs w:val="24"/>
          <w:lang w:eastAsia="en-US"/>
        </w:rPr>
        <w:t xml:space="preserve"> av </w:t>
      </w:r>
      <w:r w:rsidR="006F2CFA">
        <w:rPr>
          <w:szCs w:val="24"/>
          <w:lang w:eastAsia="en-US"/>
        </w:rPr>
        <w:t xml:space="preserve">ett </w:t>
      </w:r>
      <w:r w:rsidRPr="004A22D6">
        <w:rPr>
          <w:szCs w:val="24"/>
          <w:lang w:eastAsia="en-US"/>
        </w:rPr>
        <w:t xml:space="preserve">EU-intyg om funktionsnedsättning och </w:t>
      </w:r>
      <w:r w:rsidR="006F2CFA">
        <w:rPr>
          <w:szCs w:val="24"/>
          <w:lang w:eastAsia="en-US"/>
        </w:rPr>
        <w:t xml:space="preserve">ett </w:t>
      </w:r>
      <w:r w:rsidRPr="004A22D6">
        <w:rPr>
          <w:szCs w:val="24"/>
          <w:lang w:eastAsia="en-US"/>
        </w:rPr>
        <w:t xml:space="preserve">EU-parkeringstillstånd för personer med funktionsnedsättning. Parlamentet </w:t>
      </w:r>
      <w:r w:rsidRPr="00154A59">
        <w:rPr>
          <w:bCs/>
          <w:iCs/>
          <w:szCs w:val="24"/>
          <w:lang w:eastAsia="en-US"/>
        </w:rPr>
        <w:t>betonar</w:t>
      </w:r>
      <w:r w:rsidRPr="00154A59">
        <w:rPr>
          <w:bCs/>
          <w:i/>
          <w:iCs/>
          <w:szCs w:val="24"/>
          <w:lang w:eastAsia="en-US"/>
        </w:rPr>
        <w:t xml:space="preserve"> </w:t>
      </w:r>
      <w:r w:rsidRPr="00154A59">
        <w:rPr>
          <w:bCs/>
          <w:iCs/>
          <w:szCs w:val="24"/>
          <w:lang w:eastAsia="en-US"/>
        </w:rPr>
        <w:t>att tillgången</w:t>
      </w:r>
      <w:r w:rsidRPr="004A22D6">
        <w:rPr>
          <w:szCs w:val="24"/>
          <w:lang w:eastAsia="en-US"/>
        </w:rPr>
        <w:t xml:space="preserve"> till socialförsäkringsförmåner för personer med </w:t>
      </w:r>
      <w:r w:rsidRPr="006F2CFA">
        <w:rPr>
          <w:szCs w:val="24"/>
          <w:lang w:eastAsia="en-US"/>
        </w:rPr>
        <w:t xml:space="preserve">funktionsnedsättning </w:t>
      </w:r>
      <w:r w:rsidRPr="00154A59">
        <w:rPr>
          <w:bCs/>
          <w:iCs/>
          <w:szCs w:val="24"/>
          <w:lang w:eastAsia="en-US"/>
        </w:rPr>
        <w:t>ligger under medlemsstaternas ansvar och system för social samordning, och att tvister också bör hanteras genom och respekteras av de rättsliga mekanismer som finns och de befogenheter som de har genom skyldigheten att först uttömma alla rättsmedel snarare än genom direkta ingripanden från kommissionen, i enlighet med subsidiaritetsprincipen</w:t>
      </w:r>
      <w:r w:rsidRPr="006F2CFA">
        <w:rPr>
          <w:szCs w:val="24"/>
          <w:lang w:eastAsia="en-US"/>
        </w:rPr>
        <w:t>.</w:t>
      </w:r>
      <w:r w:rsidRPr="004A22D6">
        <w:rPr>
          <w:szCs w:val="24"/>
          <w:lang w:eastAsia="en-US"/>
        </w:rPr>
        <w:t xml:space="preserve"> Parlamentet understryker i detta sammanhang även det absoluta behovet av ett fullständigt och konsekvent införlivande av den europeiska rättsakten om tillgänglighet, och uppmanar medlemsstaterna att undvika ytterligare förseningar som hindrar personer med funktionsnedsättning från att åtnjuta sina rättigheter. Parlamentet påminner om att rättsakten om tillgänglighet syftar till att förbättra livet för minst 87 miljoner personer med funktionsnedsättning och underlätta deras tillgång till bland annat kollektivtrafik, banktjänster, datorer, tv-apparater, e-böcker och nätbutiker.</w:t>
      </w:r>
    </w:p>
    <w:p w14:paraId="2D76CB31" w14:textId="2E28FB17" w:rsidR="00814C79" w:rsidRPr="008F1671" w:rsidRDefault="004A22D6" w:rsidP="00814C79">
      <w:pPr>
        <w:pStyle w:val="NormalHanging12a"/>
      </w:pPr>
      <w:r>
        <w:t>32</w:t>
      </w:r>
      <w:r w:rsidR="00814C79" w:rsidRPr="008F1671">
        <w:t>.</w:t>
      </w:r>
      <w:r w:rsidR="00814C79" w:rsidRPr="008F1671">
        <w:tab/>
      </w:r>
      <w:r w:rsidR="006C29ED" w:rsidRPr="006C29ED">
        <w:rPr>
          <w:szCs w:val="24"/>
          <w:lang w:eastAsia="en-US"/>
        </w:rPr>
        <w:t xml:space="preserve">Europaparlamentet </w:t>
      </w:r>
      <w:r w:rsidR="006F2CFA">
        <w:rPr>
          <w:szCs w:val="24"/>
          <w:lang w:eastAsia="en-US"/>
        </w:rPr>
        <w:t>understryker att utskottet för framställningar gett ett viktigt bidrag</w:t>
      </w:r>
      <w:r w:rsidR="006C29ED" w:rsidRPr="006C29ED">
        <w:rPr>
          <w:szCs w:val="24"/>
          <w:lang w:eastAsia="en-US"/>
        </w:rPr>
        <w:t xml:space="preserve"> till skyddet av rättigheterna för personer med funktionsnedsättning, vilket framgår av dess behandling av ett antal framställningar om detta känsliga ämne. Parlamentet erkänner i detta sammanhang de insatser som gjorts av parlamentets avdelningar, och konstaterar att man inte bara måste hitta den bästa tekniska lösningen utan den mest tillgängliga lösningen för döva medborgare för att kunna kommunicera med dem på deras eget modersmål, nationella teckenspråk. Parlamentet begär en ändring av arbetsordningen i nära samarbete med utskottet för konstitutionella frågor (AFCO) för att slopa den </w:t>
      </w:r>
      <w:r w:rsidR="006C29ED" w:rsidRPr="00154A59">
        <w:rPr>
          <w:szCs w:val="24"/>
          <w:lang w:eastAsia="en-US"/>
        </w:rPr>
        <w:t xml:space="preserve">obligatoriska, endast </w:t>
      </w:r>
      <w:r w:rsidR="006C29ED" w:rsidRPr="006F2CFA">
        <w:rPr>
          <w:szCs w:val="24"/>
          <w:lang w:eastAsia="en-US"/>
        </w:rPr>
        <w:t xml:space="preserve">skriftliga kommunikationen med </w:t>
      </w:r>
      <w:r w:rsidR="006C29ED" w:rsidRPr="00154A59">
        <w:rPr>
          <w:szCs w:val="24"/>
          <w:lang w:eastAsia="en-US"/>
        </w:rPr>
        <w:t xml:space="preserve">medborgare som använder teckenspråk, som är </w:t>
      </w:r>
      <w:r w:rsidR="006C29ED" w:rsidRPr="006F2CFA">
        <w:rPr>
          <w:szCs w:val="24"/>
          <w:lang w:eastAsia="en-US"/>
        </w:rPr>
        <w:t xml:space="preserve">döva </w:t>
      </w:r>
      <w:r w:rsidR="006C29ED" w:rsidRPr="00154A59">
        <w:rPr>
          <w:szCs w:val="24"/>
          <w:lang w:eastAsia="en-US"/>
        </w:rPr>
        <w:t>eller som har en hörselnedsättning, så att de på egen begäran kan använda sitt teckenspråk under förfarandet</w:t>
      </w:r>
      <w:r w:rsidR="006C29ED" w:rsidRPr="006F2CFA">
        <w:rPr>
          <w:szCs w:val="24"/>
          <w:lang w:eastAsia="en-US"/>
        </w:rPr>
        <w:t>.</w:t>
      </w:r>
      <w:r w:rsidR="006C29ED" w:rsidRPr="006C29ED">
        <w:rPr>
          <w:szCs w:val="24"/>
          <w:lang w:eastAsia="en-US"/>
        </w:rPr>
        <w:t xml:space="preserve"> Parlamentet framhåller i detta sammanhang också utskottets antagande av ett yttrande</w:t>
      </w:r>
      <w:r w:rsidR="008E3C53">
        <w:rPr>
          <w:szCs w:val="24"/>
          <w:lang w:eastAsia="en-US"/>
        </w:rPr>
        <w:t>, den 29 november 2023,</w:t>
      </w:r>
      <w:r w:rsidR="006C29ED" w:rsidRPr="006C29ED">
        <w:rPr>
          <w:szCs w:val="24"/>
          <w:lang w:eastAsia="en-US"/>
        </w:rPr>
        <w:t xml:space="preserve"> i form av en skrivelse om inrättande</w:t>
      </w:r>
      <w:r w:rsidR="008E3C53">
        <w:rPr>
          <w:szCs w:val="24"/>
          <w:lang w:eastAsia="en-US"/>
        </w:rPr>
        <w:t>t</w:t>
      </w:r>
      <w:r w:rsidR="006C29ED" w:rsidRPr="006C29ED">
        <w:rPr>
          <w:szCs w:val="24"/>
          <w:lang w:eastAsia="en-US"/>
        </w:rPr>
        <w:t xml:space="preserve"> av </w:t>
      </w:r>
      <w:r w:rsidR="008E3C53">
        <w:rPr>
          <w:szCs w:val="24"/>
          <w:lang w:eastAsia="en-US"/>
        </w:rPr>
        <w:t xml:space="preserve">ett </w:t>
      </w:r>
      <w:r w:rsidR="006C29ED" w:rsidRPr="006C29ED">
        <w:rPr>
          <w:szCs w:val="24"/>
          <w:lang w:eastAsia="en-US"/>
        </w:rPr>
        <w:t xml:space="preserve">EU-intyg om funktionsnedsättning och </w:t>
      </w:r>
      <w:r w:rsidR="008E3C53">
        <w:rPr>
          <w:szCs w:val="24"/>
          <w:lang w:eastAsia="en-US"/>
        </w:rPr>
        <w:t xml:space="preserve">ett </w:t>
      </w:r>
      <w:r w:rsidR="006C29ED" w:rsidRPr="006C29ED">
        <w:rPr>
          <w:szCs w:val="24"/>
          <w:lang w:eastAsia="en-US"/>
        </w:rPr>
        <w:t>EU-parkeringstillstånd för personer med funktionsnedsättning</w:t>
      </w:r>
      <w:r w:rsidR="008E3C53">
        <w:rPr>
          <w:szCs w:val="24"/>
          <w:lang w:eastAsia="en-US"/>
        </w:rPr>
        <w:t>.</w:t>
      </w:r>
    </w:p>
    <w:p w14:paraId="415DE015" w14:textId="30766A9F" w:rsidR="00814C79" w:rsidRPr="008F1671" w:rsidRDefault="004A22D6" w:rsidP="00814C79">
      <w:pPr>
        <w:pStyle w:val="NormalHanging12a"/>
        <w:keepNext/>
        <w:keepLines/>
        <w:widowControl/>
      </w:pPr>
      <w:r>
        <w:lastRenderedPageBreak/>
        <w:t>33</w:t>
      </w:r>
      <w:r w:rsidR="00814C79" w:rsidRPr="008F1671">
        <w:t>.</w:t>
      </w:r>
      <w:r w:rsidR="00814C79" w:rsidRPr="008F1671">
        <w:tab/>
        <w:t xml:space="preserve">Europaparlamentet </w:t>
      </w:r>
      <w:r w:rsidR="006F2CFA">
        <w:t>framhåller</w:t>
      </w:r>
      <w:r w:rsidR="006F2CFA" w:rsidRPr="008F1671">
        <w:t xml:space="preserve"> </w:t>
      </w:r>
      <w:r w:rsidR="00814C79" w:rsidRPr="008F1671">
        <w:t xml:space="preserve">vidare den särskilda skyddsroll som </w:t>
      </w:r>
      <w:r w:rsidR="006F2CFA">
        <w:t>utskottet för framställningar</w:t>
      </w:r>
      <w:r w:rsidR="006F2CFA" w:rsidRPr="008F1671">
        <w:t xml:space="preserve"> </w:t>
      </w:r>
      <w:r w:rsidR="00814C79" w:rsidRPr="008F1671">
        <w:t>har i EU inom ramen för FN:s konvention om rättigheter för personer med funktionsnedsättning, i och med att det kan ta emot framställningar, och lyfter fram utskottets viktiga pågående arbete med framställningar som rör frågor om funktionsnedsättning. Även om en liten minskning av antalet framställningar om funktionsnedsättningar kunde noteras 2023 jämfört med 2022 betonar parlamentet att antalet nästan fördubblades jämfört med 2021. Parlamentet påpekar vidare att diskriminering och tillgång till kollektivtrafik och sysselsättning kvarstår som stora utmaningar för personer med funktionsnedsättning, och betonar att utskottet särskilt uppmärksammar begäran om att EU-intyget om funktionsnedsättning ska erkänna rättigheterna för personer med autism. Parlamentet välkomnar antagandet av ett kortfattat förslag till resolution om harmonisering av rättigheterna för personer med autism, där man betonar behovet att förbättra tillgången till diagnos, hälso- och sjukvård, utbildning, sysselsättning, tillgänglighet och tillhandahållande av skälig anpassning, rättskapacitet och livslångt stöd i samhället, även när det gäller kultur och idrott. Parlamentet uppmärksammar vidare den särskilda roll som utskottet för framställningar spelar för att skydda barns och deras föräldrars rättigheter, och noterar ett stort antal framställningar om barns rättigheter som kräver särskild uppmärksamhet och åtgärder. Parlamentet påminner i detta sammanhang om bestämmelserna i EU:s stadga om de grundläggande rättigheterna, särskilt artikel 24 om barnets rättigheter, om att ge varje barn möjlighet att upprätthålla en personlig relation till och direkt kontakt med båda föräldrarna, såvida detta inte strider mot barnets bästa. Parlamentet upprepar också att det finns en risk för att familjer med autistiska barn utsätts för erbjudanden om obevisade, potentiellt skadliga och olagliga behandlingar och ingrepp som kan utgöra allvarliga fysiska övergrepp mot barn.</w:t>
      </w:r>
    </w:p>
    <w:p w14:paraId="496A5D55" w14:textId="49E50FFB" w:rsidR="00814C79" w:rsidRPr="008F1671" w:rsidRDefault="004A22D6" w:rsidP="00814C79">
      <w:pPr>
        <w:pStyle w:val="NormalHanging12a"/>
        <w:rPr>
          <w:rFonts w:eastAsia="Calibri"/>
        </w:rPr>
      </w:pPr>
      <w:r>
        <w:t>34</w:t>
      </w:r>
      <w:r w:rsidR="00814C79" w:rsidRPr="008F1671">
        <w:t>.</w:t>
      </w:r>
      <w:r w:rsidR="00814C79" w:rsidRPr="008F1671">
        <w:tab/>
      </w:r>
      <w:r w:rsidR="006C29ED" w:rsidRPr="006C29ED">
        <w:rPr>
          <w:szCs w:val="24"/>
          <w:lang w:eastAsia="en-US"/>
        </w:rPr>
        <w:t>Europaparlamentet påminner om att förbindelserna med Europeiska ombudsmannen utgör ett av de ansvarsområden som utskottet för framställningar har tilldelats genom parlamentets arbetsordning. Parlamentet välkomnar det konstruktiva samarbetet med Europeiska ombudsmannen, med vilken utskottet för framställningar delar målen att säkerställa EU-institutionernas transparens, professionalism och integritet gentemot EU-medborgarna, liksom dess deltagande i Europeiska ombudsmannanätverket.</w:t>
      </w:r>
      <w:r w:rsidR="006C29ED" w:rsidRPr="006C29ED">
        <w:rPr>
          <w:b/>
          <w:i/>
          <w:szCs w:val="24"/>
          <w:lang w:eastAsia="en-US"/>
        </w:rPr>
        <w:t xml:space="preserve"> </w:t>
      </w:r>
      <w:r w:rsidR="006C29ED" w:rsidRPr="00154A59">
        <w:rPr>
          <w:szCs w:val="24"/>
          <w:lang w:eastAsia="en-US"/>
        </w:rPr>
        <w:t>Parlamentet betonar behovet av att intensifiera samarbetet med Europeiska ombudsmannen för att säkerställa ett snabbt, opartiskt och transparent svar på medborgarnas klagomål om administrativa felaktigheter inom EU:s institutioner.</w:t>
      </w:r>
    </w:p>
    <w:p w14:paraId="108B63FE" w14:textId="73A2EF31" w:rsidR="00814C79" w:rsidRPr="008F1671" w:rsidRDefault="004A22D6" w:rsidP="00814C79">
      <w:pPr>
        <w:pStyle w:val="NormalHanging12a"/>
        <w:rPr>
          <w:b/>
          <w:i/>
        </w:rPr>
      </w:pPr>
      <w:r>
        <w:t>35</w:t>
      </w:r>
      <w:r w:rsidR="00814C79" w:rsidRPr="008F1671">
        <w:t>.</w:t>
      </w:r>
      <w:r w:rsidR="00814C79" w:rsidRPr="008F1671">
        <w:rPr>
          <w:b/>
          <w:i/>
        </w:rPr>
        <w:tab/>
      </w:r>
      <w:r w:rsidR="00814C79" w:rsidRPr="008F1671">
        <w:t>Europaparlamentet understryker det viktiga arbete som utskottet för framställningar utför när det gäller skyddet av arbetstagarnas rättigheter. Parlamentet understryker att flera framställningar som mottagits på detta område följts upp av ytterligare åtgärder, såsom debatten om användningen av visstidsanställningar, liksom debatten om det europeiska medborgarinitiativet ”Bra kläder, skälig lön”, som omvandlats till en framställning, med fokus på den skadliga situationen för arbetstagare inom den globala kläd- och skoindustrin, eller parlamentsfrågan för muntligt besvarande om arbetsvillkoren för lärare i Europeiska unionen, som också grundade sig på en framställning som mottagits om denna fråga. Parlamentet upprepar vikten av att säkerställa rättvisa arbetsvillkor och bättre skydd för arbetstagare i EU, och uppmanar medlemsstaterna och kommissionen att på ett effektivt sätt ta ställning till de farhågor som tas upp i framställningar som rör arbetstagares rättigheter och fackföreningar.</w:t>
      </w:r>
      <w:r w:rsidR="00814C79" w:rsidRPr="008F1671">
        <w:rPr>
          <w:b/>
          <w:i/>
        </w:rPr>
        <w:t> </w:t>
      </w:r>
    </w:p>
    <w:p w14:paraId="4E87C025" w14:textId="4CBF10ED" w:rsidR="00814C79" w:rsidRPr="008F1671" w:rsidRDefault="004A22D6" w:rsidP="00814C79">
      <w:pPr>
        <w:pStyle w:val="NormalHanging12a"/>
        <w:keepNext/>
        <w:keepLines/>
        <w:widowControl/>
        <w:rPr>
          <w:b/>
          <w:i/>
        </w:rPr>
      </w:pPr>
      <w:r>
        <w:lastRenderedPageBreak/>
        <w:t>36</w:t>
      </w:r>
      <w:r w:rsidR="00814C79" w:rsidRPr="008F1671">
        <w:t>.</w:t>
      </w:r>
      <w:r w:rsidR="00814C79" w:rsidRPr="008F1671">
        <w:rPr>
          <w:b/>
          <w:i/>
        </w:rPr>
        <w:tab/>
      </w:r>
      <w:r w:rsidR="006C29ED" w:rsidRPr="006C29ED">
        <w:rPr>
          <w:szCs w:val="24"/>
          <w:lang w:eastAsia="en-US"/>
        </w:rPr>
        <w:t xml:space="preserve">Europaparlamentet påminner om sin studie om hemlöshet i EU, som beställdes av utskottet för framställningar och lades fram vid dess sammanträde i november 2023. Parlamentet konstaterar att denna studie gav ett viktigt bidrag till denna akuta sociala och ekonomiska utmaning, som utgör en av de allvarligaste formerna av social utestängning, och belyste behovet av en förändring av den offentliga politiken för att förebygga att hemlöshet över huvud taget uppstår, bland annat genom att tillhandahålla säkra bostäder till rimliga priser. </w:t>
      </w:r>
      <w:r w:rsidR="006C29ED" w:rsidRPr="00154A59">
        <w:rPr>
          <w:szCs w:val="24"/>
          <w:lang w:eastAsia="en-US"/>
        </w:rPr>
        <w:t>Parlamentet påminner om att olaglig husockupation inte kan ses som en lösning på hemlöshet, eftersom rätten till egendom fastställs i artikel 17 i EU</w:t>
      </w:r>
      <w:r w:rsidR="006C29ED" w:rsidRPr="00154A59">
        <w:rPr>
          <w:szCs w:val="24"/>
          <w:lang w:eastAsia="en-US"/>
        </w:rPr>
        <w:noBreakHyphen/>
        <w:t xml:space="preserve">stadgan om de grundläggande rättigheterna. Parlamentet understryker att medlemsstaterna bör söka verkliga lösningar i stället för att främja olaglig husockupation, eftersom bostadspolitiken </w:t>
      </w:r>
      <w:r w:rsidR="008E3C53">
        <w:rPr>
          <w:szCs w:val="24"/>
          <w:lang w:eastAsia="en-US"/>
        </w:rPr>
        <w:t xml:space="preserve">omfattas av </w:t>
      </w:r>
      <w:r w:rsidR="006C29ED" w:rsidRPr="00154A59">
        <w:rPr>
          <w:szCs w:val="24"/>
          <w:lang w:eastAsia="en-US"/>
        </w:rPr>
        <w:t>medlemsstaternas exklusiva befogenheter.</w:t>
      </w:r>
    </w:p>
    <w:p w14:paraId="48E3201C" w14:textId="58F9441D" w:rsidR="00814C79" w:rsidRPr="008F1671" w:rsidRDefault="004A22D6" w:rsidP="00814C79">
      <w:pPr>
        <w:pStyle w:val="NormalHanging12a"/>
        <w:rPr>
          <w:rFonts w:eastAsia="Calibri"/>
        </w:rPr>
      </w:pPr>
      <w:r>
        <w:t>37</w:t>
      </w:r>
      <w:r w:rsidR="00814C79" w:rsidRPr="008F1671">
        <w:t>.</w:t>
      </w:r>
      <w:r w:rsidR="00814C79" w:rsidRPr="008F1671">
        <w:tab/>
        <w:t>Europaparlamentet erkänner Europeiska ombudsmannens regelbundna bidrag till arbetet i utskottet för framställningar under hela året. Det är parlamentets bestämda uppfattning att unionens institutioner, organ och byråer måste säkerställa en konsekvent och ändamålsenlig uppföljning av ombudsmannens rekommendationer.</w:t>
      </w:r>
    </w:p>
    <w:p w14:paraId="4C53B5C0" w14:textId="6DB6FB94" w:rsidR="00814C79" w:rsidRPr="008F1671" w:rsidRDefault="004A22D6" w:rsidP="00814C79">
      <w:pPr>
        <w:pStyle w:val="NormalHanging12a"/>
      </w:pPr>
      <w:r>
        <w:t>38</w:t>
      </w:r>
      <w:r w:rsidR="00814C79" w:rsidRPr="008F1671">
        <w:t>.</w:t>
      </w:r>
      <w:r w:rsidR="00814C79" w:rsidRPr="008F1671">
        <w:tab/>
        <w:t>Europaparlamentet betonar att europeiska medborgarinitiativ är ett viktigt redskap för aktivt medborgarskap och allmänhetens deltagande. Parlamentet välkomnar de diskussioner som förts vid vissa möten om misslyckade medborgarinitiativ, som ibland senare omformulerats som framställningar, vilket gett medborgarna möjlighet att lägga fram sina idéer och föra en konstruktiv debatt, samtidigt som de bidrog till deras deltagande i EU:s demokratiska processer. Parlamentet noterar det betydande antalet nya europeiska medborgarinitiativ som registrerats av kommissionen 2023, vilket visar att medborgarna tar vara på möjligheten att använda verktyg för deltagande i syfte att påverka politiken och lagstiftningsprocesserna. Parlamentet uppmanar kommissionen att bättre samarbeta med medborgarna och på lämpligt sätt följa upp framgångsrika medborgarinitiativ. Parlamentet välkomnar de viktiga insatser som gjorts för att tillsammans med andra utskott anordna fyra offentliga utfrågningar om framgångsrika medborgarinitiativ, vilket gjorde det möjligt för organisatörerna att presentera initiativets mål och samarbeta med ledamöter av Europaparlamentet och företrädare för kommissionen. Parlamentet understryker att kommissionens åtagande att besvara giltiga medborgarinitiativ är avgörande för att upprätthålla medborgarnas förtroende för medborgarinitiativet som det viktigaste verktyget för deltagandedemokrati.</w:t>
      </w:r>
    </w:p>
    <w:p w14:paraId="42706FF3" w14:textId="1FDE3DF3" w:rsidR="00814C79" w:rsidRPr="008F1671" w:rsidRDefault="004A22D6" w:rsidP="00814C79">
      <w:pPr>
        <w:pStyle w:val="NormalHanging12a"/>
        <w:rPr>
          <w:b/>
          <w:i/>
        </w:rPr>
      </w:pPr>
      <w:r>
        <w:t>39</w:t>
      </w:r>
      <w:r w:rsidR="00814C79" w:rsidRPr="008F1671">
        <w:t>.</w:t>
      </w:r>
      <w:r w:rsidR="00814C79" w:rsidRPr="008F1671">
        <w:rPr>
          <w:b/>
          <w:i/>
        </w:rPr>
        <w:tab/>
      </w:r>
      <w:r w:rsidR="00814C79" w:rsidRPr="008F1671">
        <w:t>Europaparlamentet uppmanar eftertryckligen kommissionen att ta vederbörlig hänsyn till de parlamentsresolutioner som antagits om medborgarinitiativ och att stärka sitt arbete tillsammans med medborgarna, särskilt genom att säkerställa lämplig och effektiv uppföljning av framgångsrika medborgarinitiativ, och därigenom stärka den demokratiska processen och se till att medborgarnas röster återspeglas på lämpligt sätt i EU:s beslutsfattande.</w:t>
      </w:r>
    </w:p>
    <w:p w14:paraId="6E839803" w14:textId="2BFB5D62" w:rsidR="00814C79" w:rsidRPr="008F1671" w:rsidRDefault="004A22D6" w:rsidP="00814C79">
      <w:pPr>
        <w:pStyle w:val="NormalHanging12a"/>
        <w:rPr>
          <w:rFonts w:eastAsia="Calibri"/>
        </w:rPr>
      </w:pPr>
      <w:r>
        <w:t>40</w:t>
      </w:r>
      <w:r w:rsidR="00814C79" w:rsidRPr="008F1671">
        <w:t>.</w:t>
      </w:r>
      <w:r w:rsidR="00814C79" w:rsidRPr="008F1671">
        <w:tab/>
        <w:t xml:space="preserve">Europaparlamentet understryker att webbportalen för framställningar är ett viktigt verktyg för att säkerställa en smidig, effektiv och transparent framställningsprocess. Parlamentet välkomnar i detta avseende förbättringarna av dataskyddet och säkerhetsfunktionerna, som har gjort portalen mer användarvänlig och säker för medborgarna. Parlamentet betonar att insatserna för att göra portalen mer tillgänglig måste fortsätta, däribland att göra den mer tillgänglig för person som använder teckenspråk och personer med funktionsnedsättning. Parlamentet noterar att webbportalen för framställningar har varit en av Europaparlamentets mest besökta </w:t>
      </w:r>
      <w:r w:rsidR="00814C79" w:rsidRPr="008F1671">
        <w:lastRenderedPageBreak/>
        <w:t>webbplatser, och har därmed fungerat som en första kontaktpunkt med parlamentet för många EU-medborgare.</w:t>
      </w:r>
    </w:p>
    <w:p w14:paraId="496BAA05" w14:textId="4276029B" w:rsidR="00814C79" w:rsidRPr="008F1671" w:rsidRDefault="004A22D6" w:rsidP="00814C79">
      <w:pPr>
        <w:pStyle w:val="NormalHanging12a"/>
      </w:pPr>
      <w:r>
        <w:t>41</w:t>
      </w:r>
      <w:r w:rsidR="00814C79" w:rsidRPr="008F1671">
        <w:t>.</w:t>
      </w:r>
      <w:r w:rsidR="00814C79" w:rsidRPr="008F1671">
        <w:rPr>
          <w:b/>
          <w:i/>
        </w:rPr>
        <w:tab/>
      </w:r>
      <w:r w:rsidR="00814C79" w:rsidRPr="008F1671">
        <w:t>Europaparlamentet påminner om den europeiska dimensionen av utskottet för framställningar, som medborgare från alla 27 medlemsstater kan vända sig till i frågor som hör till unionens verksamhetsområde. Parlamentet anser att utskottet har ett särskilt ansvar för att upprätthålla denna europeiska dimension och påvisa mervärdet av europeisk enighet och integration för medborgarna samt fortsätta att behandla frågor som rör överträdelser av EU-rätten, liksom kryphål och brister i bestämmelserna i befintlig EU-rätt. Parlamentet anser att man genom att snabbt avvisa framställningar som tydligt omfattas av nationella befogenheter och samtidigt, där så är lämpligt, tillhandahålla omfattande förklaringar och instruktioner om alternativa tillvägagångssätt, skulle kunna bidra till en konstruktiv strategi och ett ökat medborgarengagemang. I detta sammanhang bör Europaparlamentet öka sina insatser för att främja utskottets roll och arbete och öka medvetenheten bland alla EU-medborgare om möjligheten att göra en framställning till Europaparlamentet. Parlamentet påminner om att de flesta framställningar behandlas genom skriftligt förfarande, på grund av den begränsade tid som avsatts för utskottssammanträden. Parlamentet påminner i detta sammanhang om att alla mottagna framställningar, även de som rör internationella frågor, bör hanteras med nödvändig transparens och opartiskhet. Parlamentet anser att urvalet av framställningar för diskussion i utskottet bör återspegla en geografisk och politisk balans mellan de framställningar som mottagits. Parlamentet anser vidare att geografisk balans bör eftersträvas också vid anordnandet av utskottets undersökningsresor, årligen och under varje valperiod.</w:t>
      </w:r>
    </w:p>
    <w:p w14:paraId="42665044" w14:textId="444ECAB3" w:rsidR="00814C79" w:rsidRPr="008F1671" w:rsidRDefault="004A22D6" w:rsidP="00814C79">
      <w:pPr>
        <w:pStyle w:val="NormalHanging12a"/>
      </w:pPr>
      <w:r>
        <w:t>42</w:t>
      </w:r>
      <w:r w:rsidR="00814C79" w:rsidRPr="008F1671">
        <w:t>.</w:t>
      </w:r>
      <w:r w:rsidR="00814C79" w:rsidRPr="008F1671">
        <w:tab/>
        <w:t>Europaparlamentet välkomnar antagandet av det kortfattade förslaget till resolution om inrättandet av en europeisk huvudstad för lokal handel</w:t>
      </w:r>
      <w:r w:rsidR="00814C79" w:rsidRPr="008F1671">
        <w:rPr>
          <w:rStyle w:val="FootnoteReference"/>
        </w:rPr>
        <w:footnoteReference w:id="7"/>
      </w:r>
      <w:r w:rsidR="00814C79" w:rsidRPr="008F1671">
        <w:t xml:space="preserve"> vid plenarsessionen i januari 2023. Parlamentet understryker att detta är ett utmärkt resultat för utskottet för framställningar, och noterar att projektet framgångsrikt har tagits med som en förberedande åtgärd i budgeten för 2024, med en total budget på 3 miljoner euro. Parlamentet påminner om att projektet för att skapa en europeisk huvudstad för småskalig detaljhandel presenterades officiellt av kommissionen i Barcelona i december 2023.</w:t>
      </w:r>
    </w:p>
    <w:p w14:paraId="6A22215C" w14:textId="1DC31F6E" w:rsidR="00557AED" w:rsidRPr="008F1671" w:rsidRDefault="004A22D6" w:rsidP="00557AED">
      <w:pPr>
        <w:pStyle w:val="NormalHanging12a"/>
      </w:pPr>
      <w:r>
        <w:t>43</w:t>
      </w:r>
      <w:r w:rsidR="00814C79" w:rsidRPr="008F1671">
        <w:t>.</w:t>
      </w:r>
      <w:r w:rsidR="00814C79" w:rsidRPr="008F1671">
        <w:tab/>
        <w:t>Europaparlamentet uppdrar åt talmannen att översända denna resolution och betänkandet från utskottet för framställningar till rådet, kommissionen, Europeiska ombudsmannen, medlemsstaternas regeringar och parlament samt deras utskott för framställningar och nationella ombudsmän eller liknande behöriga organ.</w:t>
      </w:r>
    </w:p>
    <w:p w14:paraId="3A66AC66" w14:textId="77777777" w:rsidR="00E365E1" w:rsidRPr="008F1671" w:rsidRDefault="00E365E1" w:rsidP="004413A6"/>
    <w:sectPr w:rsidR="00E365E1" w:rsidRPr="008F1671" w:rsidSect="00557A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AFC0F" w14:textId="77777777" w:rsidR="004413A6" w:rsidRPr="00557AED" w:rsidRDefault="004413A6">
      <w:r w:rsidRPr="00557AED">
        <w:separator/>
      </w:r>
    </w:p>
  </w:endnote>
  <w:endnote w:type="continuationSeparator" w:id="0">
    <w:p w14:paraId="5830900A" w14:textId="77777777" w:rsidR="004413A6" w:rsidRPr="00557AED" w:rsidRDefault="004413A6">
      <w:r w:rsidRPr="00557A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B66CB" w14:textId="77777777" w:rsidR="00064002" w:rsidRPr="00557A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5E6B" w14:textId="77777777" w:rsidR="00064002" w:rsidRPr="00557A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5C203" w14:textId="77777777" w:rsidR="00064002" w:rsidRPr="00557A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1AFFA" w14:textId="77777777" w:rsidR="004413A6" w:rsidRPr="00557AED" w:rsidRDefault="004413A6">
      <w:r w:rsidRPr="00557AED">
        <w:separator/>
      </w:r>
    </w:p>
  </w:footnote>
  <w:footnote w:type="continuationSeparator" w:id="0">
    <w:p w14:paraId="2BBAE910" w14:textId="77777777" w:rsidR="004413A6" w:rsidRPr="00557AED" w:rsidRDefault="004413A6">
      <w:r w:rsidRPr="00557AED">
        <w:continuationSeparator/>
      </w:r>
    </w:p>
  </w:footnote>
  <w:footnote w:id="1">
    <w:p w14:paraId="36B72269" w14:textId="263B88D9" w:rsidR="006C29ED" w:rsidRPr="00154A59" w:rsidRDefault="006C29ED" w:rsidP="00154A59">
      <w:pPr>
        <w:pStyle w:val="FootnoteText"/>
        <w:ind w:left="567" w:hanging="567"/>
        <w:rPr>
          <w:sz w:val="24"/>
          <w:szCs w:val="24"/>
          <w:lang w:val="fi-FI"/>
        </w:rPr>
      </w:pPr>
      <w:r w:rsidRPr="00154A59">
        <w:rPr>
          <w:rStyle w:val="FootnoteReference"/>
          <w:sz w:val="24"/>
          <w:szCs w:val="24"/>
        </w:rPr>
        <w:footnoteRef/>
      </w:r>
      <w:r w:rsidRPr="00154A59">
        <w:rPr>
          <w:sz w:val="24"/>
          <w:szCs w:val="24"/>
          <w:lang w:val="fi-FI"/>
        </w:rPr>
        <w:t xml:space="preserve"> </w:t>
      </w:r>
      <w:r w:rsidRPr="00154A59">
        <w:rPr>
          <w:sz w:val="24"/>
          <w:szCs w:val="24"/>
          <w:lang w:val="fi-FI"/>
        </w:rPr>
        <w:tab/>
        <w:t>EUT C, C/2024/3999, 17.7.2024, ELI: http://data.europa.eu/eli/C/2024/3999/oj.</w:t>
      </w:r>
    </w:p>
  </w:footnote>
  <w:footnote w:id="2">
    <w:p w14:paraId="4D6CCD59" w14:textId="77777777" w:rsidR="00293ED7" w:rsidRPr="00154A59" w:rsidRDefault="00293ED7" w:rsidP="00154A59">
      <w:pPr>
        <w:pStyle w:val="FootnoteText"/>
        <w:ind w:left="567" w:hanging="567"/>
        <w:rPr>
          <w:sz w:val="24"/>
          <w:szCs w:val="24"/>
          <w:lang w:val="sv-SE"/>
        </w:rPr>
      </w:pPr>
      <w:r w:rsidRPr="00154A59">
        <w:rPr>
          <w:rStyle w:val="FootnoteReference"/>
          <w:sz w:val="24"/>
          <w:szCs w:val="24"/>
        </w:rPr>
        <w:footnoteRef/>
      </w:r>
      <w:r w:rsidRPr="00154A59">
        <w:rPr>
          <w:sz w:val="24"/>
          <w:szCs w:val="24"/>
          <w:lang w:val="sv-SE"/>
        </w:rPr>
        <w:t xml:space="preserve"> </w:t>
      </w:r>
      <w:r w:rsidRPr="00154A59">
        <w:rPr>
          <w:sz w:val="24"/>
          <w:szCs w:val="24"/>
          <w:lang w:val="sv-SE"/>
        </w:rPr>
        <w:tab/>
      </w:r>
      <w:r w:rsidRPr="00154A59">
        <w:rPr>
          <w:sz w:val="24"/>
          <w:szCs w:val="24"/>
          <w:lang w:val="sv-SE" w:eastAsia="en-US"/>
        </w:rPr>
        <w:t xml:space="preserve">Rådets direktiv 92/43/EEG av den 21 maj 1992 om bevarande av livsmiljöer samt vilda djur och växter (EGT L 206, 22.7.1992, s. 7, ELI: </w:t>
      </w:r>
      <w:hyperlink r:id="rId1" w:history="1">
        <w:r w:rsidRPr="00154A59">
          <w:rPr>
            <w:color w:val="0000FF"/>
            <w:sz w:val="24"/>
            <w:szCs w:val="24"/>
            <w:u w:val="single"/>
            <w:lang w:val="sv-SE" w:eastAsia="en-US"/>
          </w:rPr>
          <w:t>http://data.europa.eu/eli/dir/1992</w:t>
        </w:r>
        <w:r w:rsidRPr="002A3AE9">
          <w:rPr>
            <w:color w:val="0000FF"/>
            <w:sz w:val="24"/>
            <w:szCs w:val="24"/>
            <w:u w:val="single"/>
            <w:lang w:val="sv-SE" w:eastAsia="en-US"/>
          </w:rPr>
          <w:br/>
        </w:r>
        <w:r w:rsidRPr="00154A59">
          <w:rPr>
            <w:color w:val="0000FF"/>
            <w:sz w:val="24"/>
            <w:szCs w:val="24"/>
            <w:u w:val="single"/>
            <w:lang w:val="sv-SE" w:eastAsia="en-US"/>
          </w:rPr>
          <w:t>/43/oj</w:t>
        </w:r>
      </w:hyperlink>
      <w:r w:rsidRPr="00154A59">
        <w:rPr>
          <w:sz w:val="24"/>
          <w:szCs w:val="24"/>
          <w:lang w:val="sv-SE" w:eastAsia="en-US"/>
        </w:rPr>
        <w:t>)</w:t>
      </w:r>
    </w:p>
  </w:footnote>
  <w:footnote w:id="3">
    <w:p w14:paraId="620EB78E" w14:textId="7798B255" w:rsidR="00293ED7" w:rsidRPr="00154A59" w:rsidRDefault="00293ED7" w:rsidP="00154A59">
      <w:pPr>
        <w:pStyle w:val="FootnoteText"/>
        <w:ind w:left="567" w:hanging="567"/>
        <w:rPr>
          <w:sz w:val="24"/>
          <w:szCs w:val="24"/>
          <w:lang w:val="sv-SE"/>
        </w:rPr>
      </w:pPr>
      <w:r w:rsidRPr="00154A59">
        <w:rPr>
          <w:rStyle w:val="FootnoteReference"/>
          <w:sz w:val="24"/>
          <w:szCs w:val="24"/>
        </w:rPr>
        <w:footnoteRef/>
      </w:r>
      <w:r w:rsidRPr="00154A59">
        <w:rPr>
          <w:sz w:val="24"/>
          <w:szCs w:val="24"/>
          <w:lang w:val="sv-SE"/>
        </w:rPr>
        <w:t xml:space="preserve"> </w:t>
      </w:r>
      <w:r w:rsidRPr="00154A59">
        <w:rPr>
          <w:sz w:val="24"/>
          <w:szCs w:val="24"/>
          <w:lang w:val="sv-SE"/>
        </w:rPr>
        <w:tab/>
      </w:r>
      <w:r w:rsidRPr="00154A59">
        <w:rPr>
          <w:sz w:val="24"/>
          <w:szCs w:val="24"/>
          <w:lang w:val="sv-SE" w:eastAsia="en-US"/>
        </w:rPr>
        <w:t xml:space="preserve">Europaparlamentets och rådets direktiv 2009/147/EG av den 30 november 2009 om bevarande av vilda fåglar (EUT L 20, 26.1.2010, s. 7, ELI: </w:t>
      </w:r>
      <w:hyperlink r:id="rId2" w:history="1">
        <w:r w:rsidRPr="00154A59">
          <w:rPr>
            <w:color w:val="0000FF"/>
            <w:sz w:val="24"/>
            <w:szCs w:val="24"/>
            <w:u w:val="single"/>
            <w:lang w:val="sv-SE" w:eastAsia="en-US"/>
          </w:rPr>
          <w:t>http://data.europa.eu/eli/dir/</w:t>
        </w:r>
        <w:r w:rsidRPr="002A3AE9">
          <w:rPr>
            <w:color w:val="0000FF"/>
            <w:sz w:val="24"/>
            <w:szCs w:val="24"/>
            <w:u w:val="single"/>
            <w:lang w:val="sv-SE" w:eastAsia="en-US"/>
          </w:rPr>
          <w:br/>
        </w:r>
        <w:r w:rsidRPr="00154A59">
          <w:rPr>
            <w:color w:val="0000FF"/>
            <w:sz w:val="24"/>
            <w:szCs w:val="24"/>
            <w:u w:val="single"/>
            <w:lang w:val="sv-SE" w:eastAsia="en-US"/>
          </w:rPr>
          <w:t>2009/147/oj</w:t>
        </w:r>
      </w:hyperlink>
      <w:r w:rsidRPr="00154A59">
        <w:rPr>
          <w:sz w:val="24"/>
          <w:szCs w:val="24"/>
          <w:lang w:val="sv-SE" w:eastAsia="en-US"/>
        </w:rPr>
        <w:t>)</w:t>
      </w:r>
      <w:r w:rsidR="002538A0">
        <w:rPr>
          <w:sz w:val="24"/>
          <w:szCs w:val="24"/>
          <w:lang w:val="sv-SE" w:eastAsia="en-US"/>
        </w:rPr>
        <w:t>.</w:t>
      </w:r>
    </w:p>
  </w:footnote>
  <w:footnote w:id="4">
    <w:p w14:paraId="3F1D4560" w14:textId="33FCCC03" w:rsidR="002A3AE9" w:rsidRPr="00C223DF" w:rsidRDefault="002A3AE9" w:rsidP="002A3AE9">
      <w:pPr>
        <w:pStyle w:val="FootnoteText"/>
        <w:ind w:left="567" w:hanging="567"/>
        <w:rPr>
          <w:sz w:val="24"/>
          <w:szCs w:val="24"/>
          <w:lang w:val="fi-FI"/>
        </w:rPr>
      </w:pPr>
      <w:r w:rsidRPr="00C223DF">
        <w:rPr>
          <w:rStyle w:val="FootnoteReference"/>
          <w:sz w:val="24"/>
          <w:szCs w:val="24"/>
        </w:rPr>
        <w:footnoteRef/>
      </w:r>
      <w:r w:rsidRPr="00C223DF">
        <w:rPr>
          <w:sz w:val="24"/>
          <w:szCs w:val="24"/>
          <w:lang w:val="fi-FI"/>
        </w:rPr>
        <w:t xml:space="preserve"> </w:t>
      </w:r>
      <w:r w:rsidRPr="00C223DF">
        <w:rPr>
          <w:sz w:val="24"/>
          <w:szCs w:val="24"/>
          <w:lang w:val="fi-FI"/>
        </w:rPr>
        <w:tab/>
        <w:t xml:space="preserve">EUT C, C/2024/6559, 12.11.2024, ELI: </w:t>
      </w:r>
      <w:hyperlink r:id="rId3" w:history="1">
        <w:r w:rsidRPr="00154A59">
          <w:rPr>
            <w:rStyle w:val="Hyperlink"/>
            <w:sz w:val="24"/>
            <w:szCs w:val="24"/>
            <w:lang w:val="fi-FI"/>
          </w:rPr>
          <w:t>http://data.europa.eu/eli/C/2024/6559/oj</w:t>
        </w:r>
      </w:hyperlink>
      <w:r w:rsidRPr="00C223DF">
        <w:rPr>
          <w:sz w:val="24"/>
          <w:szCs w:val="24"/>
          <w:lang w:val="fi-FI"/>
        </w:rPr>
        <w:t>.</w:t>
      </w:r>
    </w:p>
  </w:footnote>
  <w:footnote w:id="5">
    <w:p w14:paraId="69A4B5D3" w14:textId="61996FBD" w:rsidR="00814C79" w:rsidRPr="002A3AE9" w:rsidRDefault="00814C79" w:rsidP="00557AED">
      <w:pPr>
        <w:pStyle w:val="FootnoteText"/>
        <w:ind w:left="567" w:hanging="567"/>
        <w:rPr>
          <w:sz w:val="24"/>
          <w:szCs w:val="24"/>
          <w:lang w:val="sv-SE"/>
        </w:rPr>
      </w:pPr>
      <w:r w:rsidRPr="002A3AE9">
        <w:rPr>
          <w:rStyle w:val="FootnoteReference"/>
          <w:sz w:val="24"/>
          <w:szCs w:val="24"/>
          <w:lang w:val="sv-SE"/>
        </w:rPr>
        <w:footnoteRef/>
      </w:r>
      <w:r w:rsidR="00557AED" w:rsidRPr="002A3AE9">
        <w:rPr>
          <w:sz w:val="24"/>
          <w:szCs w:val="24"/>
          <w:lang w:val="sv-SE"/>
        </w:rPr>
        <w:t xml:space="preserve"> </w:t>
      </w:r>
      <w:r w:rsidR="00557AED" w:rsidRPr="002A3AE9">
        <w:rPr>
          <w:sz w:val="24"/>
          <w:szCs w:val="24"/>
          <w:lang w:val="sv-SE"/>
        </w:rPr>
        <w:tab/>
      </w:r>
      <w:r w:rsidRPr="002A3AE9">
        <w:rPr>
          <w:sz w:val="24"/>
          <w:szCs w:val="24"/>
          <w:lang w:val="sv-SE"/>
        </w:rPr>
        <w:t xml:space="preserve">Antaget av parlamentet som dess resolution av den 23 november 2023 om resultatet av överläggningarna i utskottet för framställningar under året 2022 </w:t>
      </w:r>
      <w:r w:rsidR="004A22D6">
        <w:rPr>
          <w:sz w:val="24"/>
          <w:szCs w:val="24"/>
          <w:lang w:val="sv-SE"/>
        </w:rPr>
        <w:t>(</w:t>
      </w:r>
      <w:r w:rsidRPr="002A3AE9">
        <w:rPr>
          <w:sz w:val="24"/>
          <w:szCs w:val="24"/>
          <w:lang w:val="sv-SE"/>
        </w:rPr>
        <w:t xml:space="preserve">EUT C, C/2024/4220, 24.7.2024, ELI: </w:t>
      </w:r>
      <w:hyperlink r:id="rId4" w:history="1">
        <w:r w:rsidRPr="004F7BD0">
          <w:rPr>
            <w:rStyle w:val="Hyperlink"/>
            <w:sz w:val="24"/>
            <w:szCs w:val="24"/>
            <w:lang w:val="sv-SE"/>
          </w:rPr>
          <w:t>http://data.europa.eu/eli/C/2024/4220/oj</w:t>
        </w:r>
      </w:hyperlink>
      <w:r w:rsidR="004A22D6">
        <w:rPr>
          <w:rStyle w:val="Hyperlink"/>
          <w:sz w:val="24"/>
          <w:szCs w:val="24"/>
          <w:lang w:val="sv-SE"/>
        </w:rPr>
        <w:t>)</w:t>
      </w:r>
      <w:r w:rsidRPr="002A3AE9">
        <w:rPr>
          <w:sz w:val="24"/>
          <w:szCs w:val="24"/>
          <w:lang w:val="sv-SE"/>
        </w:rPr>
        <w:t>.</w:t>
      </w:r>
    </w:p>
  </w:footnote>
  <w:footnote w:id="6">
    <w:p w14:paraId="4BCC0AD0" w14:textId="4FC70FD3" w:rsidR="004A22D6" w:rsidRPr="00154A59" w:rsidRDefault="004A22D6" w:rsidP="00154A59">
      <w:pPr>
        <w:pStyle w:val="FootnoteText"/>
        <w:ind w:left="567" w:hanging="567"/>
        <w:rPr>
          <w:sz w:val="24"/>
          <w:szCs w:val="24"/>
          <w:lang w:val="sv-SE"/>
        </w:rPr>
      </w:pPr>
      <w:r w:rsidRPr="00154A59">
        <w:rPr>
          <w:rStyle w:val="FootnoteReference"/>
          <w:sz w:val="24"/>
          <w:szCs w:val="24"/>
        </w:rPr>
        <w:footnoteRef/>
      </w:r>
      <w:r w:rsidRPr="00154A59">
        <w:rPr>
          <w:sz w:val="24"/>
          <w:szCs w:val="24"/>
          <w:lang w:val="sv-SE"/>
        </w:rPr>
        <w:t xml:space="preserve"> </w:t>
      </w:r>
      <w:r>
        <w:rPr>
          <w:lang w:val="sv-SE"/>
        </w:rPr>
        <w:tab/>
      </w:r>
      <w:r w:rsidRPr="00154A59">
        <w:rPr>
          <w:sz w:val="24"/>
          <w:szCs w:val="24"/>
          <w:lang w:val="sv-SE"/>
        </w:rPr>
        <w:t>Artiklarna 25–30 i Europaparlamentets och rådets förordning (EU) 2016/399 av den 9 mars 2016 om en unionskodex om gränspassage för person</w:t>
      </w:r>
      <w:r w:rsidRPr="004A22D6">
        <w:rPr>
          <w:sz w:val="24"/>
          <w:szCs w:val="24"/>
          <w:lang w:val="sv-SE"/>
        </w:rPr>
        <w:t>er (kodex om Schengengränserna)</w:t>
      </w:r>
      <w:r w:rsidRPr="00154A59">
        <w:rPr>
          <w:sz w:val="24"/>
          <w:szCs w:val="24"/>
          <w:lang w:val="sv-SE"/>
        </w:rPr>
        <w:t xml:space="preserve"> </w:t>
      </w:r>
      <w:r>
        <w:rPr>
          <w:sz w:val="24"/>
          <w:szCs w:val="24"/>
          <w:lang w:val="sv-SE"/>
        </w:rPr>
        <w:t>(</w:t>
      </w:r>
      <w:r w:rsidRPr="00154A59">
        <w:rPr>
          <w:sz w:val="24"/>
          <w:szCs w:val="24"/>
          <w:lang w:val="sv-SE"/>
        </w:rPr>
        <w:t xml:space="preserve">EUT L 77, 23.3.2016, s. 1, ELI: </w:t>
      </w:r>
      <w:hyperlink r:id="rId5" w:history="1">
        <w:r w:rsidRPr="00154A59">
          <w:rPr>
            <w:rStyle w:val="Hyperlink"/>
            <w:sz w:val="24"/>
            <w:szCs w:val="24"/>
            <w:lang w:val="sv-SE"/>
          </w:rPr>
          <w:t>http://data.europa.eu/eli/reg/2016</w:t>
        </w:r>
        <w:r w:rsidRPr="004A22D6">
          <w:rPr>
            <w:rStyle w:val="Hyperlink"/>
            <w:sz w:val="24"/>
            <w:szCs w:val="24"/>
            <w:lang w:val="sv-SE"/>
          </w:rPr>
          <w:br/>
        </w:r>
        <w:r w:rsidRPr="00154A59">
          <w:rPr>
            <w:rStyle w:val="Hyperlink"/>
            <w:sz w:val="24"/>
            <w:szCs w:val="24"/>
            <w:lang w:val="sv-SE"/>
          </w:rPr>
          <w:t>/399/oj</w:t>
        </w:r>
      </w:hyperlink>
      <w:r w:rsidRPr="00154A59">
        <w:rPr>
          <w:sz w:val="24"/>
          <w:szCs w:val="24"/>
          <w:lang w:val="sv-SE"/>
        </w:rPr>
        <w:t>)</w:t>
      </w:r>
      <w:r>
        <w:rPr>
          <w:sz w:val="24"/>
          <w:szCs w:val="24"/>
          <w:lang w:val="sv-SE"/>
        </w:rPr>
        <w:t>.</w:t>
      </w:r>
    </w:p>
  </w:footnote>
  <w:footnote w:id="7">
    <w:p w14:paraId="6EE0476D" w14:textId="77777777" w:rsidR="00814C79" w:rsidRPr="002A3AE9" w:rsidRDefault="00814C79" w:rsidP="00557AED">
      <w:pPr>
        <w:pStyle w:val="FootnoteText"/>
        <w:ind w:left="567" w:hanging="567"/>
        <w:rPr>
          <w:sz w:val="24"/>
          <w:szCs w:val="24"/>
          <w:lang w:val="sv-SE"/>
        </w:rPr>
      </w:pPr>
      <w:r w:rsidRPr="002A3AE9">
        <w:rPr>
          <w:rStyle w:val="FootnoteReference"/>
          <w:sz w:val="24"/>
          <w:szCs w:val="24"/>
          <w:lang w:val="sv-SE"/>
        </w:rPr>
        <w:footnoteRef/>
      </w:r>
      <w:r w:rsidR="00557AED" w:rsidRPr="002A3AE9">
        <w:rPr>
          <w:sz w:val="24"/>
          <w:szCs w:val="24"/>
          <w:lang w:val="sv-SE"/>
        </w:rPr>
        <w:t xml:space="preserve"> </w:t>
      </w:r>
      <w:r w:rsidR="00557AED" w:rsidRPr="002A3AE9">
        <w:rPr>
          <w:sz w:val="24"/>
          <w:szCs w:val="24"/>
          <w:lang w:val="sv-SE"/>
        </w:rPr>
        <w:tab/>
      </w:r>
      <w:r w:rsidRPr="002A3AE9">
        <w:rPr>
          <w:sz w:val="24"/>
          <w:szCs w:val="24"/>
          <w:lang w:val="sv-SE"/>
        </w:rPr>
        <w:t>EUT C 214, 16.6.2023, s.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D723" w14:textId="77777777" w:rsidR="00064002" w:rsidRPr="00557A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377A" w14:textId="77777777" w:rsidR="00064002" w:rsidRPr="00557A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CBE3" w14:textId="77777777" w:rsidR="00064002" w:rsidRPr="00557A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0928592">
    <w:abstractNumId w:val="9"/>
  </w:num>
  <w:num w:numId="2" w16cid:durableId="10881378">
    <w:abstractNumId w:val="9"/>
  </w:num>
  <w:num w:numId="3" w16cid:durableId="1046105669">
    <w:abstractNumId w:val="7"/>
  </w:num>
  <w:num w:numId="4" w16cid:durableId="499080990">
    <w:abstractNumId w:val="7"/>
  </w:num>
  <w:num w:numId="5" w16cid:durableId="1021903483">
    <w:abstractNumId w:val="6"/>
  </w:num>
  <w:num w:numId="6" w16cid:durableId="571234582">
    <w:abstractNumId w:val="6"/>
  </w:num>
  <w:num w:numId="7" w16cid:durableId="1098719391">
    <w:abstractNumId w:val="5"/>
  </w:num>
  <w:num w:numId="8" w16cid:durableId="1392999094">
    <w:abstractNumId w:val="5"/>
  </w:num>
  <w:num w:numId="9" w16cid:durableId="1554611841">
    <w:abstractNumId w:val="4"/>
  </w:num>
  <w:num w:numId="10" w16cid:durableId="1731071148">
    <w:abstractNumId w:val="4"/>
  </w:num>
  <w:num w:numId="11" w16cid:durableId="399065515">
    <w:abstractNumId w:val="8"/>
  </w:num>
  <w:num w:numId="12" w16cid:durableId="2058627956">
    <w:abstractNumId w:val="8"/>
  </w:num>
  <w:num w:numId="13" w16cid:durableId="186677668">
    <w:abstractNumId w:val="3"/>
  </w:num>
  <w:num w:numId="14" w16cid:durableId="1439637218">
    <w:abstractNumId w:val="3"/>
  </w:num>
  <w:num w:numId="15" w16cid:durableId="226036014">
    <w:abstractNumId w:val="2"/>
  </w:num>
  <w:num w:numId="16" w16cid:durableId="836774780">
    <w:abstractNumId w:val="2"/>
  </w:num>
  <w:num w:numId="17" w16cid:durableId="37314684">
    <w:abstractNumId w:val="1"/>
  </w:num>
  <w:num w:numId="18" w16cid:durableId="1190920398">
    <w:abstractNumId w:val="1"/>
  </w:num>
  <w:num w:numId="19" w16cid:durableId="721682757">
    <w:abstractNumId w:val="0"/>
  </w:num>
  <w:num w:numId="20" w16cid:durableId="1268462325">
    <w:abstractNumId w:val="0"/>
  </w:num>
  <w:num w:numId="21" w16cid:durableId="500849024">
    <w:abstractNumId w:val="9"/>
  </w:num>
  <w:num w:numId="22" w16cid:durableId="1723602047">
    <w:abstractNumId w:val="7"/>
  </w:num>
  <w:num w:numId="23" w16cid:durableId="531115391">
    <w:abstractNumId w:val="6"/>
  </w:num>
  <w:num w:numId="24" w16cid:durableId="2128305005">
    <w:abstractNumId w:val="5"/>
  </w:num>
  <w:num w:numId="25" w16cid:durableId="816263446">
    <w:abstractNumId w:val="4"/>
  </w:num>
  <w:num w:numId="26" w16cid:durableId="2137486900">
    <w:abstractNumId w:val="8"/>
  </w:num>
  <w:num w:numId="27" w16cid:durableId="1501265455">
    <w:abstractNumId w:val="3"/>
  </w:num>
  <w:num w:numId="28" w16cid:durableId="963655404">
    <w:abstractNumId w:val="2"/>
  </w:num>
  <w:num w:numId="29" w16cid:durableId="2070614589">
    <w:abstractNumId w:val="1"/>
  </w:num>
  <w:num w:numId="30" w16cid:durableId="1719891388">
    <w:abstractNumId w:val="0"/>
  </w:num>
  <w:num w:numId="31" w16cid:durableId="1178234192">
    <w:abstractNumId w:val="9"/>
  </w:num>
  <w:num w:numId="32" w16cid:durableId="1495801039">
    <w:abstractNumId w:val="7"/>
  </w:num>
  <w:num w:numId="33" w16cid:durableId="1850368185">
    <w:abstractNumId w:val="6"/>
  </w:num>
  <w:num w:numId="34" w16cid:durableId="648676578">
    <w:abstractNumId w:val="5"/>
  </w:num>
  <w:num w:numId="35" w16cid:durableId="731541311">
    <w:abstractNumId w:val="4"/>
  </w:num>
  <w:num w:numId="36" w16cid:durableId="2060203858">
    <w:abstractNumId w:val="8"/>
  </w:num>
  <w:num w:numId="37" w16cid:durableId="2120833367">
    <w:abstractNumId w:val="3"/>
  </w:num>
  <w:num w:numId="38" w16cid:durableId="1624145149">
    <w:abstractNumId w:val="2"/>
  </w:num>
  <w:num w:numId="39" w16cid:durableId="1869873914">
    <w:abstractNumId w:val="1"/>
  </w:num>
  <w:num w:numId="40" w16cid:durableId="600188129">
    <w:abstractNumId w:val="0"/>
  </w:num>
  <w:num w:numId="41" w16cid:durableId="889729656">
    <w:abstractNumId w:val="10"/>
  </w:num>
  <w:num w:numId="42" w16cid:durableId="492768617">
    <w:abstractNumId w:val="10"/>
  </w:num>
  <w:num w:numId="43" w16cid:durableId="528490104">
    <w:abstractNumId w:val="10"/>
  </w:num>
  <w:num w:numId="44" w16cid:durableId="2022007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3/2025"/>
    <w:docVar w:name="dvlangue" w:val="SV"/>
    <w:docVar w:name="dvnumam" w:val="0"/>
    <w:docVar w:name="dvpe" w:val="768.068"/>
    <w:docVar w:name="dvrapporteur" w:val="Föredragande: "/>
    <w:docVar w:name="dvtitre" w:val="Europaparlamentets resolution av den xx xx 2025 om överläggningarna i utskottet för framställningar under 2023(2025/2027(INI))"/>
  </w:docVars>
  <w:rsids>
    <w:rsidRoot w:val="004413A6"/>
    <w:rsid w:val="00002272"/>
    <w:rsid w:val="00064002"/>
    <w:rsid w:val="000677B9"/>
    <w:rsid w:val="000831BA"/>
    <w:rsid w:val="000A42CC"/>
    <w:rsid w:val="000E7DD9"/>
    <w:rsid w:val="0010095E"/>
    <w:rsid w:val="00125B37"/>
    <w:rsid w:val="00154A59"/>
    <w:rsid w:val="00187494"/>
    <w:rsid w:val="001F32AE"/>
    <w:rsid w:val="00246160"/>
    <w:rsid w:val="002538A0"/>
    <w:rsid w:val="002767FF"/>
    <w:rsid w:val="00293ED7"/>
    <w:rsid w:val="002A3AE9"/>
    <w:rsid w:val="002B18FE"/>
    <w:rsid w:val="002B5493"/>
    <w:rsid w:val="00343214"/>
    <w:rsid w:val="00361C00"/>
    <w:rsid w:val="00395FA1"/>
    <w:rsid w:val="003E15D4"/>
    <w:rsid w:val="003F6A15"/>
    <w:rsid w:val="00411CCE"/>
    <w:rsid w:val="0041666E"/>
    <w:rsid w:val="00421060"/>
    <w:rsid w:val="004413A6"/>
    <w:rsid w:val="00471C19"/>
    <w:rsid w:val="004867E3"/>
    <w:rsid w:val="00494A28"/>
    <w:rsid w:val="004A22D6"/>
    <w:rsid w:val="004C0004"/>
    <w:rsid w:val="004C5D52"/>
    <w:rsid w:val="004F7BD0"/>
    <w:rsid w:val="0050519A"/>
    <w:rsid w:val="005072A1"/>
    <w:rsid w:val="00514517"/>
    <w:rsid w:val="00545827"/>
    <w:rsid w:val="00557AED"/>
    <w:rsid w:val="00560270"/>
    <w:rsid w:val="005C2568"/>
    <w:rsid w:val="005F1B17"/>
    <w:rsid w:val="006037C0"/>
    <w:rsid w:val="006631B6"/>
    <w:rsid w:val="00680577"/>
    <w:rsid w:val="00697450"/>
    <w:rsid w:val="006C29ED"/>
    <w:rsid w:val="006F2CFA"/>
    <w:rsid w:val="006F74FA"/>
    <w:rsid w:val="00731ADD"/>
    <w:rsid w:val="00734777"/>
    <w:rsid w:val="00747932"/>
    <w:rsid w:val="00751A4A"/>
    <w:rsid w:val="00756632"/>
    <w:rsid w:val="00762C74"/>
    <w:rsid w:val="00786EC0"/>
    <w:rsid w:val="007D1690"/>
    <w:rsid w:val="007E22AD"/>
    <w:rsid w:val="007F56C2"/>
    <w:rsid w:val="00814C79"/>
    <w:rsid w:val="00817416"/>
    <w:rsid w:val="00842779"/>
    <w:rsid w:val="00865F67"/>
    <w:rsid w:val="00881A7B"/>
    <w:rsid w:val="008840E5"/>
    <w:rsid w:val="00887B3E"/>
    <w:rsid w:val="008930FB"/>
    <w:rsid w:val="008C2AC6"/>
    <w:rsid w:val="008E3C53"/>
    <w:rsid w:val="008F167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019"/>
    <w:rsid w:val="00C05BFE"/>
    <w:rsid w:val="00C23CD4"/>
    <w:rsid w:val="00C61C0C"/>
    <w:rsid w:val="00C941CB"/>
    <w:rsid w:val="00CC2357"/>
    <w:rsid w:val="00CF071A"/>
    <w:rsid w:val="00D058B8"/>
    <w:rsid w:val="00D56C11"/>
    <w:rsid w:val="00D834A0"/>
    <w:rsid w:val="00D872DF"/>
    <w:rsid w:val="00D91E21"/>
    <w:rsid w:val="00DA7FCD"/>
    <w:rsid w:val="00E0335F"/>
    <w:rsid w:val="00E365E1"/>
    <w:rsid w:val="00E651E3"/>
    <w:rsid w:val="00E820A4"/>
    <w:rsid w:val="00EB006A"/>
    <w:rsid w:val="00EB4772"/>
    <w:rsid w:val="00ED169E"/>
    <w:rsid w:val="00ED4235"/>
    <w:rsid w:val="00EF1D1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510C6"/>
  <w15:chartTrackingRefBased/>
  <w15:docId w15:val="{2C3505C0-BA19-4FF5-8C8C-995B55CD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uiPriority w:val="99"/>
    <w:rsid w:val="00814C79"/>
    <w:pPr>
      <w:keepNext/>
      <w:spacing w:after="480"/>
      <w:jc w:val="center"/>
    </w:pPr>
    <w:rPr>
      <w:rFonts w:ascii="Arial" w:hAnsi="Arial" w:cs="Arial"/>
      <w:b/>
    </w:rPr>
  </w:style>
  <w:style w:type="paragraph" w:customStyle="1" w:styleId="NormalBold">
    <w:name w:val="NormalBold"/>
    <w:basedOn w:val="Normal"/>
    <w:uiPriority w:val="99"/>
    <w:rsid w:val="00814C79"/>
    <w:rPr>
      <w:b/>
    </w:rPr>
  </w:style>
  <w:style w:type="paragraph" w:customStyle="1" w:styleId="NormalHanging12a">
    <w:name w:val="NormalHanging12a"/>
    <w:basedOn w:val="Normal"/>
    <w:link w:val="NormalHanging12aChar"/>
    <w:rsid w:val="00814C79"/>
    <w:pPr>
      <w:spacing w:after="240"/>
      <w:ind w:left="567" w:hanging="567"/>
    </w:pPr>
  </w:style>
  <w:style w:type="paragraph" w:customStyle="1" w:styleId="EPComma">
    <w:name w:val="EPComma"/>
    <w:basedOn w:val="Normal"/>
    <w:uiPriority w:val="99"/>
    <w:rsid w:val="00814C79"/>
    <w:pPr>
      <w:spacing w:before="480" w:after="240"/>
    </w:pPr>
  </w:style>
  <w:style w:type="character" w:styleId="Hyperlink">
    <w:name w:val="Hyperlink"/>
    <w:basedOn w:val="DefaultParagraphFont"/>
    <w:uiPriority w:val="99"/>
    <w:unhideWhenUsed/>
    <w:rsid w:val="00814C79"/>
    <w:rPr>
      <w:color w:val="0000FF"/>
      <w:u w:val="single"/>
    </w:rPr>
  </w:style>
  <w:style w:type="character" w:customStyle="1" w:styleId="NormalHanging12aChar">
    <w:name w:val="NormalHanging12a Char"/>
    <w:basedOn w:val="DefaultParagraphFont"/>
    <w:link w:val="NormalHanging12a"/>
    <w:rsid w:val="00814C79"/>
    <w:rPr>
      <w:sz w:val="24"/>
      <w:lang w:val="sv-SE"/>
    </w:rPr>
  </w:style>
  <w:style w:type="character" w:styleId="CommentReference">
    <w:name w:val="annotation reference"/>
    <w:basedOn w:val="DefaultParagraphFont"/>
    <w:rsid w:val="00293ED7"/>
    <w:rPr>
      <w:sz w:val="16"/>
      <w:szCs w:val="16"/>
    </w:rPr>
  </w:style>
  <w:style w:type="paragraph" w:styleId="CommentText">
    <w:name w:val="annotation text"/>
    <w:basedOn w:val="Normal"/>
    <w:link w:val="CommentTextChar"/>
    <w:rsid w:val="00293ED7"/>
    <w:rPr>
      <w:sz w:val="20"/>
    </w:rPr>
  </w:style>
  <w:style w:type="character" w:customStyle="1" w:styleId="CommentTextChar">
    <w:name w:val="Comment Text Char"/>
    <w:basedOn w:val="DefaultParagraphFont"/>
    <w:link w:val="CommentText"/>
    <w:rsid w:val="00293ED7"/>
    <w:rPr>
      <w:lang w:val="sv-SE"/>
    </w:rPr>
  </w:style>
  <w:style w:type="paragraph" w:styleId="CommentSubject">
    <w:name w:val="annotation subject"/>
    <w:basedOn w:val="CommentText"/>
    <w:next w:val="CommentText"/>
    <w:link w:val="CommentSubjectChar"/>
    <w:rsid w:val="00293ED7"/>
    <w:rPr>
      <w:b/>
      <w:bCs/>
    </w:rPr>
  </w:style>
  <w:style w:type="character" w:customStyle="1" w:styleId="CommentSubjectChar">
    <w:name w:val="Comment Subject Char"/>
    <w:basedOn w:val="CommentTextChar"/>
    <w:link w:val="CommentSubject"/>
    <w:rsid w:val="00293ED7"/>
    <w:rPr>
      <w:b/>
      <w:bCs/>
      <w:lang w:val="sv-SE"/>
    </w:rPr>
  </w:style>
  <w:style w:type="paragraph" w:styleId="BalloonText">
    <w:name w:val="Balloon Text"/>
    <w:basedOn w:val="Normal"/>
    <w:link w:val="BalloonTextChar"/>
    <w:rsid w:val="00293ED7"/>
    <w:rPr>
      <w:rFonts w:ascii="Segoe UI" w:hAnsi="Segoe UI" w:cs="Segoe UI"/>
      <w:sz w:val="18"/>
      <w:szCs w:val="18"/>
    </w:rPr>
  </w:style>
  <w:style w:type="character" w:customStyle="1" w:styleId="BalloonTextChar">
    <w:name w:val="Balloon Text Char"/>
    <w:basedOn w:val="DefaultParagraphFont"/>
    <w:link w:val="BalloonText"/>
    <w:rsid w:val="00293ED7"/>
    <w:rPr>
      <w:rFonts w:ascii="Segoe UI" w:hAnsi="Segoe UI" w:cs="Segoe UI"/>
      <w:sz w:val="18"/>
      <w:szCs w:val="18"/>
      <w:lang w:val="sv-SE"/>
    </w:rPr>
  </w:style>
  <w:style w:type="paragraph" w:styleId="Revision">
    <w:name w:val="Revision"/>
    <w:hidden/>
    <w:uiPriority w:val="99"/>
    <w:semiHidden/>
    <w:rsid w:val="004F7BD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559/oj" TargetMode="External"/><Relationship Id="rId2" Type="http://schemas.openxmlformats.org/officeDocument/2006/relationships/hyperlink" Target="http://data.europa.eu/eli/dir/2009/147/oj" TargetMode="External"/><Relationship Id="rId1" Type="http://schemas.openxmlformats.org/officeDocument/2006/relationships/hyperlink" Target="http://data.europa.eu/eli/dir/1992/43/oj" TargetMode="External"/><Relationship Id="rId5" Type="http://schemas.openxmlformats.org/officeDocument/2006/relationships/hyperlink" Target="http://data.europa.eu/eli/reg/2016/399/oj" TargetMode="External"/><Relationship Id="rId4" Type="http://schemas.openxmlformats.org/officeDocument/2006/relationships/hyperlink" Target="http://data.europa.eu/eli/C/2024/42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A7267-860C-485A-ABD1-879879AB9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6723</Words>
  <Characters>44176</Characters>
  <Application>Microsoft Office Word</Application>
  <DocSecurity>0</DocSecurity>
  <Lines>368</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2025-06-12T13:56:00Z</dcterms:created>
  <dcterms:modified xsi:type="dcterms:W3CDTF">2025-06-12T13:56:00Z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A10-0063/2025</vt:lpwstr>
  </property>
  <property fmtid="{D5CDD505-2E9C-101B-9397-08002B2CF9AE}" pid="4" name="&lt;Type&gt;">
    <vt:lpwstr>RR</vt:lpwstr>
  </property>
</Properties>
</file>