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5E1466" w:rsidTr="00425111">
        <w:trPr>
          <w:trHeight w:hRule="exact" w:val="1418"/>
        </w:trPr>
        <w:tc>
          <w:tcPr>
            <w:tcW w:w="6804" w:type="dxa"/>
            <w:shd w:val="clear" w:color="auto" w:fill="auto"/>
            <w:vAlign w:val="center"/>
          </w:tcPr>
          <w:p w:rsidR="00757DD5" w:rsidRPr="005E1466" w:rsidRDefault="00570ACA" w:rsidP="00425111">
            <w:pPr>
              <w:pStyle w:val="EPName"/>
              <w:rPr>
                <w:lang w:val="es-ES_tradnl"/>
              </w:rPr>
            </w:pPr>
            <w:r w:rsidRPr="005E1466">
              <w:rPr>
                <w:lang w:val="es-ES_tradnl"/>
              </w:rPr>
              <w:t>Parlamento Europeo</w:t>
            </w:r>
          </w:p>
          <w:p w:rsidR="00757DD5" w:rsidRPr="005E1466" w:rsidRDefault="00570ACA" w:rsidP="00425111">
            <w:pPr>
              <w:pStyle w:val="EPTerm"/>
              <w:rPr>
                <w:rStyle w:val="HideTWBExt"/>
                <w:noProof w:val="0"/>
                <w:vanish w:val="0"/>
                <w:lang w:val="es-ES_tradnl"/>
              </w:rPr>
            </w:pPr>
            <w:r w:rsidRPr="005E1466">
              <w:rPr>
                <w:lang w:val="es-ES_tradnl"/>
              </w:rPr>
              <w:t>2024-2029</w:t>
            </w:r>
          </w:p>
        </w:tc>
        <w:tc>
          <w:tcPr>
            <w:tcW w:w="2268" w:type="dxa"/>
            <w:shd w:val="clear" w:color="auto" w:fill="auto"/>
          </w:tcPr>
          <w:p w:rsidR="00757DD5" w:rsidRPr="005E1466" w:rsidRDefault="00172070" w:rsidP="00425111">
            <w:pPr>
              <w:pStyle w:val="EPLogo"/>
              <w:rPr>
                <w:lang w:val="es-ES_tradnl"/>
              </w:rPr>
            </w:pPr>
            <w:r w:rsidRPr="005E1466">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5E1466" w:rsidRDefault="008E7632" w:rsidP="008E7632">
      <w:pPr>
        <w:pStyle w:val="LineTop"/>
        <w:rPr>
          <w:lang w:val="es-ES_tradnl"/>
        </w:rPr>
      </w:pPr>
    </w:p>
    <w:p w:rsidR="008E7632" w:rsidRPr="005E1466" w:rsidRDefault="00570ACA" w:rsidP="008E7632">
      <w:pPr>
        <w:pStyle w:val="ZSessionDoc"/>
        <w:rPr>
          <w:b/>
          <w:i w:val="0"/>
          <w:lang w:val="es-ES_tradnl"/>
        </w:rPr>
      </w:pPr>
      <w:r w:rsidRPr="005E1466">
        <w:rPr>
          <w:b/>
          <w:i w:val="0"/>
          <w:lang w:val="es-ES_tradnl"/>
        </w:rPr>
        <w:t>TEXTOS APROBADOS</w:t>
      </w:r>
    </w:p>
    <w:p w:rsidR="008E7632" w:rsidRPr="005E1466" w:rsidRDefault="00570ACA" w:rsidP="008E7632">
      <w:pPr>
        <w:pStyle w:val="LineBottom"/>
        <w:rPr>
          <w:lang w:val="es-ES_tradnl"/>
        </w:rPr>
      </w:pPr>
      <w:r w:rsidRPr="005E1466">
        <w:rPr>
          <w:rFonts w:cs="Arial"/>
          <w:i/>
          <w:sz w:val="20"/>
          <w:szCs w:val="22"/>
          <w:lang w:val="es-ES_tradnl"/>
        </w:rPr>
        <w:t xml:space="preserve"> </w:t>
      </w:r>
    </w:p>
    <w:p w:rsidR="009C4014" w:rsidRPr="005E1466" w:rsidRDefault="00570ACA" w:rsidP="008E7632">
      <w:pPr>
        <w:pStyle w:val="ATHeading1"/>
        <w:spacing w:before="480"/>
        <w:rPr>
          <w:noProof w:val="0"/>
          <w:lang w:val="es-ES_tradnl"/>
        </w:rPr>
      </w:pPr>
      <w:bookmarkStart w:id="0" w:name="TA_Heading"/>
      <w:r w:rsidRPr="005E1466">
        <w:rPr>
          <w:noProof w:val="0"/>
          <w:lang w:val="es-ES_tradnl"/>
        </w:rPr>
        <w:t>P10_TA(2025)</w:t>
      </w:r>
      <w:bookmarkStart w:id="1" w:name="TANumber"/>
      <w:bookmarkEnd w:id="0"/>
      <w:r w:rsidRPr="005E1466">
        <w:rPr>
          <w:noProof w:val="0"/>
          <w:lang w:val="es-ES_tradnl"/>
        </w:rPr>
        <w:t>0</w:t>
      </w:r>
      <w:r w:rsidR="00112228" w:rsidRPr="005E1466">
        <w:rPr>
          <w:noProof w:val="0"/>
          <w:lang w:val="es-ES_tradnl"/>
        </w:rPr>
        <w:t>115</w:t>
      </w:r>
      <w:bookmarkEnd w:id="1"/>
    </w:p>
    <w:p w:rsidR="009C4014" w:rsidRPr="005E1466" w:rsidRDefault="00570ACA" w:rsidP="00570ACA">
      <w:pPr>
        <w:pStyle w:val="ATHeading2"/>
        <w:rPr>
          <w:noProof w:val="0"/>
          <w:lang w:val="es-ES_tradnl"/>
        </w:rPr>
      </w:pPr>
      <w:bookmarkStart w:id="2" w:name="title"/>
      <w:r w:rsidRPr="005E1466">
        <w:rPr>
          <w:noProof w:val="0"/>
          <w:lang w:val="es-ES_tradnl"/>
        </w:rPr>
        <w:t>Modificación del Reglamento (UE) n.º 228/2013 en lo que respecta a la ayuda suplementaria y una mayor flexibilidad en favor de las regiones ultraperiféricas afectadas por catástrofes naturales graves y en el contexto del ciclón Chido que ha devastado Mayotte</w:t>
      </w:r>
      <w:bookmarkEnd w:id="2"/>
      <w:r w:rsidR="009C4014" w:rsidRPr="005E1466">
        <w:rPr>
          <w:noProof w:val="0"/>
          <w:lang w:val="es-ES_tradnl"/>
        </w:rPr>
        <w:t xml:space="preserve"> </w:t>
      </w:r>
      <w:bookmarkStart w:id="3" w:name="Etoiles"/>
      <w:bookmarkEnd w:id="3"/>
    </w:p>
    <w:p w:rsidR="009C4014" w:rsidRPr="005E1466" w:rsidRDefault="009C4014" w:rsidP="009C4014">
      <w:pPr>
        <w:rPr>
          <w:i/>
          <w:vanish/>
          <w:lang w:val="es-ES_tradnl"/>
        </w:rPr>
      </w:pPr>
      <w:r w:rsidRPr="005E1466">
        <w:rPr>
          <w:i/>
          <w:lang w:val="es-ES_tradnl"/>
        </w:rPr>
        <w:fldChar w:fldCharType="begin"/>
      </w:r>
      <w:r w:rsidRPr="005E1466">
        <w:rPr>
          <w:i/>
          <w:lang w:val="es-ES_tradnl"/>
        </w:rPr>
        <w:instrText xml:space="preserve"> TC"</w:instrText>
      </w:r>
      <w:bookmarkStart w:id="4" w:name="DocNumber"/>
      <w:r w:rsidR="00570ACA" w:rsidRPr="005E1466">
        <w:rPr>
          <w:i/>
          <w:lang w:val="es-ES_tradnl"/>
        </w:rPr>
        <w:instrText>(C10-0071/2025)</w:instrText>
      </w:r>
      <w:bookmarkEnd w:id="4"/>
      <w:r w:rsidRPr="005E1466">
        <w:rPr>
          <w:i/>
          <w:lang w:val="es-ES_tradnl"/>
        </w:rPr>
        <w:instrText xml:space="preserve">"\l3 \n&gt; \* MERGEFORMAT </w:instrText>
      </w:r>
      <w:r w:rsidRPr="005E1466">
        <w:rPr>
          <w:i/>
          <w:lang w:val="es-ES_tradnl"/>
        </w:rPr>
        <w:fldChar w:fldCharType="end"/>
      </w:r>
    </w:p>
    <w:p w:rsidR="00570ACA" w:rsidRPr="005E1466" w:rsidRDefault="00570ACA" w:rsidP="009C4014">
      <w:pPr>
        <w:rPr>
          <w:vanish/>
          <w:lang w:val="es-ES_tradnl"/>
        </w:rPr>
      </w:pPr>
      <w:bookmarkStart w:id="5" w:name="Commission"/>
      <w:r w:rsidRPr="005E1466">
        <w:rPr>
          <w:vanish/>
          <w:lang w:val="es-ES_tradnl"/>
        </w:rPr>
        <w:t>Comisión de Agricultura y Desarrollo Rural</w:t>
      </w:r>
    </w:p>
    <w:p w:rsidR="009C4014" w:rsidRPr="005E1466" w:rsidRDefault="00570ACA" w:rsidP="009C4014">
      <w:pPr>
        <w:rPr>
          <w:vanish/>
          <w:lang w:val="es-ES_tradnl"/>
        </w:rPr>
      </w:pPr>
      <w:bookmarkStart w:id="6" w:name="PE"/>
      <w:bookmarkEnd w:id="5"/>
      <w:r w:rsidRPr="005E1466">
        <w:rPr>
          <w:vanish/>
          <w:lang w:val="es-ES_tradnl"/>
        </w:rPr>
        <w:t>PE</w:t>
      </w:r>
      <w:r w:rsidR="00923DF3" w:rsidRPr="005E1466">
        <w:rPr>
          <w:vanish/>
          <w:lang w:val="es-ES_tradnl"/>
        </w:rPr>
        <w:t>7</w:t>
      </w:r>
      <w:r w:rsidR="007748D5" w:rsidRPr="005E1466">
        <w:rPr>
          <w:vanish/>
          <w:lang w:val="es-ES_tradnl"/>
        </w:rPr>
        <w:t>74</w:t>
      </w:r>
      <w:r w:rsidRPr="005E1466">
        <w:rPr>
          <w:vanish/>
          <w:lang w:val="es-ES_tradnl"/>
        </w:rPr>
        <w:t>.</w:t>
      </w:r>
      <w:bookmarkEnd w:id="6"/>
      <w:r w:rsidR="007748D5" w:rsidRPr="005E1466">
        <w:rPr>
          <w:vanish/>
          <w:lang w:val="es-ES_tradnl"/>
        </w:rPr>
        <w:t>152</w:t>
      </w:r>
    </w:p>
    <w:p w:rsidR="009C4014" w:rsidRPr="005E1466" w:rsidRDefault="00B06AAA" w:rsidP="00570ACA">
      <w:pPr>
        <w:pStyle w:val="ATHeading3"/>
        <w:rPr>
          <w:noProof w:val="0"/>
          <w:lang w:val="es-ES_tradnl"/>
        </w:rPr>
      </w:pPr>
      <w:bookmarkStart w:id="7" w:name="Sujet"/>
      <w:r w:rsidRPr="005E1466">
        <w:rPr>
          <w:noProof w:val="0"/>
          <w:lang w:val="es-ES_tradnl"/>
        </w:rPr>
        <w:t xml:space="preserve">Resolución legislativa del Parlamento Europeo, </w:t>
      </w:r>
      <w:bookmarkEnd w:id="7"/>
      <w:r w:rsidRPr="005E1466">
        <w:rPr>
          <w:noProof w:val="0"/>
          <w:lang w:val="es-ES_tradnl"/>
        </w:rPr>
        <w:t>de 17 de junio de 2025, sobre la propuesta de Reglamento del Parlamento Europeo y del Consejo por el que se modifica el Reglamento (UE) n.º 228/2013 en lo que respecta a la ayuda suplementaria y una mayor flexibilidad en favor de las regiones ultraperiféricas afectadas por catástrofes naturales graves y en el contexto del ciclón Chido que ha devastado Mayotte</w:t>
      </w:r>
      <w:r w:rsidR="00E73B02" w:rsidRPr="005E1466">
        <w:rPr>
          <w:noProof w:val="0"/>
          <w:lang w:val="es-ES_tradnl"/>
        </w:rPr>
        <w:t xml:space="preserve"> </w:t>
      </w:r>
      <w:bookmarkStart w:id="8" w:name="References"/>
      <w:r w:rsidR="00570ACA" w:rsidRPr="005E1466">
        <w:rPr>
          <w:noProof w:val="0"/>
          <w:lang w:val="es-ES_tradnl"/>
        </w:rPr>
        <w:t>(</w:t>
      </w:r>
      <w:r w:rsidRPr="005E1466">
        <w:rPr>
          <w:noProof w:val="0"/>
          <w:lang w:val="es-ES_tradnl"/>
        </w:rPr>
        <w:t>COM(2025)0190 – C10-0071/2025 – 2025/0104(COD)</w:t>
      </w:r>
      <w:r w:rsidR="00570ACA" w:rsidRPr="005E1466">
        <w:rPr>
          <w:noProof w:val="0"/>
          <w:lang w:val="es-ES_tradnl"/>
        </w:rPr>
        <w:t>)</w:t>
      </w:r>
      <w:bookmarkEnd w:id="8"/>
    </w:p>
    <w:p w:rsidR="00C15488" w:rsidRPr="005E1466" w:rsidRDefault="00C15488" w:rsidP="00C15488">
      <w:pPr>
        <w:pStyle w:val="Normal12"/>
        <w:spacing w:before="240"/>
        <w:rPr>
          <w:i/>
          <w:szCs w:val="24"/>
          <w:lang w:val="es-ES_tradnl"/>
        </w:rPr>
      </w:pPr>
      <w:bookmarkStart w:id="9" w:name="TextBodyBegin"/>
      <w:bookmarkEnd w:id="9"/>
      <w:r w:rsidRPr="005E1466">
        <w:rPr>
          <w:b/>
          <w:lang w:val="es-ES_tradnl"/>
        </w:rPr>
        <w:t>(Procedimiento legislativo ordinario: primera lectura)</w:t>
      </w:r>
    </w:p>
    <w:p w:rsidR="00C15488" w:rsidRPr="005E1466" w:rsidRDefault="00C15488" w:rsidP="00C15488">
      <w:pPr>
        <w:pStyle w:val="Normal12"/>
        <w:spacing w:before="240"/>
        <w:rPr>
          <w:i/>
          <w:szCs w:val="24"/>
          <w:lang w:val="es-ES_tradnl"/>
        </w:rPr>
      </w:pPr>
      <w:r w:rsidRPr="005E1466">
        <w:rPr>
          <w:i/>
          <w:szCs w:val="24"/>
          <w:lang w:val="es-ES_tradnl"/>
        </w:rPr>
        <w:t>El Parlamento Europeo,</w:t>
      </w:r>
    </w:p>
    <w:p w:rsidR="00C15488" w:rsidRPr="005E1466" w:rsidRDefault="00C15488" w:rsidP="00C15488">
      <w:pPr>
        <w:tabs>
          <w:tab w:val="left" w:pos="567"/>
          <w:tab w:val="left" w:pos="851"/>
        </w:tabs>
        <w:spacing w:after="240"/>
        <w:ind w:left="567" w:hanging="567"/>
        <w:rPr>
          <w:szCs w:val="24"/>
          <w:lang w:val="es-ES_tradnl"/>
        </w:rPr>
      </w:pPr>
      <w:r w:rsidRPr="005E1466">
        <w:rPr>
          <w:szCs w:val="24"/>
          <w:lang w:val="es-ES_tradnl"/>
        </w:rPr>
        <w:t>–</w:t>
      </w:r>
      <w:r w:rsidRPr="005E1466">
        <w:rPr>
          <w:szCs w:val="24"/>
          <w:lang w:val="es-ES_tradnl"/>
        </w:rPr>
        <w:tab/>
        <w:t>Vista la propuesta de la Comisión al Parlamento Europeo y al Consejo (COM(2025)</w:t>
      </w:r>
      <w:r w:rsidRPr="005E1466">
        <w:rPr>
          <w:lang w:val="es-ES_tradnl"/>
        </w:rPr>
        <w:t>0190</w:t>
      </w:r>
      <w:r w:rsidRPr="005E1466">
        <w:rPr>
          <w:szCs w:val="24"/>
          <w:lang w:val="es-ES_tradnl"/>
        </w:rPr>
        <w:t>),</w:t>
      </w:r>
    </w:p>
    <w:p w:rsidR="00C15488" w:rsidRPr="005E1466" w:rsidRDefault="00C15488" w:rsidP="00C15488">
      <w:pPr>
        <w:tabs>
          <w:tab w:val="left" w:pos="567"/>
          <w:tab w:val="left" w:pos="851"/>
        </w:tabs>
        <w:spacing w:after="240"/>
        <w:ind w:left="567" w:hanging="567"/>
        <w:rPr>
          <w:szCs w:val="24"/>
          <w:lang w:val="es-ES_tradnl"/>
        </w:rPr>
      </w:pPr>
      <w:r w:rsidRPr="005E1466">
        <w:rPr>
          <w:szCs w:val="24"/>
          <w:lang w:val="es-ES_tradnl"/>
        </w:rPr>
        <w:t>–</w:t>
      </w:r>
      <w:r w:rsidRPr="005E1466">
        <w:rPr>
          <w:szCs w:val="24"/>
          <w:lang w:val="es-ES_tradnl"/>
        </w:rPr>
        <w:tab/>
        <w:t>Vistos el artículo 294, apartado 2, el artículo 42, el artículo 43, apartado 2</w:t>
      </w:r>
      <w:r w:rsidR="004B1861" w:rsidRPr="005E1466">
        <w:rPr>
          <w:szCs w:val="24"/>
          <w:lang w:val="es-ES_tradnl"/>
        </w:rPr>
        <w:t>,</w:t>
      </w:r>
      <w:r w:rsidRPr="005E1466">
        <w:rPr>
          <w:szCs w:val="24"/>
          <w:lang w:val="es-ES_tradnl"/>
        </w:rPr>
        <w:t xml:space="preserve"> y el artículo 349 del Tratado de Funcionamiento de la Unión Europea, conforme a los cuales la Comisión le ha presentado su propuesta (C10-0071/2025),</w:t>
      </w:r>
    </w:p>
    <w:p w:rsidR="00C15488" w:rsidRPr="005E1466" w:rsidRDefault="00C15488" w:rsidP="00C15488">
      <w:pPr>
        <w:tabs>
          <w:tab w:val="left" w:pos="567"/>
          <w:tab w:val="left" w:pos="851"/>
        </w:tabs>
        <w:spacing w:after="240"/>
        <w:ind w:left="567" w:hanging="567"/>
        <w:rPr>
          <w:szCs w:val="24"/>
          <w:lang w:val="es-ES_tradnl"/>
        </w:rPr>
      </w:pPr>
      <w:r w:rsidRPr="005E1466">
        <w:rPr>
          <w:szCs w:val="24"/>
          <w:lang w:val="es-ES_tradnl"/>
        </w:rPr>
        <w:sym w:font="Symbol" w:char="F02D"/>
      </w:r>
      <w:r w:rsidRPr="005E1466">
        <w:rPr>
          <w:szCs w:val="24"/>
          <w:lang w:val="es-ES_tradnl"/>
        </w:rPr>
        <w:tab/>
        <w:t>Visto el artículo 294, apartado 3, del Tratado de Funcionamiento de la Unión Europea,</w:t>
      </w:r>
    </w:p>
    <w:p w:rsidR="00C15488" w:rsidRPr="005E1466" w:rsidRDefault="00C15488" w:rsidP="00C15488">
      <w:pPr>
        <w:tabs>
          <w:tab w:val="left" w:pos="567"/>
          <w:tab w:val="left" w:pos="851"/>
        </w:tabs>
        <w:spacing w:after="240"/>
        <w:ind w:left="567" w:hanging="567"/>
        <w:rPr>
          <w:lang w:val="es-ES_tradnl"/>
        </w:rPr>
      </w:pPr>
      <w:r w:rsidRPr="005E1466">
        <w:rPr>
          <w:lang w:val="es-ES_tradnl"/>
        </w:rPr>
        <w:t>–</w:t>
      </w:r>
      <w:r w:rsidRPr="005E1466">
        <w:rPr>
          <w:lang w:val="es-ES_tradnl"/>
        </w:rPr>
        <w:tab/>
      </w:r>
      <w:r w:rsidR="008F1758" w:rsidRPr="005E1466">
        <w:rPr>
          <w:lang w:val="es-ES_tradnl"/>
        </w:rPr>
        <w:t xml:space="preserve">Previa consulta al </w:t>
      </w:r>
      <w:r w:rsidRPr="005E1466">
        <w:rPr>
          <w:lang w:val="es-ES_tradnl"/>
        </w:rPr>
        <w:t>Comité Económico y Social Europeo,</w:t>
      </w:r>
    </w:p>
    <w:p w:rsidR="008F1758" w:rsidRPr="005E1466" w:rsidRDefault="008F1758" w:rsidP="00C15488">
      <w:pPr>
        <w:tabs>
          <w:tab w:val="left" w:pos="567"/>
          <w:tab w:val="left" w:pos="851"/>
        </w:tabs>
        <w:spacing w:after="240"/>
        <w:ind w:left="567" w:hanging="567"/>
        <w:rPr>
          <w:szCs w:val="24"/>
          <w:lang w:val="es-ES_tradnl"/>
        </w:rPr>
      </w:pPr>
      <w:r w:rsidRPr="005E1466">
        <w:rPr>
          <w:lang w:val="es-ES_tradnl"/>
        </w:rPr>
        <w:t>–</w:t>
      </w:r>
      <w:r w:rsidRPr="005E1466">
        <w:rPr>
          <w:lang w:val="es-ES_tradnl"/>
        </w:rPr>
        <w:tab/>
        <w:t>Visto el compromiso asumido por el representante del Consejo, mediante carta de 19 de mayo de 2025, de aprobar la Posición del Parlamento Europeo, de conformidad con el artículo 294, apartado 4, del Tratado de Funcionamiento de la Unión Europea,</w:t>
      </w:r>
    </w:p>
    <w:p w:rsidR="00C15488" w:rsidRPr="005E1466" w:rsidRDefault="00C15488" w:rsidP="00C15488">
      <w:pPr>
        <w:tabs>
          <w:tab w:val="left" w:pos="567"/>
          <w:tab w:val="left" w:pos="851"/>
        </w:tabs>
        <w:spacing w:after="240"/>
        <w:ind w:left="567" w:hanging="567"/>
        <w:rPr>
          <w:szCs w:val="24"/>
          <w:lang w:val="es-ES_tradnl"/>
        </w:rPr>
      </w:pPr>
      <w:r w:rsidRPr="005E1466">
        <w:rPr>
          <w:szCs w:val="24"/>
          <w:lang w:val="es-ES_tradnl"/>
        </w:rPr>
        <w:t>–</w:t>
      </w:r>
      <w:r w:rsidRPr="005E1466">
        <w:rPr>
          <w:szCs w:val="24"/>
          <w:lang w:val="es-ES_tradnl"/>
        </w:rPr>
        <w:tab/>
        <w:t>Vistos los artículos 60 y 170 de su Reglamento interno,</w:t>
      </w:r>
    </w:p>
    <w:p w:rsidR="00C15488" w:rsidRPr="005E1466" w:rsidRDefault="00C15488" w:rsidP="00C15488">
      <w:pPr>
        <w:tabs>
          <w:tab w:val="left" w:pos="567"/>
          <w:tab w:val="left" w:pos="851"/>
        </w:tabs>
        <w:spacing w:after="240"/>
        <w:ind w:left="567" w:hanging="567"/>
        <w:rPr>
          <w:szCs w:val="24"/>
          <w:lang w:val="es-ES_tradnl"/>
        </w:rPr>
      </w:pPr>
      <w:r w:rsidRPr="005E1466">
        <w:rPr>
          <w:szCs w:val="24"/>
          <w:lang w:val="es-ES_tradnl"/>
        </w:rPr>
        <w:t>1.</w:t>
      </w:r>
      <w:r w:rsidRPr="005E1466">
        <w:rPr>
          <w:szCs w:val="24"/>
          <w:lang w:val="es-ES_tradnl"/>
        </w:rPr>
        <w:tab/>
        <w:t>Aprueba la Posición en primera lectura que figura a continuación;</w:t>
      </w:r>
    </w:p>
    <w:p w:rsidR="00C15488" w:rsidRPr="005E1466" w:rsidRDefault="00C15488" w:rsidP="00C15488">
      <w:pPr>
        <w:tabs>
          <w:tab w:val="left" w:pos="567"/>
        </w:tabs>
        <w:spacing w:after="240"/>
        <w:ind w:left="567" w:hanging="567"/>
        <w:rPr>
          <w:szCs w:val="24"/>
          <w:lang w:val="es-ES_tradnl"/>
        </w:rPr>
      </w:pPr>
      <w:r w:rsidRPr="005E1466">
        <w:rPr>
          <w:szCs w:val="24"/>
          <w:lang w:val="es-ES_tradnl"/>
        </w:rPr>
        <w:t>2.</w:t>
      </w:r>
      <w:r w:rsidRPr="005E1466">
        <w:rPr>
          <w:szCs w:val="24"/>
          <w:lang w:val="es-ES_tradnl"/>
        </w:rPr>
        <w:tab/>
        <w:t>Pide a la Comisión que le consulte de nuevo si sustituye su propuesta, la modifica sustancialmente o se propone modificarla sustancialmente;</w:t>
      </w:r>
    </w:p>
    <w:p w:rsidR="00C15488" w:rsidRPr="005E1466" w:rsidRDefault="00C15488" w:rsidP="00C15488">
      <w:pPr>
        <w:pStyle w:val="Normal12"/>
        <w:ind w:left="567" w:hanging="567"/>
        <w:rPr>
          <w:snapToGrid/>
          <w:lang w:val="es-ES_tradnl"/>
        </w:rPr>
      </w:pPr>
      <w:r w:rsidRPr="005E1466">
        <w:rPr>
          <w:lang w:val="es-ES_tradnl"/>
        </w:rPr>
        <w:t>3.</w:t>
      </w:r>
      <w:r w:rsidRPr="005E1466">
        <w:rPr>
          <w:lang w:val="es-ES_tradnl"/>
        </w:rPr>
        <w:tab/>
      </w:r>
      <w:r w:rsidRPr="005E1466">
        <w:rPr>
          <w:snapToGrid/>
          <w:lang w:val="es-ES_tradnl"/>
        </w:rPr>
        <w:t xml:space="preserve">Encarga a su presidenta que transmita la Posición del Parlamento al Consejo y a la </w:t>
      </w:r>
      <w:r w:rsidRPr="005E1466">
        <w:rPr>
          <w:snapToGrid/>
          <w:lang w:val="es-ES_tradnl"/>
        </w:rPr>
        <w:lastRenderedPageBreak/>
        <w:t>Comisión, así como a los Parlamentos nacionales.</w:t>
      </w:r>
    </w:p>
    <w:p w:rsidR="008F1758" w:rsidRPr="005E1466" w:rsidRDefault="008F1758" w:rsidP="00C15488">
      <w:pPr>
        <w:pStyle w:val="Normal12Hanging"/>
        <w:ind w:left="0" w:firstLine="0"/>
        <w:jc w:val="both"/>
        <w:rPr>
          <w:b/>
          <w:lang w:val="es-ES_tradnl"/>
        </w:rPr>
        <w:sectPr w:rsidR="008F1758" w:rsidRPr="005E1466"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rsidR="00C15488" w:rsidRPr="005E1466" w:rsidRDefault="00C15488" w:rsidP="00C15488">
      <w:pPr>
        <w:pStyle w:val="Normal12Hanging"/>
        <w:ind w:left="0" w:firstLine="0"/>
        <w:jc w:val="both"/>
        <w:rPr>
          <w:b/>
          <w:lang w:val="es-ES_tradnl"/>
        </w:rPr>
      </w:pPr>
      <w:r w:rsidRPr="005E1466">
        <w:rPr>
          <w:b/>
          <w:lang w:val="es-ES_tradnl"/>
        </w:rPr>
        <w:lastRenderedPageBreak/>
        <w:t>P10_TC1-COD(2025)0</w:t>
      </w:r>
      <w:r w:rsidR="008F1758" w:rsidRPr="005E1466">
        <w:rPr>
          <w:b/>
          <w:lang w:val="es-ES_tradnl"/>
        </w:rPr>
        <w:t>104</w:t>
      </w:r>
    </w:p>
    <w:p w:rsidR="008F1758" w:rsidRPr="005E1466" w:rsidRDefault="00C15488" w:rsidP="008F1758">
      <w:pPr>
        <w:pStyle w:val="Normal12"/>
        <w:rPr>
          <w:rFonts w:eastAsia="Calibri"/>
          <w:b/>
          <w:color w:val="000000"/>
          <w:szCs w:val="22"/>
          <w:lang w:val="es-ES_tradnl" w:eastAsia="en-US"/>
        </w:rPr>
      </w:pPr>
      <w:r w:rsidRPr="005E1466">
        <w:rPr>
          <w:b/>
          <w:lang w:val="es-ES_tradnl"/>
        </w:rPr>
        <w:t xml:space="preserve">Posición del Parlamento Europeo aprobada en primera lectura el </w:t>
      </w:r>
      <w:r w:rsidR="008F1758" w:rsidRPr="005E1466">
        <w:rPr>
          <w:b/>
          <w:lang w:val="es-ES_tradnl"/>
        </w:rPr>
        <w:t>17</w:t>
      </w:r>
      <w:r w:rsidRPr="005E1466">
        <w:rPr>
          <w:b/>
          <w:lang w:val="es-ES_tradnl"/>
        </w:rPr>
        <w:t xml:space="preserve"> de </w:t>
      </w:r>
      <w:r w:rsidR="008F1758" w:rsidRPr="005E1466">
        <w:rPr>
          <w:b/>
          <w:lang w:val="es-ES_tradnl"/>
        </w:rPr>
        <w:t>junio</w:t>
      </w:r>
      <w:r w:rsidRPr="005E1466">
        <w:rPr>
          <w:b/>
          <w:lang w:val="es-ES_tradnl"/>
        </w:rPr>
        <w:t xml:space="preserve"> de 2025 con vistas a la adopción del Reglamento (UE) 2025/... del Parlamento Europeo y del Consejo </w:t>
      </w:r>
      <w:r w:rsidR="008F1758" w:rsidRPr="005E1466">
        <w:rPr>
          <w:rFonts w:eastAsia="Calibri"/>
          <w:b/>
          <w:color w:val="000000"/>
          <w:szCs w:val="22"/>
          <w:lang w:val="es-ES_tradnl" w:eastAsia="en-US"/>
        </w:rPr>
        <w:t>por el que se modifica el Reglamento (UE) n.º 228/2013 en lo que respecta a la ayuda suplementaria y una mayor flexibilidad en favor de las regiones ultraperiféricas afectadas por desastres naturales graves y en el contexto de la de</w:t>
      </w:r>
      <w:bookmarkStart w:id="10" w:name="_GoBack"/>
      <w:bookmarkEnd w:id="10"/>
      <w:r w:rsidR="008F1758" w:rsidRPr="005E1466">
        <w:rPr>
          <w:rFonts w:eastAsia="Calibri"/>
          <w:b/>
          <w:color w:val="000000"/>
          <w:szCs w:val="22"/>
          <w:lang w:val="es-ES_tradnl" w:eastAsia="en-US"/>
        </w:rPr>
        <w:t>vastación causada por el ciclón Chido en Mayotte</w:t>
      </w:r>
    </w:p>
    <w:p w:rsidR="00B4755B" w:rsidRPr="00B4755B" w:rsidRDefault="00B4755B" w:rsidP="00B4755B">
      <w:pPr>
        <w:pStyle w:val="normal12hanging0"/>
        <w:spacing w:before="240" w:beforeAutospacing="0" w:after="240" w:afterAutospacing="0"/>
        <w:ind w:firstLine="6"/>
        <w:rPr>
          <w:lang w:val="es-ES"/>
        </w:rPr>
      </w:pPr>
      <w:r>
        <w:rPr>
          <w:i/>
          <w:lang w:val="es-ES_tradnl"/>
        </w:rPr>
        <w:t>(Dado que el Parlamento Europeo y el Consejo llegaron a un acuerdo, la posición del Parlamento coincide con el texto del acto legislativo definitivo</w:t>
      </w:r>
      <w:r w:rsidRPr="00B4755B">
        <w:rPr>
          <w:i/>
          <w:lang w:val="es-ES_tradnl"/>
        </w:rPr>
        <w:t xml:space="preserve">, </w:t>
      </w:r>
      <w:r>
        <w:rPr>
          <w:i/>
          <w:lang w:val="es-ES_tradnl"/>
        </w:rPr>
        <w:t xml:space="preserve">el Reglamento </w:t>
      </w:r>
      <w:r w:rsidRPr="00B4755B">
        <w:rPr>
          <w:i/>
          <w:lang w:val="es-ES_tradnl"/>
        </w:rPr>
        <w:t>(UE) 202</w:t>
      </w:r>
      <w:r w:rsidRPr="00B4755B">
        <w:rPr>
          <w:i/>
          <w:lang w:val="es-ES_tradnl"/>
        </w:rPr>
        <w:t>5</w:t>
      </w:r>
      <w:r w:rsidRPr="00B4755B">
        <w:rPr>
          <w:i/>
          <w:lang w:val="es-ES_tradnl"/>
        </w:rPr>
        <w:t>/</w:t>
      </w:r>
      <w:r w:rsidRPr="00B4755B">
        <w:rPr>
          <w:i/>
          <w:lang w:val="es-ES_tradnl"/>
        </w:rPr>
        <w:t>1276</w:t>
      </w:r>
      <w:r w:rsidRPr="00B4755B">
        <w:rPr>
          <w:i/>
          <w:lang w:val="es-ES_tradnl"/>
        </w:rPr>
        <w:t>.)</w:t>
      </w:r>
    </w:p>
    <w:sectPr w:rsidR="00B4755B" w:rsidRPr="00B4755B" w:rsidSect="008F1758">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ACA" w:rsidRDefault="00570ACA" w:rsidP="009C4014">
      <w:r>
        <w:separator/>
      </w:r>
    </w:p>
  </w:endnote>
  <w:endnote w:type="continuationSeparator" w:id="0">
    <w:p w:rsidR="00570ACA" w:rsidRDefault="00570ACA"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ACA" w:rsidRDefault="00570ACA" w:rsidP="009C4014">
      <w:r>
        <w:separator/>
      </w:r>
    </w:p>
  </w:footnote>
  <w:footnote w:type="continuationSeparator" w:id="0">
    <w:p w:rsidR="00570ACA" w:rsidRDefault="00570ACA"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ACA"/>
    <w:rsid w:val="00013B2A"/>
    <w:rsid w:val="000C2BFE"/>
    <w:rsid w:val="000F27A9"/>
    <w:rsid w:val="000F6208"/>
    <w:rsid w:val="00112228"/>
    <w:rsid w:val="00125CBC"/>
    <w:rsid w:val="00172070"/>
    <w:rsid w:val="00185E15"/>
    <w:rsid w:val="001D4BBF"/>
    <w:rsid w:val="001D63A8"/>
    <w:rsid w:val="00205A5A"/>
    <w:rsid w:val="00265E7B"/>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B1861"/>
    <w:rsid w:val="004E6A17"/>
    <w:rsid w:val="004F2EA7"/>
    <w:rsid w:val="00520780"/>
    <w:rsid w:val="00525ED0"/>
    <w:rsid w:val="00534CAB"/>
    <w:rsid w:val="00547BB1"/>
    <w:rsid w:val="00570ACA"/>
    <w:rsid w:val="00591365"/>
    <w:rsid w:val="005A2421"/>
    <w:rsid w:val="005B23C9"/>
    <w:rsid w:val="005E1466"/>
    <w:rsid w:val="005F0CA1"/>
    <w:rsid w:val="005F35F8"/>
    <w:rsid w:val="00603B14"/>
    <w:rsid w:val="00625F3C"/>
    <w:rsid w:val="006656E5"/>
    <w:rsid w:val="00666512"/>
    <w:rsid w:val="00683F78"/>
    <w:rsid w:val="006A1E82"/>
    <w:rsid w:val="006A7C85"/>
    <w:rsid w:val="006A7CE5"/>
    <w:rsid w:val="006B1646"/>
    <w:rsid w:val="006E5420"/>
    <w:rsid w:val="006F135E"/>
    <w:rsid w:val="00751383"/>
    <w:rsid w:val="00757DD5"/>
    <w:rsid w:val="00760EC5"/>
    <w:rsid w:val="007713FD"/>
    <w:rsid w:val="007748D5"/>
    <w:rsid w:val="00774A9B"/>
    <w:rsid w:val="007906DB"/>
    <w:rsid w:val="007B16FE"/>
    <w:rsid w:val="007C3388"/>
    <w:rsid w:val="008512F3"/>
    <w:rsid w:val="00857458"/>
    <w:rsid w:val="00873A0F"/>
    <w:rsid w:val="00895FA0"/>
    <w:rsid w:val="008B1C2E"/>
    <w:rsid w:val="008D7C16"/>
    <w:rsid w:val="008E7632"/>
    <w:rsid w:val="008F0108"/>
    <w:rsid w:val="008F1758"/>
    <w:rsid w:val="008F7F1C"/>
    <w:rsid w:val="00907FE0"/>
    <w:rsid w:val="00923DF3"/>
    <w:rsid w:val="009865B7"/>
    <w:rsid w:val="009B7E10"/>
    <w:rsid w:val="009C4014"/>
    <w:rsid w:val="009F28EF"/>
    <w:rsid w:val="00A1739E"/>
    <w:rsid w:val="00B06AAA"/>
    <w:rsid w:val="00B4755B"/>
    <w:rsid w:val="00B54C72"/>
    <w:rsid w:val="00B85C1E"/>
    <w:rsid w:val="00C15488"/>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84071"/>
  <w15:chartTrackingRefBased/>
  <w15:docId w15:val="{748D7A26-C6B1-4728-A056-199068696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C15488"/>
    <w:rPr>
      <w:sz w:val="22"/>
      <w:lang w:val="fr-FR"/>
    </w:rPr>
  </w:style>
  <w:style w:type="character" w:customStyle="1" w:styleId="FootnoteTextChar">
    <w:name w:val="Footnote Text Char"/>
    <w:basedOn w:val="DefaultParagraphFont"/>
    <w:link w:val="FootnoteText"/>
    <w:semiHidden/>
    <w:rsid w:val="00C15488"/>
    <w:rPr>
      <w:sz w:val="22"/>
      <w:lang w:val="fr-FR"/>
    </w:rPr>
  </w:style>
  <w:style w:type="character" w:customStyle="1" w:styleId="HeaderChar">
    <w:name w:val="Header Char"/>
    <w:basedOn w:val="DefaultParagraphFont"/>
    <w:link w:val="Header"/>
    <w:rsid w:val="00C15488"/>
    <w:rPr>
      <w:sz w:val="24"/>
      <w:lang w:val="fr-FR"/>
    </w:rPr>
  </w:style>
  <w:style w:type="character" w:styleId="Hyperlink">
    <w:name w:val="Hyperlink"/>
    <w:uiPriority w:val="99"/>
    <w:rsid w:val="008F1758"/>
    <w:rPr>
      <w:color w:val="0000FF"/>
      <w:u w:val="single"/>
    </w:rPr>
  </w:style>
  <w:style w:type="paragraph" w:styleId="BalloonText">
    <w:name w:val="Balloon Text"/>
    <w:basedOn w:val="Normal"/>
    <w:link w:val="BalloonTextChar"/>
    <w:rsid w:val="007748D5"/>
    <w:rPr>
      <w:rFonts w:ascii="Segoe UI" w:hAnsi="Segoe UI" w:cs="Segoe UI"/>
      <w:sz w:val="18"/>
      <w:szCs w:val="18"/>
    </w:rPr>
  </w:style>
  <w:style w:type="character" w:customStyle="1" w:styleId="BalloonTextChar">
    <w:name w:val="Balloon Text Char"/>
    <w:basedOn w:val="DefaultParagraphFont"/>
    <w:link w:val="BalloonText"/>
    <w:rsid w:val="007748D5"/>
    <w:rPr>
      <w:rFonts w:ascii="Segoe UI" w:hAnsi="Segoe UI" w:cs="Segoe UI"/>
      <w:sz w:val="18"/>
      <w:szCs w:val="18"/>
      <w:lang w:val="fr-FR"/>
    </w:rPr>
  </w:style>
  <w:style w:type="paragraph" w:customStyle="1" w:styleId="normal12hanging0">
    <w:name w:val="normal12hanging"/>
    <w:basedOn w:val="Normal"/>
    <w:rsid w:val="00B4755B"/>
    <w:pPr>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12F9A-5413-493C-829E-6E56D8E5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408</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Rodríguez Fernán</dc:creator>
  <cp:keywords/>
  <cp:lastModifiedBy>César Castelló</cp:lastModifiedBy>
  <cp:revision>2</cp:revision>
  <cp:lastPrinted>2014-08-07T13:15:00Z</cp:lastPrinted>
  <dcterms:created xsi:type="dcterms:W3CDTF">2025-07-28T10:11:00Z</dcterms:created>
  <dcterms:modified xsi:type="dcterms:W3CDTF">2025-07-28T10:11:00Z</dcterms:modified>
</cp:coreProperties>
</file>