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W w:w="9072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6804"/>
        <w:gridCol w:w="2268"/>
      </w:tblGrid>
      <w:tr w:rsidR="00757DD5" w:rsidRPr="00695D15" w14:paraId="37CA4740" w14:textId="77777777" w:rsidTr="00425111">
        <w:trPr>
          <w:trHeight w:hRule="exact" w:val="1418"/>
        </w:trPr>
        <w:tc>
          <w:tcPr>
            <w:tcW w:w="6804" w:type="dxa"/>
            <w:shd w:val="clear" w:color="auto" w:fill="auto"/>
            <w:vAlign w:val="center"/>
          </w:tcPr>
          <w:p w14:paraId="1835FE6A" w14:textId="77777777" w:rsidR="00757DD5" w:rsidRPr="00695D15" w:rsidRDefault="00D1027C" w:rsidP="00425111">
            <w:pPr>
              <w:pStyle w:val="EPName"/>
              <w:rPr>
                <w:lang w:val="en-GB"/>
              </w:rPr>
            </w:pPr>
            <w:proofErr w:type="spellStart"/>
            <w:r>
              <w:rPr>
                <w:lang w:val="en-GB"/>
              </w:rPr>
              <w:t>Parlament</w:t>
            </w:r>
            <w:proofErr w:type="spellEnd"/>
            <w:r>
              <w:rPr>
                <w:lang w:val="en-GB"/>
              </w:rPr>
              <w:t xml:space="preserve"> </w:t>
            </w:r>
            <w:proofErr w:type="spellStart"/>
            <w:r>
              <w:rPr>
                <w:lang w:val="en-GB"/>
              </w:rPr>
              <w:t>Ewropew</w:t>
            </w:r>
            <w:proofErr w:type="spellEnd"/>
          </w:p>
          <w:p w14:paraId="6A6DDF0E" w14:textId="77777777" w:rsidR="00757DD5" w:rsidRPr="00695D15" w:rsidRDefault="00D1027C" w:rsidP="00425111">
            <w:pPr>
              <w:pStyle w:val="EPTerm"/>
              <w:rPr>
                <w:rStyle w:val="HideTWBExt"/>
                <w:vanish w:val="0"/>
                <w:lang w:val="en-GB"/>
              </w:rPr>
            </w:pPr>
            <w:r>
              <w:rPr>
                <w:lang w:val="en-GB"/>
              </w:rPr>
              <w:t>2024-2029</w:t>
            </w:r>
          </w:p>
        </w:tc>
        <w:tc>
          <w:tcPr>
            <w:tcW w:w="2268" w:type="dxa"/>
            <w:shd w:val="clear" w:color="auto" w:fill="auto"/>
          </w:tcPr>
          <w:p w14:paraId="1412FEEB" w14:textId="77777777" w:rsidR="00757DD5" w:rsidRPr="00695D15" w:rsidRDefault="00172070" w:rsidP="00425111">
            <w:pPr>
              <w:pStyle w:val="EPLogo"/>
            </w:pPr>
            <w:r w:rsidRPr="00695D15">
              <w:rPr>
                <w:noProof/>
              </w:rPr>
              <w:drawing>
                <wp:inline distT="0" distB="0" distL="0" distR="0" wp14:anchorId="546D39F2" wp14:editId="7D54E781">
                  <wp:extent cx="1162050" cy="647700"/>
                  <wp:effectExtent l="0" t="0" r="0" b="0"/>
                  <wp:docPr id="1" name="Picture 1" descr="EP logo RGB_Mute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 descr="EP logo RGB_Mute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62050" cy="6477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661C3FD5" w14:textId="77777777" w:rsidR="008E7632" w:rsidRPr="00061199" w:rsidRDefault="008E7632" w:rsidP="008E7632">
      <w:pPr>
        <w:pStyle w:val="LineTop"/>
        <w:rPr>
          <w:lang w:val="en-GB"/>
        </w:rPr>
      </w:pPr>
    </w:p>
    <w:p w14:paraId="64C9C98F" w14:textId="77777777" w:rsidR="008E7632" w:rsidRPr="00D1027C" w:rsidRDefault="00D1027C" w:rsidP="008E7632">
      <w:pPr>
        <w:pStyle w:val="ZSessionDoc"/>
        <w:rPr>
          <w:b/>
          <w:i w:val="0"/>
        </w:rPr>
      </w:pPr>
      <w:r w:rsidRPr="00D1027C">
        <w:rPr>
          <w:b/>
          <w:i w:val="0"/>
        </w:rPr>
        <w:t>TESTI ADOTTATI</w:t>
      </w:r>
    </w:p>
    <w:p w14:paraId="2C466478" w14:textId="77777777" w:rsidR="008E7632" w:rsidRPr="00061199" w:rsidRDefault="00D1027C" w:rsidP="008E7632">
      <w:pPr>
        <w:pStyle w:val="LineBottom"/>
      </w:pPr>
      <w:r>
        <w:rPr>
          <w:rFonts w:cs="Arial"/>
          <w:i/>
          <w:sz w:val="20"/>
          <w:szCs w:val="22"/>
        </w:rPr>
        <w:t xml:space="preserve"> </w:t>
      </w:r>
    </w:p>
    <w:p w14:paraId="23890A31" w14:textId="77777777" w:rsidR="009C4014" w:rsidRPr="006E5420" w:rsidRDefault="00D1027C" w:rsidP="008E7632">
      <w:pPr>
        <w:pStyle w:val="ATHeading1"/>
        <w:spacing w:before="480"/>
        <w:rPr>
          <w:lang w:val="en-GB"/>
        </w:rPr>
      </w:pPr>
      <w:bookmarkStart w:id="0" w:name="TA_Heading"/>
      <w:r w:rsidRPr="00D1027C">
        <w:rPr>
          <w:lang w:val="en-GB"/>
        </w:rPr>
        <w:t>P10_TA(2025)</w:t>
      </w:r>
      <w:bookmarkStart w:id="1" w:name="TANumber"/>
      <w:bookmarkEnd w:id="0"/>
      <w:r w:rsidRPr="00D1027C">
        <w:rPr>
          <w:lang w:val="en-GB"/>
        </w:rPr>
        <w:t>0</w:t>
      </w:r>
      <w:r w:rsidR="00127BE6">
        <w:rPr>
          <w:lang w:val="en-GB"/>
        </w:rPr>
        <w:t>115</w:t>
      </w:r>
      <w:bookmarkEnd w:id="1"/>
    </w:p>
    <w:p w14:paraId="5B58AEEC" w14:textId="77777777" w:rsidR="009C4014" w:rsidRPr="00D1027C" w:rsidRDefault="00211EA1" w:rsidP="00211EA1">
      <w:pPr>
        <w:pStyle w:val="ATHeading2"/>
        <w:rPr>
          <w:lang w:val="en-GB"/>
        </w:rPr>
      </w:pPr>
      <w:r w:rsidRPr="00211EA1">
        <w:rPr>
          <w:lang w:val="en-GB"/>
        </w:rPr>
        <w:t>Emenda tar-Regolament (UE) Nru 228/2013 fir-rigward ta’ assistenza addizzjonali u aktar flessibbiltà</w:t>
      </w:r>
      <w:r w:rsidR="00934857">
        <w:rPr>
          <w:lang w:val="en-GB"/>
        </w:rPr>
        <w:t xml:space="preserve"> </w:t>
      </w:r>
      <w:r w:rsidRPr="00211EA1">
        <w:rPr>
          <w:lang w:val="en-GB"/>
        </w:rPr>
        <w:t>għar-reġjuni ultraperiferiċi affettwati minn diżastri naturali severi u fil-kuntest taċ-ċiklun Chido, li</w:t>
      </w:r>
      <w:r>
        <w:rPr>
          <w:lang w:val="en-GB"/>
        </w:rPr>
        <w:t xml:space="preserve"> </w:t>
      </w:r>
      <w:r w:rsidRPr="00211EA1">
        <w:rPr>
          <w:lang w:val="en-GB"/>
        </w:rPr>
        <w:t>kellu effetti devastanti f’Mayotte</w:t>
      </w:r>
      <w:r w:rsidR="009C4014" w:rsidRPr="00D1027C">
        <w:rPr>
          <w:lang w:val="en-GB"/>
        </w:rPr>
        <w:t xml:space="preserve"> </w:t>
      </w:r>
      <w:bookmarkStart w:id="2" w:name="Etoiles"/>
      <w:bookmarkEnd w:id="2"/>
    </w:p>
    <w:p w14:paraId="743B8B9E" w14:textId="77777777" w:rsidR="009C4014" w:rsidRPr="000158EE" w:rsidRDefault="009C4014" w:rsidP="009C4014">
      <w:pPr>
        <w:rPr>
          <w:i/>
          <w:vanish/>
          <w:lang w:val="it-IT"/>
        </w:rPr>
      </w:pPr>
      <w:r>
        <w:rPr>
          <w:i/>
        </w:rPr>
        <w:fldChar w:fldCharType="begin"/>
      </w:r>
      <w:r w:rsidRPr="000158EE">
        <w:rPr>
          <w:i/>
          <w:lang w:val="it-IT"/>
        </w:rPr>
        <w:instrText xml:space="preserve"> TC"</w:instrText>
      </w:r>
      <w:bookmarkStart w:id="3" w:name="DocNumber"/>
      <w:r w:rsidR="00D1027C" w:rsidRPr="000158EE">
        <w:rPr>
          <w:i/>
          <w:lang w:val="it-IT"/>
        </w:rPr>
        <w:instrText>(C10-0071/2025)</w:instrText>
      </w:r>
      <w:bookmarkEnd w:id="3"/>
      <w:r w:rsidRPr="000158EE">
        <w:rPr>
          <w:i/>
          <w:lang w:val="it-IT"/>
        </w:rPr>
        <w:instrText xml:space="preserve">"\l3 \n&gt; \* MERGEFORMAT </w:instrText>
      </w:r>
      <w:r>
        <w:rPr>
          <w:i/>
        </w:rPr>
        <w:fldChar w:fldCharType="end"/>
      </w:r>
    </w:p>
    <w:p w14:paraId="2B681E37" w14:textId="77777777" w:rsidR="00D1027C" w:rsidRPr="00D1027C" w:rsidRDefault="00D1027C" w:rsidP="009C4014">
      <w:pPr>
        <w:rPr>
          <w:vanish/>
          <w:lang w:val="it-IT"/>
        </w:rPr>
      </w:pPr>
      <w:bookmarkStart w:id="4" w:name="Commission"/>
      <w:r w:rsidRPr="00D1027C">
        <w:rPr>
          <w:vanish/>
          <w:lang w:val="it-IT"/>
        </w:rPr>
        <w:t>Kumitat għall-Agrikoltura u l-Iżvilupp Rurali</w:t>
      </w:r>
    </w:p>
    <w:p w14:paraId="545BFA86" w14:textId="77777777" w:rsidR="009C4014" w:rsidRPr="00D1027C" w:rsidRDefault="00D1027C" w:rsidP="009C4014">
      <w:pPr>
        <w:rPr>
          <w:vanish/>
          <w:lang w:val="it-IT"/>
        </w:rPr>
      </w:pPr>
      <w:bookmarkStart w:id="5" w:name="PE"/>
      <w:bookmarkEnd w:id="4"/>
      <w:r w:rsidRPr="00D1027C">
        <w:rPr>
          <w:vanish/>
          <w:lang w:val="it-IT"/>
        </w:rPr>
        <w:t>PE</w:t>
      </w:r>
      <w:r w:rsidR="000158EE">
        <w:rPr>
          <w:vanish/>
          <w:lang w:val="it-IT"/>
        </w:rPr>
        <w:t>7</w:t>
      </w:r>
      <w:r w:rsidR="00830006">
        <w:rPr>
          <w:vanish/>
          <w:lang w:val="it-IT"/>
        </w:rPr>
        <w:t>74</w:t>
      </w:r>
      <w:r w:rsidRPr="00D1027C">
        <w:rPr>
          <w:vanish/>
          <w:lang w:val="it-IT"/>
        </w:rPr>
        <w:t>.</w:t>
      </w:r>
      <w:r w:rsidR="00830006">
        <w:rPr>
          <w:vanish/>
          <w:lang w:val="it-IT"/>
        </w:rPr>
        <w:t>152</w:t>
      </w:r>
      <w:bookmarkEnd w:id="5"/>
    </w:p>
    <w:p w14:paraId="67A6B8A6" w14:textId="77777777" w:rsidR="009C4014" w:rsidRDefault="00D1027C" w:rsidP="00D1027C">
      <w:pPr>
        <w:pStyle w:val="ATHeading3"/>
        <w:rPr>
          <w:lang w:val="it-IT"/>
        </w:rPr>
      </w:pPr>
      <w:bookmarkStart w:id="6" w:name="Sujet"/>
      <w:r w:rsidRPr="00D1027C">
        <w:rPr>
          <w:lang w:val="it-IT"/>
        </w:rPr>
        <w:t>Riżoluzzjoni leġiżlattiva tal-Parlament Ewropew tas-17 ta' Ġunju 2025 dwar il-proposta għal regolament tal-Parlament Ewropew u tal-Kunsill li jemenda r-Regolament (UE) Nru 228/2013 fir-rigward ta' assistenza addizzjonali u aktar flessibbiltà għar-reġjuni ultraperiferiċi affettwati minn diżastri naturali severi u fil-kuntest taċ-ċiklun Chido, li kellu effetti devastanti f’Mayotte</w:t>
      </w:r>
      <w:bookmarkEnd w:id="6"/>
      <w:r w:rsidR="00E73B02" w:rsidRPr="00D1027C">
        <w:rPr>
          <w:lang w:val="it-IT"/>
        </w:rPr>
        <w:t xml:space="preserve"> </w:t>
      </w:r>
      <w:bookmarkStart w:id="7" w:name="References"/>
      <w:r w:rsidR="00934857" w:rsidRPr="00963329">
        <w:rPr>
          <w:lang w:val="it-IT"/>
        </w:rPr>
        <w:t>(COM(2025)0190 – C10-0071/2025 – 2025/0104(COD))</w:t>
      </w:r>
      <w:bookmarkEnd w:id="7"/>
    </w:p>
    <w:p w14:paraId="0206AD92" w14:textId="77777777" w:rsidR="00D1027C" w:rsidRPr="00BB5514" w:rsidRDefault="00D1027C" w:rsidP="00BB5514">
      <w:pPr>
        <w:rPr>
          <w:b/>
          <w:lang w:val="it-IT"/>
        </w:rPr>
      </w:pPr>
      <w:bookmarkStart w:id="8" w:name="TextBodyBegin"/>
      <w:bookmarkEnd w:id="8"/>
      <w:r w:rsidRPr="00BB5514">
        <w:rPr>
          <w:b/>
          <w:lang w:val="it-IT"/>
        </w:rPr>
        <w:t>(Proċedura leġiżlattiva ordinarja: l-ewwel qari)</w:t>
      </w:r>
    </w:p>
    <w:p w14:paraId="553D77C7" w14:textId="77777777" w:rsidR="006E5420" w:rsidRPr="00D1027C" w:rsidRDefault="00D1027C" w:rsidP="008B1C2E">
      <w:pPr>
        <w:pStyle w:val="Normal12"/>
        <w:spacing w:before="360"/>
        <w:rPr>
          <w:i/>
          <w:szCs w:val="24"/>
          <w:lang w:val="sv-SE"/>
        </w:rPr>
      </w:pPr>
      <w:r w:rsidRPr="00D1027C">
        <w:rPr>
          <w:i/>
          <w:szCs w:val="24"/>
          <w:lang w:val="sv-SE"/>
        </w:rPr>
        <w:t xml:space="preserve">Il-Parlament </w:t>
      </w:r>
      <w:proofErr w:type="spellStart"/>
      <w:r w:rsidRPr="00D1027C">
        <w:rPr>
          <w:i/>
          <w:szCs w:val="24"/>
          <w:lang w:val="sv-SE"/>
        </w:rPr>
        <w:t>Ewropew</w:t>
      </w:r>
      <w:proofErr w:type="spellEnd"/>
      <w:r w:rsidRPr="00D1027C">
        <w:rPr>
          <w:i/>
          <w:szCs w:val="24"/>
          <w:lang w:val="sv-SE"/>
        </w:rPr>
        <w:t>,</w:t>
      </w:r>
    </w:p>
    <w:p w14:paraId="322900E9" w14:textId="77777777" w:rsidR="00D1027C" w:rsidRPr="00D1027C" w:rsidRDefault="00D1027C" w:rsidP="00D1027C">
      <w:pPr>
        <w:pStyle w:val="Normal12"/>
        <w:ind w:left="567" w:hanging="567"/>
        <w:rPr>
          <w:lang w:val="sv-SE"/>
        </w:rPr>
      </w:pPr>
      <w:r w:rsidRPr="00D1027C">
        <w:rPr>
          <w:lang w:val="sv-SE"/>
        </w:rPr>
        <w:t>–</w:t>
      </w:r>
      <w:r w:rsidRPr="00D1027C">
        <w:rPr>
          <w:lang w:val="sv-SE"/>
        </w:rPr>
        <w:tab/>
      </w:r>
      <w:proofErr w:type="spellStart"/>
      <w:r w:rsidRPr="00D1027C">
        <w:rPr>
          <w:lang w:val="sv-SE"/>
        </w:rPr>
        <w:t>wara</w:t>
      </w:r>
      <w:proofErr w:type="spellEnd"/>
      <w:r w:rsidRPr="00D1027C">
        <w:rPr>
          <w:lang w:val="sv-SE"/>
        </w:rPr>
        <w:t xml:space="preserve"> li kkunsidra l-proposta tal-</w:t>
      </w:r>
      <w:proofErr w:type="spellStart"/>
      <w:r w:rsidRPr="00D1027C">
        <w:rPr>
          <w:lang w:val="sv-SE"/>
        </w:rPr>
        <w:t>Kummissjoni</w:t>
      </w:r>
      <w:proofErr w:type="spellEnd"/>
      <w:r w:rsidRPr="00D1027C">
        <w:rPr>
          <w:lang w:val="sv-SE"/>
        </w:rPr>
        <w:t xml:space="preserve"> </w:t>
      </w:r>
      <w:proofErr w:type="spellStart"/>
      <w:r w:rsidRPr="00D1027C">
        <w:rPr>
          <w:lang w:val="sv-SE"/>
        </w:rPr>
        <w:t>lill</w:t>
      </w:r>
      <w:proofErr w:type="spellEnd"/>
      <w:r w:rsidRPr="00D1027C">
        <w:rPr>
          <w:lang w:val="sv-SE"/>
        </w:rPr>
        <w:t xml:space="preserve">-Parlament </w:t>
      </w:r>
      <w:proofErr w:type="spellStart"/>
      <w:r w:rsidRPr="00D1027C">
        <w:rPr>
          <w:lang w:val="sv-SE"/>
        </w:rPr>
        <w:t>Ewrop</w:t>
      </w:r>
      <w:r>
        <w:rPr>
          <w:lang w:val="sv-SE"/>
        </w:rPr>
        <w:t>ew</w:t>
      </w:r>
      <w:proofErr w:type="spellEnd"/>
      <w:r>
        <w:rPr>
          <w:lang w:val="sv-SE"/>
        </w:rPr>
        <w:t xml:space="preserve"> u </w:t>
      </w:r>
      <w:proofErr w:type="spellStart"/>
      <w:r>
        <w:rPr>
          <w:lang w:val="sv-SE"/>
        </w:rPr>
        <w:t>lill-Kunsill</w:t>
      </w:r>
      <w:proofErr w:type="spellEnd"/>
      <w:r>
        <w:rPr>
          <w:lang w:val="sv-SE"/>
        </w:rPr>
        <w:t xml:space="preserve"> (COM(2025)0190</w:t>
      </w:r>
      <w:r w:rsidRPr="00D1027C">
        <w:rPr>
          <w:lang w:val="sv-SE"/>
        </w:rPr>
        <w:t>),</w:t>
      </w:r>
    </w:p>
    <w:p w14:paraId="6A14BF89" w14:textId="77777777" w:rsidR="00D1027C" w:rsidRPr="00D1027C" w:rsidRDefault="00D1027C" w:rsidP="00D1027C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sv-SE"/>
        </w:rPr>
      </w:pPr>
      <w:r w:rsidRPr="006F53B6">
        <w:rPr>
          <w:lang w:val="mt-MT"/>
        </w:rPr>
        <w:t>–</w:t>
      </w:r>
      <w:r w:rsidRPr="006F53B6">
        <w:rPr>
          <w:lang w:val="mt-MT"/>
        </w:rPr>
        <w:tab/>
        <w:t xml:space="preserve">wara li kkunsidra l-Artikolu 294(2) u l-Artikolu </w:t>
      </w:r>
      <w:r>
        <w:rPr>
          <w:lang w:val="mt-MT"/>
        </w:rPr>
        <w:t xml:space="preserve">42, l-Artikolu 43(2) u l-Artikolu 349 </w:t>
      </w:r>
      <w:r w:rsidRPr="006F53B6">
        <w:rPr>
          <w:lang w:val="mt-MT"/>
        </w:rPr>
        <w:t xml:space="preserve">tat-Trattat dwar il-Funzjonament tal-Unjoni Ewropea, skont liema artikoli l-Kummissjoni ppreżentat il-proposta lill-Parlament </w:t>
      </w:r>
      <w:r>
        <w:rPr>
          <w:lang w:val="sv-SE"/>
        </w:rPr>
        <w:t>(C10-0071</w:t>
      </w:r>
      <w:r w:rsidRPr="00D1027C">
        <w:rPr>
          <w:lang w:val="sv-SE"/>
        </w:rPr>
        <w:t>/2025),</w:t>
      </w:r>
    </w:p>
    <w:p w14:paraId="3904E341" w14:textId="77777777" w:rsidR="00D1027C" w:rsidRDefault="00D1027C" w:rsidP="00D1027C">
      <w:pPr>
        <w:tabs>
          <w:tab w:val="left" w:pos="-774"/>
          <w:tab w:val="left" w:pos="-114"/>
          <w:tab w:val="left" w:pos="645"/>
          <w:tab w:val="left" w:pos="849"/>
          <w:tab w:val="left" w:pos="1021"/>
          <w:tab w:val="left" w:pos="1132"/>
          <w:tab w:val="left" w:pos="1416"/>
          <w:tab w:val="left" w:pos="1700"/>
          <w:tab w:val="left" w:pos="1786"/>
          <w:tab w:val="left" w:pos="2381"/>
          <w:tab w:val="left" w:pos="2445"/>
          <w:tab w:val="left" w:pos="2948"/>
          <w:tab w:val="left" w:pos="3045"/>
          <w:tab w:val="left" w:pos="3572"/>
          <w:tab w:val="left" w:pos="3645"/>
          <w:tab w:val="left" w:pos="4139"/>
          <w:tab w:val="left" w:pos="4245"/>
          <w:tab w:val="left" w:pos="4763"/>
          <w:tab w:val="left" w:pos="4845"/>
          <w:tab w:val="left" w:pos="5387"/>
          <w:tab w:val="left" w:pos="5445"/>
          <w:tab w:val="left" w:pos="5668"/>
          <w:tab w:val="left" w:pos="5952"/>
          <w:tab w:val="left" w:pos="6235"/>
          <w:tab w:val="left" w:pos="6518"/>
          <w:tab w:val="left" w:pos="6577"/>
          <w:tab w:val="left" w:pos="7144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mt-MT"/>
        </w:rPr>
      </w:pPr>
      <w:r w:rsidRPr="006F53B6">
        <w:rPr>
          <w:rFonts w:ascii="Symbol" w:hAnsi="Symbol"/>
          <w:lang w:val="mt-MT"/>
        </w:rPr>
        <w:sym w:font="Symbol" w:char="F02D"/>
      </w:r>
      <w:r w:rsidRPr="006F53B6">
        <w:rPr>
          <w:lang w:val="mt-MT"/>
        </w:rPr>
        <w:tab/>
        <w:t>wara li kkunsidra l-Artikolu 294(3) tat-Trattat dwar il-Funzjonament tal-Unjoni Ewropea,</w:t>
      </w:r>
    </w:p>
    <w:p w14:paraId="0B8F1174" w14:textId="77777777" w:rsidR="00D1027C" w:rsidRDefault="00D1027C" w:rsidP="00D1027C">
      <w:pPr>
        <w:pStyle w:val="Normal12"/>
        <w:ind w:left="567" w:hanging="567"/>
        <w:rPr>
          <w:lang w:val="mt-MT"/>
        </w:rPr>
      </w:pPr>
      <w:r w:rsidRPr="006F53B6">
        <w:rPr>
          <w:rFonts w:ascii="Symbol" w:hAnsi="Symbol"/>
          <w:lang w:val="mt-MT"/>
        </w:rPr>
        <w:sym w:font="Symbol" w:char="F02D"/>
      </w:r>
      <w:r w:rsidRPr="006F53B6">
        <w:rPr>
          <w:lang w:val="mt-MT"/>
        </w:rPr>
        <w:tab/>
        <w:t xml:space="preserve">wara li </w:t>
      </w:r>
      <w:proofErr w:type="spellStart"/>
      <w:r>
        <w:rPr>
          <w:lang w:val="mt-MT"/>
        </w:rPr>
        <w:t>kkonsulta</w:t>
      </w:r>
      <w:proofErr w:type="spellEnd"/>
      <w:r w:rsidRPr="006F53B6">
        <w:rPr>
          <w:lang w:val="mt-MT"/>
        </w:rPr>
        <w:t xml:space="preserve"> </w:t>
      </w:r>
      <w:r>
        <w:rPr>
          <w:lang w:val="mt-MT"/>
        </w:rPr>
        <w:t>m</w:t>
      </w:r>
      <w:r w:rsidRPr="006F53B6">
        <w:rPr>
          <w:lang w:val="mt-MT"/>
        </w:rPr>
        <w:t>al-Kumitat Ekonomiku u Soċjali Ewropew</w:t>
      </w:r>
      <w:r>
        <w:rPr>
          <w:lang w:val="mt-MT"/>
        </w:rPr>
        <w:t>,</w:t>
      </w:r>
    </w:p>
    <w:p w14:paraId="0A9D44A5" w14:textId="77777777" w:rsidR="00D1027C" w:rsidRPr="00D1027C" w:rsidRDefault="00D1027C" w:rsidP="00D1027C">
      <w:pPr>
        <w:pStyle w:val="Normal12"/>
        <w:ind w:left="567" w:hanging="567"/>
        <w:rPr>
          <w:lang w:val="mt-MT"/>
        </w:rPr>
      </w:pPr>
      <w:r w:rsidRPr="006F53B6">
        <w:rPr>
          <w:rFonts w:ascii="Symbol" w:hAnsi="Symbol"/>
          <w:lang w:val="mt-MT"/>
        </w:rPr>
        <w:sym w:font="Symbol" w:char="F02D"/>
      </w:r>
      <w:r w:rsidRPr="006F53B6">
        <w:rPr>
          <w:lang w:val="mt-MT"/>
        </w:rPr>
        <w:tab/>
      </w:r>
      <w:r>
        <w:rPr>
          <w:lang w:val="mt-MT"/>
        </w:rPr>
        <w:t xml:space="preserve">wara li kkunsidra l-impenn meħud mir-rappreżentant tal-Kunsill, </w:t>
      </w:r>
      <w:r w:rsidRPr="00D1027C">
        <w:rPr>
          <w:lang w:val="mt-MT"/>
        </w:rPr>
        <w:t xml:space="preserve">permezz tal-ittra </w:t>
      </w:r>
      <w:r>
        <w:rPr>
          <w:lang w:val="mt-MT"/>
        </w:rPr>
        <w:t>tad-19 ta’ Mejju 2025</w:t>
      </w:r>
      <w:r w:rsidRPr="00D1027C">
        <w:rPr>
          <w:lang w:val="mt-MT"/>
        </w:rPr>
        <w:t xml:space="preserve">, li japprova l-pożizzjoni </w:t>
      </w:r>
      <w:r>
        <w:rPr>
          <w:lang w:val="mt-MT"/>
        </w:rPr>
        <w:t xml:space="preserve">tal-Parlament, skont l-Artikolu </w:t>
      </w:r>
      <w:r w:rsidRPr="00D1027C">
        <w:rPr>
          <w:lang w:val="mt-MT"/>
        </w:rPr>
        <w:t>294(4) tat-Trattat dwar il-Funzjonament tal-Unjoni Ewropea,</w:t>
      </w:r>
    </w:p>
    <w:p w14:paraId="4E5F1594" w14:textId="77777777" w:rsidR="00D1027C" w:rsidRPr="006F53B6" w:rsidRDefault="00D1027C" w:rsidP="00D1027C">
      <w:pPr>
        <w:pStyle w:val="Normal12"/>
        <w:ind w:left="567" w:hanging="567"/>
        <w:rPr>
          <w:lang w:val="mt-MT"/>
        </w:rPr>
      </w:pPr>
      <w:r w:rsidRPr="006F53B6">
        <w:rPr>
          <w:lang w:val="mt-MT"/>
        </w:rPr>
        <w:t>–</w:t>
      </w:r>
      <w:r w:rsidRPr="006F53B6">
        <w:rPr>
          <w:lang w:val="mt-MT"/>
        </w:rPr>
        <w:tab/>
        <w:t>wara li kkunsidra l-Artikoli 60 u 170 tar-Regoli ta’ Proċedura tiegħu,</w:t>
      </w:r>
    </w:p>
    <w:p w14:paraId="30CBABFA" w14:textId="77777777" w:rsidR="00D1027C" w:rsidRPr="006F53B6" w:rsidRDefault="00D1027C" w:rsidP="00D1027C">
      <w:pPr>
        <w:pStyle w:val="Normal12"/>
        <w:ind w:left="567" w:hanging="567"/>
        <w:rPr>
          <w:lang w:val="mt-MT"/>
        </w:rPr>
      </w:pPr>
      <w:r w:rsidRPr="006F53B6">
        <w:rPr>
          <w:lang w:val="mt-MT"/>
        </w:rPr>
        <w:t>1.</w:t>
      </w:r>
      <w:r w:rsidRPr="006F53B6">
        <w:rPr>
          <w:lang w:val="mt-MT"/>
        </w:rPr>
        <w:tab/>
        <w:t>Jadotta l-pożizzjoni tiegħu fl-ewwel qari li tidher hawn taħt;</w:t>
      </w:r>
    </w:p>
    <w:p w14:paraId="10916E2A" w14:textId="77777777" w:rsidR="00D1027C" w:rsidRPr="006F53B6" w:rsidRDefault="00D1027C" w:rsidP="00D1027C">
      <w:pPr>
        <w:tabs>
          <w:tab w:val="left" w:pos="-774"/>
          <w:tab w:val="left" w:pos="-114"/>
          <w:tab w:val="left" w:pos="645"/>
          <w:tab w:val="left" w:pos="849"/>
          <w:tab w:val="left" w:pos="1132"/>
          <w:tab w:val="left" w:pos="1700"/>
          <w:tab w:val="left" w:pos="2445"/>
          <w:tab w:val="left" w:pos="3045"/>
          <w:tab w:val="left" w:pos="3645"/>
          <w:tab w:val="left" w:pos="4245"/>
          <w:tab w:val="left" w:pos="4845"/>
          <w:tab w:val="left" w:pos="5445"/>
          <w:tab w:val="left" w:pos="5668"/>
          <w:tab w:val="left" w:pos="6235"/>
          <w:tab w:val="left" w:pos="6518"/>
          <w:tab w:val="left" w:pos="7245"/>
          <w:tab w:val="left" w:pos="7845"/>
          <w:tab w:val="left" w:pos="8445"/>
          <w:tab w:val="left" w:pos="9045"/>
        </w:tabs>
        <w:spacing w:after="120"/>
        <w:ind w:left="567" w:hanging="567"/>
        <w:rPr>
          <w:lang w:val="mt-MT"/>
        </w:rPr>
      </w:pPr>
      <w:r w:rsidRPr="006F53B6">
        <w:rPr>
          <w:lang w:val="mt-MT"/>
        </w:rPr>
        <w:lastRenderedPageBreak/>
        <w:t>2.</w:t>
      </w:r>
      <w:r w:rsidRPr="006F53B6">
        <w:rPr>
          <w:lang w:val="mt-MT"/>
        </w:rPr>
        <w:tab/>
        <w:t xml:space="preserve">Jitlob lill-Kummissjoni terġa’ tirreferi l-kwistjoni lill-Parlament jekk tibdel il-proposta tagħha, </w:t>
      </w:r>
      <w:proofErr w:type="spellStart"/>
      <w:r w:rsidRPr="006F53B6">
        <w:rPr>
          <w:lang w:val="mt-MT"/>
        </w:rPr>
        <w:t>temendaha</w:t>
      </w:r>
      <w:proofErr w:type="spellEnd"/>
      <w:r w:rsidRPr="006F53B6">
        <w:rPr>
          <w:lang w:val="mt-MT"/>
        </w:rPr>
        <w:t xml:space="preserve"> b’mod sustanzjali jew ikollha l-ħsieb li </w:t>
      </w:r>
      <w:proofErr w:type="spellStart"/>
      <w:r w:rsidRPr="006F53B6">
        <w:rPr>
          <w:lang w:val="mt-MT"/>
        </w:rPr>
        <w:t>temendaha</w:t>
      </w:r>
      <w:proofErr w:type="spellEnd"/>
      <w:r w:rsidRPr="006F53B6">
        <w:rPr>
          <w:lang w:val="mt-MT"/>
        </w:rPr>
        <w:t xml:space="preserve"> b’mod sustanzjali;</w:t>
      </w:r>
    </w:p>
    <w:p w14:paraId="363BFAA7" w14:textId="77777777" w:rsidR="00D1027C" w:rsidRDefault="00D1027C" w:rsidP="00D1027C">
      <w:pPr>
        <w:pStyle w:val="Normal12"/>
        <w:ind w:left="567" w:hanging="567"/>
        <w:rPr>
          <w:lang w:val="hu-HU"/>
        </w:rPr>
        <w:sectPr w:rsidR="00D1027C" w:rsidSect="00666512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footnotePr>
            <w:numRestart w:val="eachPage"/>
          </w:footnotePr>
          <w:endnotePr>
            <w:numFmt w:val="decimal"/>
          </w:endnotePr>
          <w:type w:val="continuous"/>
          <w:pgSz w:w="11905" w:h="16837" w:code="9"/>
          <w:pgMar w:top="1134" w:right="1418" w:bottom="1418" w:left="1418" w:header="720" w:footer="397" w:gutter="0"/>
          <w:cols w:space="720"/>
          <w:noEndnote/>
          <w:docGrid w:linePitch="326"/>
        </w:sectPr>
      </w:pPr>
      <w:r w:rsidRPr="006F53B6">
        <w:rPr>
          <w:szCs w:val="24"/>
          <w:lang w:val="mt-MT"/>
        </w:rPr>
        <w:t>3.</w:t>
      </w:r>
      <w:r w:rsidRPr="006F53B6">
        <w:rPr>
          <w:szCs w:val="24"/>
          <w:lang w:val="mt-MT"/>
        </w:rPr>
        <w:tab/>
      </w:r>
      <w:r w:rsidRPr="006F53B6">
        <w:rPr>
          <w:lang w:val="mt-MT"/>
        </w:rPr>
        <w:t>Jagħti istruzzjonijiet lill-President tiegħu biex tgħaddi l-pożizzjoni tal-Parlament lill-Kunsill u lill-Kummissjoni kif u</w:t>
      </w:r>
      <w:r>
        <w:rPr>
          <w:lang w:val="mt-MT"/>
        </w:rPr>
        <w:t>koll lill-parlamenti nazzjonali</w:t>
      </w:r>
      <w:r>
        <w:rPr>
          <w:lang w:val="hu-HU"/>
        </w:rPr>
        <w:t>.</w:t>
      </w:r>
    </w:p>
    <w:p w14:paraId="360BB7C1" w14:textId="77777777" w:rsidR="00211EA1" w:rsidRDefault="00211EA1">
      <w:pPr>
        <w:rPr>
          <w:rFonts w:eastAsia="Calibri"/>
          <w:b/>
          <w:bCs/>
          <w:color w:val="000000"/>
          <w:szCs w:val="24"/>
          <w:lang w:val="hu-HU"/>
        </w:rPr>
      </w:pPr>
      <w:r>
        <w:rPr>
          <w:rFonts w:eastAsia="Calibri"/>
          <w:b/>
          <w:bCs/>
          <w:color w:val="000000"/>
          <w:szCs w:val="24"/>
          <w:lang w:val="hu-HU"/>
        </w:rPr>
        <w:br w:type="page"/>
      </w:r>
    </w:p>
    <w:p w14:paraId="7A952DD8" w14:textId="77777777" w:rsidR="00D1027C" w:rsidRPr="00604017" w:rsidRDefault="00D1027C" w:rsidP="00D1027C">
      <w:pPr>
        <w:autoSpaceDE w:val="0"/>
        <w:autoSpaceDN w:val="0"/>
        <w:adjustRightInd w:val="0"/>
        <w:spacing w:after="240"/>
        <w:rPr>
          <w:rFonts w:eastAsia="Calibri"/>
          <w:b/>
          <w:bCs/>
          <w:color w:val="000000"/>
          <w:szCs w:val="24"/>
          <w:lang w:val="hu-HU"/>
        </w:rPr>
      </w:pPr>
      <w:r w:rsidRPr="00604017">
        <w:rPr>
          <w:rFonts w:eastAsia="Calibri"/>
          <w:b/>
          <w:bCs/>
          <w:color w:val="000000"/>
          <w:szCs w:val="24"/>
          <w:lang w:val="hu-HU"/>
        </w:rPr>
        <w:lastRenderedPageBreak/>
        <w:t>P10_TC1-</w:t>
      </w:r>
      <w:proofErr w:type="gramStart"/>
      <w:r w:rsidRPr="00604017">
        <w:rPr>
          <w:rFonts w:eastAsia="Calibri"/>
          <w:b/>
          <w:bCs/>
          <w:color w:val="000000"/>
          <w:szCs w:val="24"/>
          <w:lang w:val="hu-HU"/>
        </w:rPr>
        <w:t>COD(</w:t>
      </w:r>
      <w:proofErr w:type="gramEnd"/>
      <w:r w:rsidRPr="00604017">
        <w:rPr>
          <w:rFonts w:eastAsia="Calibri"/>
          <w:b/>
          <w:bCs/>
          <w:color w:val="000000"/>
          <w:szCs w:val="24"/>
          <w:lang w:val="hu-HU"/>
        </w:rPr>
        <w:t>2025)0104</w:t>
      </w:r>
    </w:p>
    <w:p w14:paraId="480CA34A" w14:textId="77777777" w:rsidR="00604017" w:rsidRDefault="00604017" w:rsidP="00EE6414">
      <w:pPr>
        <w:spacing w:after="240"/>
        <w:rPr>
          <w:rFonts w:eastAsia="Calibri"/>
          <w:b/>
          <w:noProof/>
          <w:color w:val="000000"/>
          <w:szCs w:val="22"/>
          <w:lang w:val="mt-MT" w:eastAsia="en-US"/>
        </w:rPr>
      </w:pPr>
      <w:r w:rsidRPr="00CE3598">
        <w:rPr>
          <w:rFonts w:eastAsia="Calibri"/>
          <w:b/>
          <w:bCs/>
          <w:lang w:val="mt-MT"/>
        </w:rPr>
        <w:t>Pożizzjoni tal-Parlament Ewropew adottata fl-</w:t>
      </w:r>
      <w:r w:rsidRPr="00604017">
        <w:rPr>
          <w:rFonts w:eastAsia="Calibri"/>
          <w:b/>
          <w:bCs/>
          <w:lang w:val="mt-MT"/>
        </w:rPr>
        <w:t>ewwel qari tas-17 ta’ Ġunju 2025 bil</w:t>
      </w:r>
      <w:r w:rsidRPr="00CE3598">
        <w:rPr>
          <w:rFonts w:eastAsia="Calibri"/>
          <w:b/>
          <w:bCs/>
          <w:lang w:val="mt-MT"/>
        </w:rPr>
        <w:t>-ħsieb tal-</w:t>
      </w:r>
      <w:r w:rsidRPr="00604017">
        <w:rPr>
          <w:rFonts w:eastAsia="Calibri"/>
          <w:b/>
          <w:bCs/>
          <w:lang w:val="mt-MT"/>
        </w:rPr>
        <w:t>adozzjoni tar-Regolament (UE) 2025/...</w:t>
      </w:r>
      <w:r w:rsidRPr="00CE3598">
        <w:rPr>
          <w:rFonts w:eastAsia="Calibri"/>
          <w:b/>
          <w:bCs/>
          <w:lang w:val="mt-MT"/>
        </w:rPr>
        <w:t xml:space="preserve"> </w:t>
      </w:r>
      <w:r w:rsidRPr="00CE3598">
        <w:rPr>
          <w:b/>
          <w:color w:val="000000"/>
          <w:szCs w:val="22"/>
          <w:lang w:val="mt-MT"/>
        </w:rPr>
        <w:t>tal-Parlament Ewropew u tal-Kunsill</w:t>
      </w:r>
      <w:r>
        <w:rPr>
          <w:rFonts w:eastAsia="Calibri"/>
          <w:b/>
          <w:szCs w:val="22"/>
          <w:lang w:val="mt-MT"/>
        </w:rPr>
        <w:t xml:space="preserve"> </w:t>
      </w:r>
      <w:r w:rsidRPr="00604017">
        <w:rPr>
          <w:rFonts w:eastAsia="Calibri"/>
          <w:b/>
          <w:noProof/>
          <w:color w:val="000000"/>
          <w:szCs w:val="22"/>
          <w:lang w:val="mt-MT" w:eastAsia="en-US"/>
        </w:rPr>
        <w:t>li jemenda r-Regolament (UE) Nru 228/2013 fir-rigward ta’ assistenza addizzjonali għar-reġjuni ultraperiferiċi affettwati minn diżastri naturali severi, u aktar flessibbiltà fir-rigward tagħhom u fil-kuntest tad-devastazzjoni kkawżata miċ-ċiklun Chido f’Mayotte</w:t>
      </w:r>
    </w:p>
    <w:p w14:paraId="5A2B912C" w14:textId="216EE6DA" w:rsidR="009F28EF" w:rsidRPr="00BD2E3A" w:rsidRDefault="00EE6414" w:rsidP="00BD2E3A">
      <w:pPr>
        <w:rPr>
          <w:i/>
          <w:lang w:val="mt-MT"/>
        </w:rPr>
      </w:pPr>
      <w:r w:rsidRPr="00EE6414">
        <w:rPr>
          <w:i/>
          <w:lang w:val="mt-MT"/>
        </w:rPr>
        <w:t xml:space="preserve">(Peress li ntlaħaq ftehim bejn il-Parlament u l-Kunsill, il-pożizzjoni tal-Parlament taqbel mal-att leġiżlattiv finali, ir-Regolament (UE) </w:t>
      </w:r>
      <w:r w:rsidRPr="00EE6414">
        <w:rPr>
          <w:i/>
          <w:lang w:val="mt-MT"/>
        </w:rPr>
        <w:t>2025/1276</w:t>
      </w:r>
      <w:r w:rsidRPr="00EE6414">
        <w:rPr>
          <w:i/>
          <w:lang w:val="mt-MT"/>
        </w:rPr>
        <w:t>.)</w:t>
      </w:r>
    </w:p>
    <w:sectPr w:rsidR="009F28EF" w:rsidRPr="00BD2E3A" w:rsidSect="00211EA1">
      <w:endnotePr>
        <w:numFmt w:val="decimal"/>
      </w:endnotePr>
      <w:type w:val="continuous"/>
      <w:pgSz w:w="11905" w:h="16837" w:code="9"/>
      <w:pgMar w:top="1134" w:right="1418" w:bottom="1418" w:left="1418" w:header="720" w:footer="397" w:gutter="0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2B22F3F" w14:textId="77777777" w:rsidR="00D1027C" w:rsidRDefault="00D1027C" w:rsidP="009C4014">
      <w:r>
        <w:separator/>
      </w:r>
    </w:p>
  </w:endnote>
  <w:endnote w:type="continuationSeparator" w:id="0">
    <w:p w14:paraId="4DE88DF5" w14:textId="77777777" w:rsidR="00D1027C" w:rsidRDefault="00D1027C" w:rsidP="009C401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9A8BFA3" w14:textId="77777777" w:rsidR="00185E15" w:rsidRDefault="00185E15">
    <w:pPr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ACD1675" w14:textId="77777777" w:rsidR="00185E15" w:rsidRDefault="00185E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4611FB" w14:textId="77777777" w:rsidR="00185E15" w:rsidRDefault="00185E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2361733" w14:textId="77777777" w:rsidR="00D1027C" w:rsidRDefault="00D1027C" w:rsidP="009C4014">
      <w:r>
        <w:separator/>
      </w:r>
    </w:p>
  </w:footnote>
  <w:footnote w:type="continuationSeparator" w:id="0">
    <w:p w14:paraId="7E4F785D" w14:textId="77777777" w:rsidR="00D1027C" w:rsidRDefault="00D1027C" w:rsidP="009C401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4FF237E" w14:textId="77777777" w:rsidR="00185E15" w:rsidRDefault="00185E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D8062E" w14:textId="77777777" w:rsidR="00185E15" w:rsidRDefault="00185E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635FEAC" w14:textId="77777777" w:rsidR="00185E15" w:rsidRDefault="00185E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93C6E60"/>
    <w:multiLevelType w:val="multilevel"/>
    <w:tmpl w:val="BC64E53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pStyle w:val="Heading2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pStyle w:val="Heading3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pStyle w:val="Heading4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1" w15:restartNumberingAfterBreak="0">
    <w:nsid w:val="0B6B413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2" w15:restartNumberingAfterBreak="0">
    <w:nsid w:val="1A2118C2"/>
    <w:multiLevelType w:val="multilevel"/>
    <w:tmpl w:val="1368055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3" w15:restartNumberingAfterBreak="0">
    <w:nsid w:val="26B2409D"/>
    <w:multiLevelType w:val="multilevel"/>
    <w:tmpl w:val="040C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440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4" w15:restartNumberingAfterBreak="0">
    <w:nsid w:val="39692AE2"/>
    <w:multiLevelType w:val="multilevel"/>
    <w:tmpl w:val="975EA0B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pStyle w:val="Heading5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5" w15:restartNumberingAfterBreak="0">
    <w:nsid w:val="4C517293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6" w15:restartNumberingAfterBreak="0">
    <w:nsid w:val="71FF0C87"/>
    <w:multiLevelType w:val="multilevel"/>
    <w:tmpl w:val="9B6056AA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79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1224"/>
      </w:pPr>
    </w:lvl>
    <w:lvl w:ilvl="3">
      <w:start w:val="1"/>
      <w:numFmt w:val="decimal"/>
      <w:lvlText w:val="%1.%2.%3.%4."/>
      <w:lvlJc w:val="left"/>
      <w:pPr>
        <w:tabs>
          <w:tab w:val="num" w:pos="1728"/>
        </w:tabs>
        <w:ind w:left="1728" w:hanging="1728"/>
      </w:pPr>
    </w:lvl>
    <w:lvl w:ilvl="4">
      <w:start w:val="1"/>
      <w:numFmt w:val="decimal"/>
      <w:lvlText w:val="%1.%2.%3.%4.%5."/>
      <w:lvlJc w:val="left"/>
      <w:pPr>
        <w:tabs>
          <w:tab w:val="num" w:pos="2232"/>
        </w:tabs>
        <w:ind w:left="2232" w:hanging="2232"/>
      </w:pPr>
    </w:lvl>
    <w:lvl w:ilvl="5">
      <w:start w:val="1"/>
      <w:numFmt w:val="decimal"/>
      <w:lvlText w:val="%1.%2.%3.%4.%5.%6."/>
      <w:lvlJc w:val="left"/>
      <w:pPr>
        <w:tabs>
          <w:tab w:val="num" w:pos="2736"/>
        </w:tabs>
        <w:ind w:left="2736" w:hanging="2736"/>
      </w:pPr>
    </w:lvl>
    <w:lvl w:ilvl="6">
      <w:start w:val="1"/>
      <w:numFmt w:val="decimal"/>
      <w:lvlText w:val="%1.%2.%3.%4.%5.%6.%7."/>
      <w:lvlJc w:val="left"/>
      <w:pPr>
        <w:tabs>
          <w:tab w:val="num" w:pos="3240"/>
        </w:tabs>
        <w:ind w:left="3240" w:hanging="3240"/>
      </w:pPr>
    </w:lvl>
    <w:lvl w:ilvl="7">
      <w:start w:val="1"/>
      <w:numFmt w:val="decimal"/>
      <w:lvlText w:val="%1.%2.%3.%4.%5.%6.%7.%8."/>
      <w:lvlJc w:val="left"/>
      <w:pPr>
        <w:tabs>
          <w:tab w:val="num" w:pos="3744"/>
        </w:tabs>
        <w:ind w:left="3744" w:hanging="3744"/>
      </w:pPr>
    </w:lvl>
    <w:lvl w:ilvl="8">
      <w:start w:val="1"/>
      <w:numFmt w:val="decimal"/>
      <w:lvlText w:val="%1.%2.%3.%4.%5.%6.%7.%8.%9."/>
      <w:lvlJc w:val="left"/>
      <w:pPr>
        <w:tabs>
          <w:tab w:val="num" w:pos="4320"/>
        </w:tabs>
        <w:ind w:left="4320" w:hanging="4320"/>
      </w:pPr>
    </w:lvl>
  </w:abstractNum>
  <w:abstractNum w:abstractNumId="7" w15:restartNumberingAfterBreak="0">
    <w:nsid w:val="7ECB7708"/>
    <w:multiLevelType w:val="singleLevel"/>
    <w:tmpl w:val="71B46F9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num w:numId="1" w16cid:durableId="147214195">
    <w:abstractNumId w:val="3"/>
  </w:num>
  <w:num w:numId="2" w16cid:durableId="10885806">
    <w:abstractNumId w:val="2"/>
  </w:num>
  <w:num w:numId="3" w16cid:durableId="453720454">
    <w:abstractNumId w:val="1"/>
  </w:num>
  <w:num w:numId="4" w16cid:durableId="747074075">
    <w:abstractNumId w:val="0"/>
  </w:num>
  <w:num w:numId="5" w16cid:durableId="1780292501">
    <w:abstractNumId w:val="6"/>
  </w:num>
  <w:num w:numId="6" w16cid:durableId="853835748">
    <w:abstractNumId w:val="5"/>
  </w:num>
  <w:num w:numId="7" w16cid:durableId="1408989975">
    <w:abstractNumId w:val="4"/>
  </w:num>
  <w:num w:numId="8" w16cid:durableId="1249121154">
    <w:abstractNumId w:val="7"/>
  </w:num>
  <w:num w:numId="9" w16cid:durableId="1173572837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2"/>
  <w:mirrorMargins/>
  <w:activeWritingStyle w:appName="MSWord" w:lang="fr-FR" w:vendorID="9" w:dllVersion="512" w:checkStyle="0"/>
  <w:activeWritingStyle w:appName="MSWord" w:lang="pt-PT" w:vendorID="13" w:dllVersion="513" w:checkStyle="1"/>
  <w:activeWritingStyle w:appName="MSWord" w:lang="sv-SE" w:vendorID="22" w:dllVersion="513" w:checkStyle="1"/>
  <w:activeWritingStyle w:appName="MSWord" w:lang="hu-HU" w:vendorID="7" w:dllVersion="513" w:checkStyle="1"/>
  <w:activeWritingStyle w:appName="MSWord" w:lang="pl-PL" w:vendorID="12" w:dllVersion="512" w:checkStyle="1"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20"/>
  <w:displayHorizontalDrawingGridEvery w:val="0"/>
  <w:displayVerticalDrawingGridEvery w:val="0"/>
  <w:noPunctuationKerning/>
  <w:characterSpacingControl w:val="doNotCompress"/>
  <w:footnotePr>
    <w:numRestart w:val="eachPage"/>
    <w:footnote w:id="-1"/>
    <w:footnote w:id="0"/>
  </w:footnotePr>
  <w:endnotePr>
    <w:numFmt w:val="decimal"/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1027C"/>
    <w:rsid w:val="00013B2A"/>
    <w:rsid w:val="000158EE"/>
    <w:rsid w:val="000C2BFE"/>
    <w:rsid w:val="000F27A9"/>
    <w:rsid w:val="000F6208"/>
    <w:rsid w:val="00125CBC"/>
    <w:rsid w:val="00127BE6"/>
    <w:rsid w:val="00172070"/>
    <w:rsid w:val="00185E15"/>
    <w:rsid w:val="001D4BBF"/>
    <w:rsid w:val="001D63A8"/>
    <w:rsid w:val="00211EA1"/>
    <w:rsid w:val="002924A9"/>
    <w:rsid w:val="002A1D4E"/>
    <w:rsid w:val="002B4BCF"/>
    <w:rsid w:val="002F1925"/>
    <w:rsid w:val="00300C61"/>
    <w:rsid w:val="00312A38"/>
    <w:rsid w:val="003202DD"/>
    <w:rsid w:val="003775B9"/>
    <w:rsid w:val="00397B2A"/>
    <w:rsid w:val="003E1189"/>
    <w:rsid w:val="003F4DFE"/>
    <w:rsid w:val="00425111"/>
    <w:rsid w:val="00451C48"/>
    <w:rsid w:val="0047030E"/>
    <w:rsid w:val="004E6A17"/>
    <w:rsid w:val="004F2EA7"/>
    <w:rsid w:val="00520780"/>
    <w:rsid w:val="00525ED0"/>
    <w:rsid w:val="00534CAB"/>
    <w:rsid w:val="00547BB1"/>
    <w:rsid w:val="00591365"/>
    <w:rsid w:val="005A2421"/>
    <w:rsid w:val="005B23C9"/>
    <w:rsid w:val="005F0CA1"/>
    <w:rsid w:val="005F35F8"/>
    <w:rsid w:val="00603B14"/>
    <w:rsid w:val="00604017"/>
    <w:rsid w:val="00641F58"/>
    <w:rsid w:val="006656E5"/>
    <w:rsid w:val="00666512"/>
    <w:rsid w:val="00683F78"/>
    <w:rsid w:val="006A1E82"/>
    <w:rsid w:val="006A7C85"/>
    <w:rsid w:val="006A7CE5"/>
    <w:rsid w:val="006B1646"/>
    <w:rsid w:val="006E5420"/>
    <w:rsid w:val="006F135E"/>
    <w:rsid w:val="00751383"/>
    <w:rsid w:val="00757DD5"/>
    <w:rsid w:val="00760EC5"/>
    <w:rsid w:val="007713FD"/>
    <w:rsid w:val="00774A9B"/>
    <w:rsid w:val="007906DB"/>
    <w:rsid w:val="007B16FE"/>
    <w:rsid w:val="007C3388"/>
    <w:rsid w:val="00830006"/>
    <w:rsid w:val="008512F3"/>
    <w:rsid w:val="00857458"/>
    <w:rsid w:val="00873A0F"/>
    <w:rsid w:val="00895FA0"/>
    <w:rsid w:val="008B1C2E"/>
    <w:rsid w:val="008D7C16"/>
    <w:rsid w:val="008E7632"/>
    <w:rsid w:val="008F0108"/>
    <w:rsid w:val="008F7F1C"/>
    <w:rsid w:val="00907FE0"/>
    <w:rsid w:val="00934857"/>
    <w:rsid w:val="00963329"/>
    <w:rsid w:val="009865B7"/>
    <w:rsid w:val="009B7E10"/>
    <w:rsid w:val="009C4014"/>
    <w:rsid w:val="009F28EF"/>
    <w:rsid w:val="00A1739E"/>
    <w:rsid w:val="00B54C72"/>
    <w:rsid w:val="00B85C1E"/>
    <w:rsid w:val="00BB5514"/>
    <w:rsid w:val="00BD2E3A"/>
    <w:rsid w:val="00C15516"/>
    <w:rsid w:val="00C16C81"/>
    <w:rsid w:val="00C57739"/>
    <w:rsid w:val="00C65BE8"/>
    <w:rsid w:val="00CB451F"/>
    <w:rsid w:val="00CC4897"/>
    <w:rsid w:val="00D1027C"/>
    <w:rsid w:val="00D202A4"/>
    <w:rsid w:val="00D91669"/>
    <w:rsid w:val="00DF097A"/>
    <w:rsid w:val="00DF53A8"/>
    <w:rsid w:val="00E039BF"/>
    <w:rsid w:val="00E11822"/>
    <w:rsid w:val="00E73B02"/>
    <w:rsid w:val="00E74BF3"/>
    <w:rsid w:val="00EE6414"/>
    <w:rsid w:val="00EF3610"/>
    <w:rsid w:val="00F177A4"/>
    <w:rsid w:val="00F97E29"/>
    <w:rsid w:val="00FB1507"/>
    <w:rsid w:val="00FB360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4790D65E"/>
  <w15:chartTrackingRefBased/>
  <w15:docId w15:val="{24D52344-21C7-4EF1-A51F-4AA483B7B6C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note text" w:uiPriority="99"/>
    <w:lsdException w:name="caption" w:semiHidden="1" w:unhideWhenUsed="1" w:qFormat="1"/>
    <w:lsdException w:name="footnote reference" w:uiPriority="99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sz w:val="24"/>
      <w:lang w:val="fr-FR"/>
    </w:rPr>
  </w:style>
  <w:style w:type="paragraph" w:styleId="Heading1">
    <w:name w:val="heading 1"/>
    <w:basedOn w:val="Normal"/>
    <w:next w:val="Normal"/>
    <w:qFormat/>
    <w:pPr>
      <w:keepNext/>
      <w:keepLines/>
      <w:spacing w:after="120"/>
      <w:ind w:left="510" w:hanging="510"/>
      <w:outlineLvl w:val="0"/>
    </w:pPr>
    <w:rPr>
      <w:b/>
      <w:kern w:val="28"/>
      <w:sz w:val="28"/>
    </w:rPr>
  </w:style>
  <w:style w:type="paragraph" w:styleId="Heading2">
    <w:name w:val="heading 2"/>
    <w:basedOn w:val="Normal"/>
    <w:next w:val="Normal"/>
    <w:qFormat/>
    <w:pPr>
      <w:keepNext/>
      <w:numPr>
        <w:ilvl w:val="1"/>
        <w:numId w:val="4"/>
      </w:numPr>
      <w:spacing w:before="240" w:after="60"/>
      <w:outlineLvl w:val="1"/>
    </w:pPr>
  </w:style>
  <w:style w:type="paragraph" w:styleId="Heading3">
    <w:name w:val="heading 3"/>
    <w:basedOn w:val="Normal"/>
    <w:next w:val="Normal"/>
    <w:qFormat/>
    <w:pPr>
      <w:keepNext/>
      <w:numPr>
        <w:ilvl w:val="2"/>
        <w:numId w:val="4"/>
      </w:numPr>
      <w:spacing w:before="240" w:after="60"/>
      <w:outlineLvl w:val="2"/>
    </w:pPr>
    <w:rPr>
      <w:rFonts w:ascii="Arial" w:hAnsi="Arial"/>
    </w:rPr>
  </w:style>
  <w:style w:type="paragraph" w:styleId="Heading4">
    <w:name w:val="heading 4"/>
    <w:basedOn w:val="Normal"/>
    <w:next w:val="Normal"/>
    <w:qFormat/>
    <w:pPr>
      <w:keepNext/>
      <w:numPr>
        <w:ilvl w:val="3"/>
        <w:numId w:val="4"/>
      </w:numPr>
      <w:spacing w:before="240" w:after="60"/>
      <w:outlineLvl w:val="3"/>
    </w:pPr>
    <w:rPr>
      <w:lang w:val="en-US"/>
    </w:rPr>
  </w:style>
  <w:style w:type="paragraph" w:styleId="Heading5">
    <w:name w:val="heading 5"/>
    <w:basedOn w:val="Normal"/>
    <w:next w:val="Normal"/>
    <w:qFormat/>
    <w:pPr>
      <w:numPr>
        <w:ilvl w:val="4"/>
        <w:numId w:val="7"/>
      </w:numPr>
      <w:spacing w:before="240" w:after="60"/>
      <w:outlineLvl w:val="4"/>
    </w:pPr>
    <w:rPr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THeading1">
    <w:name w:val="AT Heading 1"/>
    <w:basedOn w:val="Normal"/>
    <w:next w:val="Normal"/>
    <w:pPr>
      <w:keepNext/>
      <w:keepLines/>
      <w:spacing w:after="120"/>
      <w:outlineLvl w:val="0"/>
    </w:pPr>
    <w:rPr>
      <w:b/>
      <w:noProof/>
      <w:sz w:val="28"/>
    </w:rPr>
  </w:style>
  <w:style w:type="paragraph" w:customStyle="1" w:styleId="ATHeading2">
    <w:name w:val="AT Heading 2"/>
    <w:basedOn w:val="Normal"/>
    <w:next w:val="Normal"/>
    <w:pPr>
      <w:spacing w:before="120" w:after="120"/>
      <w:outlineLvl w:val="1"/>
    </w:pPr>
    <w:rPr>
      <w:b/>
      <w:noProof/>
      <w:sz w:val="28"/>
    </w:rPr>
  </w:style>
  <w:style w:type="paragraph" w:customStyle="1" w:styleId="ATHeading3">
    <w:name w:val="AT Heading 3"/>
    <w:basedOn w:val="Normal"/>
    <w:next w:val="Normal"/>
    <w:pPr>
      <w:keepNext/>
      <w:keepLines/>
      <w:spacing w:before="120" w:after="120"/>
      <w:outlineLvl w:val="2"/>
    </w:pPr>
    <w:rPr>
      <w:b/>
      <w:noProof/>
    </w:rPr>
  </w:style>
  <w:style w:type="paragraph" w:customStyle="1" w:styleId="ATHeading4">
    <w:name w:val="AT Heading 4"/>
    <w:basedOn w:val="Normal"/>
    <w:next w:val="Normal"/>
    <w:pPr>
      <w:keepNext/>
      <w:keepLines/>
      <w:spacing w:before="120" w:after="120"/>
    </w:pPr>
    <w:rPr>
      <w:b/>
      <w:i/>
      <w:noProof/>
    </w:rPr>
  </w:style>
  <w:style w:type="paragraph" w:customStyle="1" w:styleId="ATHeading5">
    <w:name w:val="AT Heading 5"/>
    <w:basedOn w:val="Normal"/>
    <w:next w:val="Normal"/>
    <w:pPr>
      <w:keepNext/>
      <w:keepLines/>
      <w:spacing w:before="120" w:after="120"/>
    </w:pPr>
    <w:rPr>
      <w:i/>
      <w:noProof/>
    </w:rPr>
  </w:style>
  <w:style w:type="paragraph" w:customStyle="1" w:styleId="ATHeadingMotiv">
    <w:name w:val="AT Heading Motiv"/>
    <w:basedOn w:val="Normal"/>
    <w:next w:val="Normal"/>
    <w:pPr>
      <w:keepNext/>
      <w:spacing w:before="60" w:after="60"/>
      <w:jc w:val="center"/>
    </w:pPr>
    <w:rPr>
      <w:i/>
    </w:rPr>
  </w:style>
  <w:style w:type="paragraph" w:customStyle="1" w:styleId="ATTOCTitle">
    <w:name w:val="AT TOC Title"/>
    <w:basedOn w:val="Normal"/>
    <w:pPr>
      <w:keepNext/>
      <w:keepLines/>
      <w:spacing w:after="240"/>
      <w:jc w:val="center"/>
    </w:pPr>
    <w:rPr>
      <w:b/>
      <w:caps/>
      <w:sz w:val="28"/>
    </w:rPr>
  </w:style>
  <w:style w:type="paragraph" w:styleId="Footer">
    <w:name w:val="footer"/>
    <w:basedOn w:val="Normal"/>
    <w:pPr>
      <w:tabs>
        <w:tab w:val="right" w:pos="9639"/>
      </w:tabs>
    </w:pPr>
    <w:rPr>
      <w:sz w:val="22"/>
    </w:rPr>
  </w:style>
  <w:style w:type="character" w:styleId="FootnoteReference">
    <w:name w:val="footnote reference"/>
    <w:uiPriority w:val="99"/>
    <w:semiHidden/>
    <w:rPr>
      <w:b w:val="0"/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pPr>
      <w:keepLines/>
      <w:spacing w:line="260" w:lineRule="exact"/>
      <w:ind w:left="425" w:hanging="425"/>
    </w:pPr>
    <w:rPr>
      <w:sz w:val="22"/>
    </w:rPr>
  </w:style>
  <w:style w:type="paragraph" w:styleId="Header">
    <w:name w:val="header"/>
    <w:basedOn w:val="Normal"/>
    <w:pPr>
      <w:tabs>
        <w:tab w:val="right" w:pos="9639"/>
      </w:tabs>
    </w:pPr>
  </w:style>
  <w:style w:type="paragraph" w:customStyle="1" w:styleId="Numroamendement">
    <w:name w:val="Numéro amendement"/>
    <w:basedOn w:val="Normal"/>
    <w:next w:val="Normal"/>
    <w:pPr>
      <w:widowControl w:val="0"/>
      <w:jc w:val="center"/>
    </w:pPr>
    <w:rPr>
      <w:snapToGrid w:val="0"/>
      <w:lang w:eastAsia="en-US"/>
    </w:rPr>
  </w:style>
  <w:style w:type="character" w:styleId="PageNumber">
    <w:name w:val="page number"/>
    <w:basedOn w:val="DefaultParagraphFont"/>
  </w:style>
  <w:style w:type="paragraph" w:styleId="TOC1">
    <w:name w:val="toc 1"/>
    <w:basedOn w:val="Normal"/>
    <w:next w:val="Normal"/>
    <w:autoRedefine/>
    <w:semiHidden/>
    <w:pPr>
      <w:keepNext/>
      <w:keepLines/>
      <w:spacing w:before="200"/>
    </w:pPr>
    <w:rPr>
      <w:b/>
      <w:noProof/>
    </w:rPr>
  </w:style>
  <w:style w:type="paragraph" w:styleId="TOC2">
    <w:name w:val="toc 2"/>
    <w:basedOn w:val="Normal"/>
    <w:next w:val="Normal"/>
    <w:autoRedefine/>
    <w:semiHidden/>
    <w:pPr>
      <w:keepNext/>
      <w:keepLines/>
    </w:pPr>
    <w:rPr>
      <w:b/>
      <w:noProof/>
    </w:rPr>
  </w:style>
  <w:style w:type="paragraph" w:styleId="TOC3">
    <w:name w:val="toc 3"/>
    <w:basedOn w:val="Normal"/>
    <w:next w:val="Normal"/>
    <w:autoRedefine/>
    <w:semiHidden/>
    <w:pPr>
      <w:keepLines/>
      <w:ind w:right="510"/>
    </w:pPr>
    <w:rPr>
      <w:noProof/>
    </w:rPr>
  </w:style>
  <w:style w:type="paragraph" w:customStyle="1" w:styleId="ATHeading6">
    <w:name w:val="AT Heading 6"/>
    <w:basedOn w:val="Normal"/>
    <w:next w:val="Normal"/>
    <w:pPr>
      <w:keepNext/>
      <w:keepLines/>
      <w:spacing w:before="120" w:after="120"/>
    </w:pPr>
    <w:rPr>
      <w:smallCaps/>
      <w:noProof/>
    </w:rPr>
  </w:style>
  <w:style w:type="paragraph" w:customStyle="1" w:styleId="Normal12">
    <w:name w:val="Normal12"/>
    <w:basedOn w:val="Normal"/>
    <w:rsid w:val="00C65BE8"/>
    <w:pPr>
      <w:widowControl w:val="0"/>
      <w:spacing w:after="240"/>
    </w:pPr>
    <w:rPr>
      <w:snapToGrid w:val="0"/>
      <w:lang w:val="en-GB"/>
    </w:rPr>
  </w:style>
  <w:style w:type="paragraph" w:customStyle="1" w:styleId="NormalBold">
    <w:name w:val="NormalBold"/>
    <w:basedOn w:val="Normal"/>
    <w:rsid w:val="00C65BE8"/>
    <w:pPr>
      <w:widowControl w:val="0"/>
    </w:pPr>
    <w:rPr>
      <w:b/>
      <w:snapToGrid w:val="0"/>
      <w:lang w:val="en-GB"/>
    </w:rPr>
  </w:style>
  <w:style w:type="paragraph" w:customStyle="1" w:styleId="Normal12Hanging">
    <w:name w:val="Normal12Hanging"/>
    <w:basedOn w:val="Normal12"/>
    <w:link w:val="Normal12HangingChar"/>
    <w:rsid w:val="00C65BE8"/>
    <w:pPr>
      <w:ind w:left="357" w:hanging="357"/>
    </w:pPr>
  </w:style>
  <w:style w:type="character" w:customStyle="1" w:styleId="longtext">
    <w:name w:val="long_text"/>
    <w:rsid w:val="00C65BE8"/>
    <w:rPr>
      <w:rFonts w:cs="Times New Roman"/>
    </w:rPr>
  </w:style>
  <w:style w:type="paragraph" w:customStyle="1" w:styleId="Hanging12">
    <w:name w:val="Hanging12"/>
    <w:basedOn w:val="Normal12"/>
    <w:rsid w:val="00C65BE8"/>
    <w:pPr>
      <w:tabs>
        <w:tab w:val="left" w:pos="357"/>
      </w:tabs>
      <w:ind w:left="357" w:hanging="357"/>
    </w:pPr>
    <w:rPr>
      <w:snapToGrid/>
    </w:rPr>
  </w:style>
  <w:style w:type="paragraph" w:customStyle="1" w:styleId="Normal6">
    <w:name w:val="Normal6"/>
    <w:basedOn w:val="Normal"/>
    <w:link w:val="Normal6Char"/>
    <w:rsid w:val="00C65BE8"/>
    <w:pPr>
      <w:widowControl w:val="0"/>
      <w:spacing w:after="120"/>
    </w:pPr>
    <w:rPr>
      <w:noProof/>
      <w:lang w:val="en-GB"/>
    </w:rPr>
  </w:style>
  <w:style w:type="character" w:customStyle="1" w:styleId="Normal6Char">
    <w:name w:val="Normal6 Char"/>
    <w:link w:val="Normal6"/>
    <w:rsid w:val="00C65BE8"/>
    <w:rPr>
      <w:noProof/>
      <w:sz w:val="24"/>
      <w:lang w:val="en-GB" w:eastAsia="en-GB" w:bidi="ar-SA"/>
    </w:rPr>
  </w:style>
  <w:style w:type="character" w:customStyle="1" w:styleId="Normal12HangingChar">
    <w:name w:val="Normal12Hanging Char"/>
    <w:link w:val="Normal12Hanging"/>
    <w:rsid w:val="00C65BE8"/>
    <w:rPr>
      <w:snapToGrid w:val="0"/>
      <w:sz w:val="24"/>
      <w:lang w:val="en-GB" w:eastAsia="en-GB" w:bidi="ar-SA"/>
    </w:rPr>
  </w:style>
  <w:style w:type="character" w:customStyle="1" w:styleId="hps">
    <w:name w:val="hps"/>
    <w:basedOn w:val="DefaultParagraphFont"/>
    <w:rsid w:val="00C65BE8"/>
  </w:style>
  <w:style w:type="character" w:customStyle="1" w:styleId="HideTWBExt">
    <w:name w:val="HideTWBExt"/>
    <w:rsid w:val="008E7632"/>
    <w:rPr>
      <w:rFonts w:ascii="Arial" w:hAnsi="Arial"/>
      <w:noProof/>
      <w:vanish/>
      <w:color w:val="000080"/>
      <w:sz w:val="20"/>
    </w:rPr>
  </w:style>
  <w:style w:type="paragraph" w:customStyle="1" w:styleId="ZSessionDoc">
    <w:name w:val="ZSessionDoc"/>
    <w:basedOn w:val="Normal"/>
    <w:next w:val="Normal"/>
    <w:rsid w:val="008E7632"/>
    <w:pPr>
      <w:widowControl w:val="0"/>
      <w:jc w:val="center"/>
    </w:pPr>
    <w:rPr>
      <w:rFonts w:ascii="Arial" w:hAnsi="Arial" w:cs="Arial"/>
      <w:i/>
      <w:sz w:val="22"/>
      <w:szCs w:val="22"/>
      <w:lang w:val="en-GB"/>
    </w:rPr>
  </w:style>
  <w:style w:type="paragraph" w:customStyle="1" w:styleId="LineTop">
    <w:name w:val="LineTop"/>
    <w:basedOn w:val="Normal"/>
    <w:next w:val="ZSessionDoc"/>
    <w:rsid w:val="008E7632"/>
    <w:pPr>
      <w:widowControl w:val="0"/>
      <w:pBdr>
        <w:top w:val="single" w:sz="4" w:space="1" w:color="auto"/>
      </w:pBdr>
      <w:jc w:val="center"/>
    </w:pPr>
    <w:rPr>
      <w:rFonts w:ascii="Arial" w:hAnsi="Arial"/>
      <w:sz w:val="16"/>
      <w:szCs w:val="16"/>
    </w:rPr>
  </w:style>
  <w:style w:type="paragraph" w:customStyle="1" w:styleId="LineBottom">
    <w:name w:val="LineBottom"/>
    <w:basedOn w:val="Normal"/>
    <w:next w:val="Normal"/>
    <w:rsid w:val="008E7632"/>
    <w:pPr>
      <w:widowControl w:val="0"/>
      <w:pBdr>
        <w:bottom w:val="single" w:sz="4" w:space="1" w:color="auto"/>
      </w:pBdr>
      <w:spacing w:after="240"/>
      <w:jc w:val="center"/>
    </w:pPr>
    <w:rPr>
      <w:rFonts w:ascii="Arial" w:hAnsi="Arial"/>
      <w:sz w:val="16"/>
      <w:szCs w:val="16"/>
      <w:lang w:val="en-GB"/>
    </w:rPr>
  </w:style>
  <w:style w:type="paragraph" w:customStyle="1" w:styleId="PELeft">
    <w:name w:val="PELeft"/>
    <w:basedOn w:val="Normal"/>
    <w:rsid w:val="008E7632"/>
    <w:pPr>
      <w:widowControl w:val="0"/>
      <w:spacing w:before="40" w:after="40"/>
    </w:pPr>
    <w:rPr>
      <w:rFonts w:ascii="Arial" w:hAnsi="Arial" w:cs="Arial"/>
      <w:sz w:val="22"/>
      <w:szCs w:val="22"/>
    </w:rPr>
  </w:style>
  <w:style w:type="paragraph" w:customStyle="1" w:styleId="PERight">
    <w:name w:val="PERight"/>
    <w:basedOn w:val="Normal"/>
    <w:next w:val="Normal"/>
    <w:rsid w:val="008E7632"/>
    <w:pPr>
      <w:widowControl w:val="0"/>
      <w:jc w:val="right"/>
    </w:pPr>
    <w:rPr>
      <w:rFonts w:ascii="Arial" w:hAnsi="Arial" w:cs="Arial"/>
      <w:sz w:val="22"/>
      <w:szCs w:val="22"/>
    </w:rPr>
  </w:style>
  <w:style w:type="paragraph" w:customStyle="1" w:styleId="EPName">
    <w:name w:val="EPName"/>
    <w:basedOn w:val="Normal"/>
    <w:rsid w:val="00757DD5"/>
    <w:pPr>
      <w:widowControl w:val="0"/>
      <w:spacing w:before="80" w:after="80"/>
    </w:pPr>
    <w:rPr>
      <w:rFonts w:ascii="Arial Narrow" w:hAnsi="Arial Narrow" w:cs="Arial"/>
      <w:b/>
      <w:color w:val="000000"/>
      <w:sz w:val="32"/>
      <w:szCs w:val="22"/>
    </w:rPr>
  </w:style>
  <w:style w:type="paragraph" w:customStyle="1" w:styleId="EPTerm">
    <w:name w:val="EPTerm"/>
    <w:basedOn w:val="Normal"/>
    <w:next w:val="Normal"/>
    <w:rsid w:val="00757DD5"/>
    <w:pPr>
      <w:widowControl w:val="0"/>
      <w:spacing w:after="80"/>
    </w:pPr>
    <w:rPr>
      <w:rFonts w:ascii="Arial" w:hAnsi="Arial" w:cs="Arial"/>
      <w:sz w:val="20"/>
      <w:szCs w:val="22"/>
    </w:rPr>
  </w:style>
  <w:style w:type="paragraph" w:customStyle="1" w:styleId="EPLogo">
    <w:name w:val="EPLogo"/>
    <w:basedOn w:val="Normal"/>
    <w:qFormat/>
    <w:rsid w:val="00757DD5"/>
    <w:pPr>
      <w:widowControl w:val="0"/>
      <w:jc w:val="right"/>
    </w:pPr>
    <w:rPr>
      <w:lang w:val="en-GB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D1027C"/>
    <w:rPr>
      <w:sz w:val="22"/>
      <w:lang w:val="fr-FR"/>
    </w:rPr>
  </w:style>
  <w:style w:type="character" w:styleId="Hyperlink">
    <w:name w:val="Hyperlink"/>
    <w:uiPriority w:val="99"/>
    <w:rsid w:val="00604017"/>
    <w:rPr>
      <w:color w:val="0000FF"/>
      <w:u w:val="single"/>
    </w:rPr>
  </w:style>
  <w:style w:type="paragraph" w:styleId="BalloonText">
    <w:name w:val="Balloon Text"/>
    <w:basedOn w:val="Normal"/>
    <w:link w:val="BalloonTextChar"/>
    <w:rsid w:val="00604017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rsid w:val="00604017"/>
    <w:rPr>
      <w:rFonts w:ascii="Segoe UI" w:hAnsi="Segoe UI" w:cs="Segoe UI"/>
      <w:sz w:val="18"/>
      <w:szCs w:val="18"/>
      <w:lang w:val="fr-F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Presbruanasc01\Verif\word\admin\properties\TADAT\ta_woText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D2CBA51-84EF-41A8-90E4-2F9E280519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ta_woText.dotx</Template>
  <TotalTime>0</TotalTime>
  <Pages>3</Pages>
  <Words>295</Words>
  <Characters>2411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TAwoTXT</vt:lpstr>
    </vt:vector>
  </TitlesOfParts>
  <Company>European Parliament</Company>
  <LinksUpToDate>false</LinksUpToDate>
  <CharactersWithSpaces>2701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TAwoTXT</dc:title>
  <dc:subject/>
  <dc:creator>CAMILLERI Denise</dc:creator>
  <cp:keywords/>
  <cp:lastModifiedBy>CAMILLERI Denise</cp:lastModifiedBy>
  <cp:revision>2</cp:revision>
  <cp:lastPrinted>2014-08-07T13:15:00Z</cp:lastPrinted>
  <dcterms:created xsi:type="dcterms:W3CDTF">2025-07-28T09:11:00Z</dcterms:created>
  <dcterms:modified xsi:type="dcterms:W3CDTF">2025-07-28T09:11:00Z</dcterms:modified>
</cp:coreProperties>
</file>