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6139BB" w:rsidTr="0010095E">
        <w:trPr>
          <w:trHeight w:hRule="exact" w:val="1418"/>
        </w:trPr>
        <w:tc>
          <w:tcPr>
            <w:tcW w:w="6804" w:type="dxa"/>
            <w:shd w:val="clear" w:color="auto" w:fill="auto"/>
            <w:vAlign w:val="center"/>
          </w:tcPr>
          <w:p w:rsidR="00751A4A" w:rsidRPr="006139BB" w:rsidRDefault="008E5F03" w:rsidP="0010095E">
            <w:pPr>
              <w:pStyle w:val="EPName"/>
            </w:pPr>
            <w:r w:rsidRPr="006139BB">
              <w:t>Ευρωπαϊκό Κοινοβούλιο</w:t>
            </w:r>
          </w:p>
          <w:p w:rsidR="00751A4A" w:rsidRPr="006139BB" w:rsidRDefault="005F1B17" w:rsidP="005F1B17">
            <w:pPr>
              <w:pStyle w:val="EPTerm"/>
              <w:rPr>
                <w:rStyle w:val="HideTWBExt"/>
                <w:noProof w:val="0"/>
                <w:vanish w:val="0"/>
                <w:color w:val="auto"/>
              </w:rPr>
            </w:pPr>
            <w:r w:rsidRPr="006139BB">
              <w:t>2024</w:t>
            </w:r>
            <w:r w:rsidR="00817416" w:rsidRPr="006139BB">
              <w:t>-202</w:t>
            </w:r>
            <w:r w:rsidRPr="006139BB">
              <w:t>9</w:t>
            </w:r>
          </w:p>
        </w:tc>
        <w:tc>
          <w:tcPr>
            <w:tcW w:w="2268" w:type="dxa"/>
            <w:shd w:val="clear" w:color="auto" w:fill="auto"/>
          </w:tcPr>
          <w:p w:rsidR="00751A4A" w:rsidRPr="006139BB" w:rsidRDefault="00187494" w:rsidP="0010095E">
            <w:pPr>
              <w:pStyle w:val="EPLogo"/>
            </w:pPr>
            <w:r w:rsidRPr="006139BB">
              <w:rPr>
                <w:noProof/>
                <w:lang w:val="en-GB"/>
              </w:rPr>
              <w:drawing>
                <wp:inline distT="0" distB="0" distL="0" distR="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D058B8" w:rsidRPr="006139BB" w:rsidRDefault="00D058B8" w:rsidP="004C5D52">
      <w:pPr>
        <w:pStyle w:val="LineTop"/>
      </w:pPr>
    </w:p>
    <w:p w:rsidR="00680577" w:rsidRPr="006139BB" w:rsidRDefault="008E5F03" w:rsidP="00680577">
      <w:pPr>
        <w:pStyle w:val="EPBodyTA1"/>
      </w:pPr>
      <w:r w:rsidRPr="006139BB">
        <w:t>ΚΕΙΜΕΝΑ ΠΟΥ ΕΓΚΡΙΘΗΚΑΝ</w:t>
      </w:r>
    </w:p>
    <w:p w:rsidR="00D058B8" w:rsidRPr="006139BB" w:rsidRDefault="00D058B8" w:rsidP="00D058B8">
      <w:pPr>
        <w:pStyle w:val="LineBottom"/>
      </w:pPr>
    </w:p>
    <w:p w:rsidR="008E5F03" w:rsidRPr="006139BB" w:rsidRDefault="008E5F03" w:rsidP="008E5F03">
      <w:pPr>
        <w:pStyle w:val="ATHeading1"/>
      </w:pPr>
      <w:bookmarkStart w:id="0" w:name="TANumber"/>
      <w:r w:rsidRPr="006139BB">
        <w:t>P10_TA(2025)0</w:t>
      </w:r>
      <w:r w:rsidR="006139BB">
        <w:rPr>
          <w:lang w:val="en-GB"/>
        </w:rPr>
        <w:t>117</w:t>
      </w:r>
      <w:bookmarkStart w:id="1" w:name="_GoBack"/>
      <w:bookmarkEnd w:id="0"/>
      <w:bookmarkEnd w:id="1"/>
    </w:p>
    <w:p w:rsidR="008E5F03" w:rsidRPr="006139BB" w:rsidRDefault="00E94875" w:rsidP="00E94875">
      <w:pPr>
        <w:pStyle w:val="ATHeading2"/>
      </w:pPr>
      <w:bookmarkStart w:id="2" w:name="title"/>
      <w:r w:rsidRPr="006139BB">
        <w:t xml:space="preserve">Συμφωνία μεταξύ της Ευρωπαϊκής Ένωσης και της Ουκρανίας </w:t>
      </w:r>
      <w:r w:rsidR="006E3EAF" w:rsidRPr="006139BB">
        <w:t>για</w:t>
      </w:r>
      <w:r w:rsidRPr="006139BB">
        <w:t xml:space="preserve"> την </w:t>
      </w:r>
      <w:r w:rsidR="006E3EAF" w:rsidRPr="006139BB">
        <w:t>τροποποίηση</w:t>
      </w:r>
      <w:r w:rsidRPr="006139BB">
        <w:t xml:space="preserve"> </w:t>
      </w:r>
      <w:r w:rsidR="006E3EAF" w:rsidRPr="006139BB">
        <w:t>τ</w:t>
      </w:r>
      <w:r w:rsidRPr="006139BB">
        <w:t>η</w:t>
      </w:r>
      <w:r w:rsidR="006E3EAF" w:rsidRPr="006139BB">
        <w:t>ς</w:t>
      </w:r>
      <w:r w:rsidRPr="006139BB">
        <w:t xml:space="preserve"> συμφωνία</w:t>
      </w:r>
      <w:r w:rsidR="006E3EAF" w:rsidRPr="006139BB">
        <w:t>ς</w:t>
      </w:r>
      <w:r w:rsidRPr="006139BB">
        <w:t xml:space="preserve"> μεταξύ της Ευρωπαϊκής Ένωσης και της Ουκρανίας για τις οδικές εμπορευματικές μεταφορές της 29ης Ιουνίου 2022</w:t>
      </w:r>
      <w:bookmarkEnd w:id="2"/>
    </w:p>
    <w:p w:rsidR="008E5F03" w:rsidRPr="006139BB" w:rsidRDefault="008E5F03" w:rsidP="008E5F03">
      <w:pPr>
        <w:rPr>
          <w:i/>
          <w:vanish/>
        </w:rPr>
      </w:pPr>
      <w:r w:rsidRPr="006139BB">
        <w:rPr>
          <w:i/>
        </w:rPr>
        <w:fldChar w:fldCharType="begin"/>
      </w:r>
      <w:r w:rsidRPr="006139BB">
        <w:rPr>
          <w:i/>
        </w:rPr>
        <w:instrText xml:space="preserve"> TC"(</w:instrText>
      </w:r>
      <w:bookmarkStart w:id="3" w:name="DocNumber"/>
      <w:r w:rsidRPr="006139BB">
        <w:rPr>
          <w:i/>
        </w:rPr>
        <w:instrText>A10-0102/2025</w:instrText>
      </w:r>
      <w:bookmarkEnd w:id="3"/>
      <w:r w:rsidRPr="006139BB">
        <w:rPr>
          <w:i/>
        </w:rPr>
        <w:instrText xml:space="preserve"> - Εισηγήτρια: Ελισσάβετ Βόζεμπεργκ-Βρυωνίδη)"\l3 \n&gt; \* MERGEFORMAT </w:instrText>
      </w:r>
      <w:r w:rsidRPr="006139BB">
        <w:rPr>
          <w:i/>
        </w:rPr>
        <w:fldChar w:fldCharType="end"/>
      </w:r>
    </w:p>
    <w:p w:rsidR="008E5F03" w:rsidRPr="006139BB" w:rsidRDefault="008E5F03" w:rsidP="008E5F03">
      <w:pPr>
        <w:rPr>
          <w:vanish/>
        </w:rPr>
      </w:pPr>
      <w:bookmarkStart w:id="4" w:name="Commission"/>
      <w:r w:rsidRPr="006139BB">
        <w:rPr>
          <w:vanish/>
        </w:rPr>
        <w:t>Επιτροπή Μεταφορών και Τουρισμού</w:t>
      </w:r>
      <w:bookmarkEnd w:id="4"/>
    </w:p>
    <w:p w:rsidR="008E5F03" w:rsidRPr="006139BB" w:rsidRDefault="008E5F03" w:rsidP="008E5F03">
      <w:pPr>
        <w:rPr>
          <w:vanish/>
        </w:rPr>
      </w:pPr>
      <w:bookmarkStart w:id="5" w:name="PE"/>
      <w:r w:rsidRPr="006139BB">
        <w:rPr>
          <w:vanish/>
        </w:rPr>
        <w:t>PE770.189</w:t>
      </w:r>
      <w:bookmarkEnd w:id="5"/>
    </w:p>
    <w:p w:rsidR="008E5F03" w:rsidRPr="006139BB" w:rsidRDefault="008E5F03" w:rsidP="008E5F03">
      <w:pPr>
        <w:pStyle w:val="ATHeading3"/>
      </w:pPr>
      <w:bookmarkStart w:id="6" w:name="Sujet"/>
      <w:r w:rsidRPr="006139BB">
        <w:t xml:space="preserve">Νομοθετικό ψήφισμα του Ευρωπαϊκού Κοινοβουλίου </w:t>
      </w:r>
      <w:r w:rsidR="00B64C31" w:rsidRPr="006139BB">
        <w:t xml:space="preserve">της </w:t>
      </w:r>
      <w:r w:rsidR="00181B5B" w:rsidRPr="006139BB">
        <w:t>17</w:t>
      </w:r>
      <w:r w:rsidR="00B64C31" w:rsidRPr="006139BB">
        <w:t>ης Ιουνίου 202</w:t>
      </w:r>
      <w:r w:rsidR="00181B5B" w:rsidRPr="006139BB">
        <w:t>5</w:t>
      </w:r>
      <w:r w:rsidR="00B64C31" w:rsidRPr="006139BB">
        <w:t xml:space="preserve"> σχετικά με </w:t>
      </w:r>
      <w:r w:rsidR="00C32AE5" w:rsidRPr="006139BB">
        <w:t xml:space="preserve">την </w:t>
      </w:r>
      <w:r w:rsidR="00E94875" w:rsidRPr="006139BB">
        <w:t>α</w:t>
      </w:r>
      <w:r w:rsidRPr="006139BB">
        <w:t>πόφαση του Συμβουλίου για τη σύναψη, εξ ονόματος της Ένωσης, της συμφωνίας μεταξύ της Ευρωπαϊκής Ένωσης και της Ουκρανίας για την τροποποίηση της συμφωνίας μεταξύ της Ευρωπαϊκής Ένωσης και της Ουκρανίας για τις οδικές εμπορευματικές μεταφορές της 29ης Ιουνίου 2022</w:t>
      </w:r>
      <w:bookmarkEnd w:id="6"/>
      <w:r w:rsidRPr="006139BB">
        <w:t xml:space="preserve"> </w:t>
      </w:r>
      <w:bookmarkStart w:id="7" w:name="References"/>
      <w:r w:rsidRPr="006139BB">
        <w:t>(16072/2024 – C10-0226/2024 – 2024/0290(NLE))</w:t>
      </w:r>
      <w:bookmarkEnd w:id="7"/>
    </w:p>
    <w:p w:rsidR="00B64C31" w:rsidRPr="006139BB" w:rsidRDefault="00B64C31" w:rsidP="00344814">
      <w:pPr>
        <w:pStyle w:val="NormalBold"/>
      </w:pPr>
      <w:bookmarkStart w:id="8" w:name="TextBodyBegin"/>
      <w:bookmarkEnd w:id="8"/>
    </w:p>
    <w:p w:rsidR="00344814" w:rsidRPr="006139BB" w:rsidRDefault="00344814" w:rsidP="00344814">
      <w:pPr>
        <w:pStyle w:val="NormalBold"/>
      </w:pPr>
      <w:r w:rsidRPr="006139BB">
        <w:t>(Έγκριση)</w:t>
      </w:r>
    </w:p>
    <w:p w:rsidR="00344814" w:rsidRPr="006139BB" w:rsidRDefault="00344814" w:rsidP="00344814">
      <w:pPr>
        <w:pStyle w:val="EPComma"/>
      </w:pPr>
      <w:r w:rsidRPr="006139BB">
        <w:rPr>
          <w:i/>
        </w:rPr>
        <w:t>Το Ευρωπαϊκό Κοινοβούλιο</w:t>
      </w:r>
      <w:r w:rsidRPr="006139BB">
        <w:t>,</w:t>
      </w:r>
    </w:p>
    <w:p w:rsidR="00344814" w:rsidRPr="006139BB" w:rsidRDefault="00344814" w:rsidP="00344814">
      <w:pPr>
        <w:pStyle w:val="NormalHanging12a"/>
      </w:pPr>
      <w:r w:rsidRPr="006139BB">
        <w:t>–</w:t>
      </w:r>
      <w:r w:rsidRPr="006139BB">
        <w:tab/>
        <w:t>έχοντας υπόψη το σχέδιο απόφασης του Συμβουλίου (16072/2024),</w:t>
      </w:r>
    </w:p>
    <w:p w:rsidR="00344814" w:rsidRPr="006139BB" w:rsidRDefault="00344814" w:rsidP="00344814">
      <w:pPr>
        <w:pStyle w:val="NormalHanging12a"/>
      </w:pPr>
      <w:r w:rsidRPr="006139BB">
        <w:t>–</w:t>
      </w:r>
      <w:r w:rsidRPr="006139BB">
        <w:tab/>
        <w:t>έχοντας υπόψη το σχέδιο συμφωνίας μεταξύ της Ευρωπαϊκής Ένωσης και της Ουκρανίας για την τροποποίηση της συμφωνίας μεταξύ της Ευρωπαϊκής Ένωσης και της Ουκρανίας για τις οδικές εμπορευματικές μεταφορές της 29ης Ιουνίου 2022 (10783/24),</w:t>
      </w:r>
    </w:p>
    <w:p w:rsidR="00344814" w:rsidRPr="006139BB" w:rsidRDefault="00344814" w:rsidP="00344814">
      <w:pPr>
        <w:pStyle w:val="NormalHanging12a"/>
      </w:pPr>
      <w:r w:rsidRPr="006139BB">
        <w:t>–</w:t>
      </w:r>
      <w:r w:rsidRPr="006139BB">
        <w:tab/>
        <w:t>έχοντας υπόψη την αίτηση έγκρισης που υπέβαλε το Συμβούλιο σύμφωνα με το άρθρο 91 και το άρθρο 218 παράγραφος 6 δεύτερο εδάφιο στοιχείο α) της Συνθήκης για τη λειτουργία της Ευρωπαϊκής Ένωσης (C10</w:t>
      </w:r>
      <w:r w:rsidRPr="006139BB">
        <w:noBreakHyphen/>
        <w:t>0226/2024),</w:t>
      </w:r>
    </w:p>
    <w:p w:rsidR="00344814" w:rsidRPr="006139BB" w:rsidRDefault="00344814" w:rsidP="00344814">
      <w:pPr>
        <w:pStyle w:val="NormalHanging12a"/>
      </w:pPr>
      <w:r w:rsidRPr="006139BB">
        <w:t>–</w:t>
      </w:r>
      <w:r w:rsidRPr="006139BB">
        <w:tab/>
        <w:t>έχοντας υπόψη το άρθρο 107 παράγραφοι 1 και 4, καθώς και το άρθρο 117 παράγραφος 7 του Κανονισμού του,</w:t>
      </w:r>
    </w:p>
    <w:p w:rsidR="00344814" w:rsidRPr="006139BB" w:rsidRDefault="00344814" w:rsidP="00344814">
      <w:pPr>
        <w:pStyle w:val="NormalHanging12a"/>
      </w:pPr>
      <w:r w:rsidRPr="006139BB">
        <w:t>–</w:t>
      </w:r>
      <w:r w:rsidRPr="006139BB">
        <w:tab/>
        <w:t>έχοντας υπόψη τη σύσταση της Επιτροπής Μεταφορών και Τουρισμού (A10-0102/2025),</w:t>
      </w:r>
    </w:p>
    <w:p w:rsidR="00344814" w:rsidRPr="006139BB" w:rsidRDefault="00344814" w:rsidP="00344814">
      <w:pPr>
        <w:pStyle w:val="NormalHanging12a"/>
        <w:rPr>
          <w:szCs w:val="24"/>
        </w:rPr>
      </w:pPr>
      <w:r w:rsidRPr="006139BB">
        <w:t>1.</w:t>
      </w:r>
      <w:r w:rsidRPr="006139BB">
        <w:tab/>
        <w:t>εγκρίνει τη σύναψη της συμφωνίας·</w:t>
      </w:r>
    </w:p>
    <w:p w:rsidR="00CF2C33" w:rsidRPr="006139BB" w:rsidRDefault="00344814" w:rsidP="00CF2C33">
      <w:pPr>
        <w:pStyle w:val="NormalHanging12a"/>
      </w:pPr>
      <w:r w:rsidRPr="006139BB">
        <w:t>2.</w:t>
      </w:r>
      <w:r w:rsidRPr="006139BB">
        <w:tab/>
        <w:t>αναθέτει στην Πρόεδρό του να διαβιβάσει τη θέση του Κοινοβουλίου στο Συμβούλιο, στην Επιτροπή, καθώς και στις κυβερνήσεις και τα κοινοβούλια των κρατών μελών και της Ουκρανίας.</w:t>
      </w:r>
    </w:p>
    <w:p w:rsidR="00E365E1" w:rsidRPr="006139BB" w:rsidRDefault="00E365E1" w:rsidP="008E5F03"/>
    <w:sectPr w:rsidR="00E365E1" w:rsidRPr="006139BB" w:rsidSect="00CF2C33">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F03" w:rsidRPr="00CF2C33" w:rsidRDefault="008E5F03">
      <w:r w:rsidRPr="00CF2C33">
        <w:separator/>
      </w:r>
    </w:p>
  </w:endnote>
  <w:endnote w:type="continuationSeparator" w:id="0">
    <w:p w:rsidR="008E5F03" w:rsidRPr="00CF2C33" w:rsidRDefault="008E5F03">
      <w:r w:rsidRPr="00CF2C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CF2C33" w:rsidRDefault="000640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CF2C33" w:rsidRDefault="000640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CF2C33"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F03" w:rsidRPr="00CF2C33" w:rsidRDefault="008E5F03">
      <w:r w:rsidRPr="00CF2C33">
        <w:separator/>
      </w:r>
    </w:p>
  </w:footnote>
  <w:footnote w:type="continuationSeparator" w:id="0">
    <w:p w:rsidR="008E5F03" w:rsidRPr="00CF2C33" w:rsidRDefault="008E5F03">
      <w:r w:rsidRPr="00CF2C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CF2C33" w:rsidRDefault="000640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CF2C33" w:rsidRDefault="000640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CF2C33"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0"/>
  </w:num>
  <w:num w:numId="43">
    <w:abstractNumId w:val="1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10-0102/2025"/>
    <w:docVar w:name="dvlangue" w:val="EL"/>
    <w:docVar w:name="dvnumam" w:val="0"/>
    <w:docVar w:name="dvpe" w:val="770.189"/>
    <w:docVar w:name="dvrapporteur" w:val="Εισηγήτρια: "/>
    <w:docVar w:name="dvstar" w:val="***"/>
    <w:docVar w:name="dvtitre" w:val="Νομοθετικό ψήφισμα του Ευρωπαϊκού Κοινοβουλίου Απόφαση του Συμβουλίου για τη σύναψη, εξ ονόματος της Ένωσης, της συμφωνίας μεταξύ της Ευρωπαϊκής Ένωσης και της Ουκρανίας για την τροποποίηση της συμφωνίας μεταξύ της Ευρωπαϊκής Ένωσης και της Ουκρανίας για τις οδικές εμπορευματικές μεταφορές της 29ης Ιουνίου 2022(16072/2024 – C10-0226/2024 – 2024/0290(NLE))"/>
  </w:docVars>
  <w:rsids>
    <w:rsidRoot w:val="008E5F03"/>
    <w:rsid w:val="00002272"/>
    <w:rsid w:val="00064002"/>
    <w:rsid w:val="000677B9"/>
    <w:rsid w:val="000831BA"/>
    <w:rsid w:val="000A42CC"/>
    <w:rsid w:val="000E7DD9"/>
    <w:rsid w:val="0010095E"/>
    <w:rsid w:val="00125B37"/>
    <w:rsid w:val="00181B5B"/>
    <w:rsid w:val="00187494"/>
    <w:rsid w:val="001F32AE"/>
    <w:rsid w:val="002767FF"/>
    <w:rsid w:val="002B18FE"/>
    <w:rsid w:val="002B5493"/>
    <w:rsid w:val="00343214"/>
    <w:rsid w:val="00344814"/>
    <w:rsid w:val="00361C00"/>
    <w:rsid w:val="00395FA1"/>
    <w:rsid w:val="003E15D4"/>
    <w:rsid w:val="00411CCE"/>
    <w:rsid w:val="0041666E"/>
    <w:rsid w:val="00421060"/>
    <w:rsid w:val="00471C19"/>
    <w:rsid w:val="004867E3"/>
    <w:rsid w:val="00494A28"/>
    <w:rsid w:val="004C0004"/>
    <w:rsid w:val="004C5D52"/>
    <w:rsid w:val="0050519A"/>
    <w:rsid w:val="005072A1"/>
    <w:rsid w:val="00514517"/>
    <w:rsid w:val="00545827"/>
    <w:rsid w:val="00560270"/>
    <w:rsid w:val="005C2568"/>
    <w:rsid w:val="005F1B17"/>
    <w:rsid w:val="006037C0"/>
    <w:rsid w:val="006139BB"/>
    <w:rsid w:val="006631B6"/>
    <w:rsid w:val="00680577"/>
    <w:rsid w:val="006E3EAF"/>
    <w:rsid w:val="006F74FA"/>
    <w:rsid w:val="00731ADD"/>
    <w:rsid w:val="00734777"/>
    <w:rsid w:val="00747932"/>
    <w:rsid w:val="00751A4A"/>
    <w:rsid w:val="00756632"/>
    <w:rsid w:val="00762C74"/>
    <w:rsid w:val="00786EC0"/>
    <w:rsid w:val="007D1690"/>
    <w:rsid w:val="007E22AD"/>
    <w:rsid w:val="00817416"/>
    <w:rsid w:val="00842779"/>
    <w:rsid w:val="00865F67"/>
    <w:rsid w:val="00881A7B"/>
    <w:rsid w:val="008840E5"/>
    <w:rsid w:val="00887B3E"/>
    <w:rsid w:val="008C2AC6"/>
    <w:rsid w:val="008E5F03"/>
    <w:rsid w:val="00930C23"/>
    <w:rsid w:val="0093193B"/>
    <w:rsid w:val="009509D8"/>
    <w:rsid w:val="00950B64"/>
    <w:rsid w:val="00981893"/>
    <w:rsid w:val="00A1687D"/>
    <w:rsid w:val="00A43E52"/>
    <w:rsid w:val="00A4678D"/>
    <w:rsid w:val="00A778C7"/>
    <w:rsid w:val="00AB441E"/>
    <w:rsid w:val="00AB6293"/>
    <w:rsid w:val="00AE0928"/>
    <w:rsid w:val="00AF3B82"/>
    <w:rsid w:val="00B12E95"/>
    <w:rsid w:val="00B22876"/>
    <w:rsid w:val="00B558F0"/>
    <w:rsid w:val="00B64C31"/>
    <w:rsid w:val="00BD48FE"/>
    <w:rsid w:val="00BD7BD8"/>
    <w:rsid w:val="00BE6ADC"/>
    <w:rsid w:val="00C05BFE"/>
    <w:rsid w:val="00C23CD4"/>
    <w:rsid w:val="00C32AE5"/>
    <w:rsid w:val="00C61C0C"/>
    <w:rsid w:val="00C941CB"/>
    <w:rsid w:val="00CC2357"/>
    <w:rsid w:val="00CF071A"/>
    <w:rsid w:val="00CF2C33"/>
    <w:rsid w:val="00D058B8"/>
    <w:rsid w:val="00D56C11"/>
    <w:rsid w:val="00D834A0"/>
    <w:rsid w:val="00D872DF"/>
    <w:rsid w:val="00D91E21"/>
    <w:rsid w:val="00DA7FCD"/>
    <w:rsid w:val="00E365E1"/>
    <w:rsid w:val="00E820A4"/>
    <w:rsid w:val="00E94875"/>
    <w:rsid w:val="00EB006A"/>
    <w:rsid w:val="00EB4772"/>
    <w:rsid w:val="00ED169E"/>
    <w:rsid w:val="00ED4235"/>
    <w:rsid w:val="00F04346"/>
    <w:rsid w:val="00F075DC"/>
    <w:rsid w:val="00F149E9"/>
    <w:rsid w:val="00F5134D"/>
    <w:rsid w:val="00F74202"/>
    <w:rsid w:val="00F87713"/>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8562C"/>
  <w15:chartTrackingRefBased/>
  <w15:docId w15:val="{4AF162D1-ED9F-45C0-87A2-31C3A0C1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lang w:val="el-GR"/>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semiHidden/>
    <w:rsid w:val="00395FA1"/>
    <w:rPr>
      <w:b w:val="0"/>
      <w:vertAlign w:val="superscript"/>
    </w:rPr>
  </w:style>
  <w:style w:type="paragraph" w:styleId="FootnoteText">
    <w:name w:val="footnote text"/>
    <w:basedOn w:val="Normal"/>
    <w:link w:val="FootnoteTextChar"/>
    <w:semiHidden/>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semiHidden/>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Comma">
    <w:name w:val="EPComma"/>
    <w:basedOn w:val="Normal"/>
    <w:rsid w:val="00344814"/>
    <w:pPr>
      <w:spacing w:before="480" w:after="240"/>
    </w:pPr>
  </w:style>
  <w:style w:type="paragraph" w:customStyle="1" w:styleId="NormalBold">
    <w:name w:val="NormalBold"/>
    <w:basedOn w:val="Normal"/>
    <w:rsid w:val="00344814"/>
    <w:rPr>
      <w:b/>
    </w:rPr>
  </w:style>
  <w:style w:type="paragraph" w:customStyle="1" w:styleId="NormalBold12a">
    <w:name w:val="NormalBold12a"/>
    <w:basedOn w:val="Normal"/>
    <w:rsid w:val="00344814"/>
    <w:pPr>
      <w:spacing w:after="240"/>
    </w:pPr>
    <w:rPr>
      <w:b/>
    </w:rPr>
  </w:style>
  <w:style w:type="paragraph" w:customStyle="1" w:styleId="NormalHanging12a">
    <w:name w:val="NormalHanging12a"/>
    <w:basedOn w:val="Normal"/>
    <w:link w:val="NormalHanging12aChar"/>
    <w:rsid w:val="00344814"/>
    <w:pPr>
      <w:spacing w:after="240"/>
      <w:ind w:left="567" w:hanging="567"/>
    </w:pPr>
  </w:style>
  <w:style w:type="character" w:customStyle="1" w:styleId="NormalHanging12aChar">
    <w:name w:val="NormalHanging12a Char"/>
    <w:basedOn w:val="DefaultParagraphFont"/>
    <w:link w:val="NormalHanging12a"/>
    <w:rsid w:val="00344814"/>
    <w:rPr>
      <w:sz w:val="24"/>
      <w:lang w:val="el-GR"/>
    </w:rPr>
  </w:style>
  <w:style w:type="paragraph" w:styleId="BalloonText">
    <w:name w:val="Balloon Text"/>
    <w:basedOn w:val="Normal"/>
    <w:link w:val="BalloonTextChar"/>
    <w:rsid w:val="00B64C31"/>
    <w:rPr>
      <w:rFonts w:ascii="Segoe UI" w:hAnsi="Segoe UI" w:cs="Segoe UI"/>
      <w:sz w:val="18"/>
      <w:szCs w:val="18"/>
    </w:rPr>
  </w:style>
  <w:style w:type="character" w:customStyle="1" w:styleId="BalloonTextChar">
    <w:name w:val="Balloon Text Char"/>
    <w:basedOn w:val="DefaultParagraphFont"/>
    <w:link w:val="BalloonText"/>
    <w:rsid w:val="00B64C31"/>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FB6D1-D060-4AAB-A150-FD6DC012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1512</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RELFINAL Amalia</dc:creator>
  <cp:keywords/>
  <cp:lastModifiedBy>KOLOKYTHIA Amalia</cp:lastModifiedBy>
  <cp:revision>2</cp:revision>
  <cp:lastPrinted>2004-11-19T15:42:00Z</cp:lastPrinted>
  <dcterms:created xsi:type="dcterms:W3CDTF">2025-06-17T10:56:00Z</dcterms:created>
  <dcterms:modified xsi:type="dcterms:W3CDTF">2025-06-17T10:56:00Z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EL</vt:lpwstr>
  </property>
  <property fmtid="{D5CDD505-2E9C-101B-9397-08002B2CF9AE}" pid="3" name="&lt;FdR&gt;">
    <vt:lpwstr>A10-0102/2025</vt:lpwstr>
  </property>
  <property fmtid="{D5CDD505-2E9C-101B-9397-08002B2CF9AE}" pid="4" name="&lt;Type&gt;">
    <vt:lpwstr>RR</vt:lpwstr>
  </property>
</Properties>
</file>