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5743" w14:paraId="4800490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D5CBDB" w14:textId="77777777" w:rsidR="00751A4A" w:rsidRPr="00C25743" w:rsidRDefault="00D82BCE" w:rsidP="0010095E">
            <w:pPr>
              <w:pStyle w:val="EPName"/>
            </w:pPr>
            <w:r w:rsidRPr="00C25743">
              <w:t>Evropský parlament</w:t>
            </w:r>
          </w:p>
          <w:p w14:paraId="13FA6D19" w14:textId="77777777" w:rsidR="00751A4A" w:rsidRPr="00C2574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5743">
              <w:t>2024</w:t>
            </w:r>
            <w:r w:rsidR="00817416" w:rsidRPr="00C25743">
              <w:t>-202</w:t>
            </w:r>
            <w:r w:rsidRPr="00C25743">
              <w:t>9</w:t>
            </w:r>
          </w:p>
        </w:tc>
        <w:tc>
          <w:tcPr>
            <w:tcW w:w="2268" w:type="dxa"/>
            <w:shd w:val="clear" w:color="auto" w:fill="auto"/>
          </w:tcPr>
          <w:p w14:paraId="09381813" w14:textId="77777777" w:rsidR="00751A4A" w:rsidRPr="00C25743" w:rsidRDefault="00187494" w:rsidP="0010095E">
            <w:pPr>
              <w:pStyle w:val="EPLogo"/>
            </w:pPr>
            <w:r w:rsidRPr="00C25743">
              <w:rPr>
                <w:noProof/>
                <w:lang w:val="en-GB"/>
              </w:rPr>
              <w:drawing>
                <wp:inline distT="0" distB="0" distL="0" distR="0" wp14:anchorId="3B19FD61" wp14:editId="6F1A3BC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FE46E4" w14:textId="77777777" w:rsidR="00D058B8" w:rsidRPr="00C25743" w:rsidRDefault="00D058B8" w:rsidP="004C5D52">
      <w:pPr>
        <w:pStyle w:val="LineTop"/>
      </w:pPr>
    </w:p>
    <w:p w14:paraId="2EF27F42" w14:textId="77777777" w:rsidR="00680577" w:rsidRPr="00C25743" w:rsidRDefault="00D82BCE" w:rsidP="00680577">
      <w:pPr>
        <w:pStyle w:val="EPBodyTA1"/>
      </w:pPr>
      <w:r w:rsidRPr="00C25743">
        <w:t>PŘIJATÉ TEXTY</w:t>
      </w:r>
    </w:p>
    <w:p w14:paraId="2808C611" w14:textId="77777777" w:rsidR="00D058B8" w:rsidRPr="00C25743" w:rsidRDefault="00D058B8" w:rsidP="00D058B8">
      <w:pPr>
        <w:pStyle w:val="LineBottom"/>
      </w:pPr>
    </w:p>
    <w:p w14:paraId="73A351C4" w14:textId="1DC69C28" w:rsidR="00D82BCE" w:rsidRPr="00C25743" w:rsidRDefault="00D82BCE" w:rsidP="00D82BCE">
      <w:pPr>
        <w:pStyle w:val="ATHeading1"/>
      </w:pPr>
      <w:bookmarkStart w:id="0" w:name="TANumber"/>
      <w:r w:rsidRPr="00C25743">
        <w:t>P10_TA(2025)0</w:t>
      </w:r>
      <w:r w:rsidR="00B92539">
        <w:t>12</w:t>
      </w:r>
      <w:r w:rsidRPr="00C25743">
        <w:t>0</w:t>
      </w:r>
      <w:bookmarkEnd w:id="0"/>
    </w:p>
    <w:p w14:paraId="5B84B301" w14:textId="77777777" w:rsidR="00D82BCE" w:rsidRPr="00C25743" w:rsidRDefault="00D82BCE" w:rsidP="00D82BCE">
      <w:pPr>
        <w:pStyle w:val="ATHeading2"/>
      </w:pPr>
      <w:bookmarkStart w:id="1" w:name="title"/>
      <w:r w:rsidRPr="00C25743">
        <w:t>Volební práva mobilních občanů EU ve volbách do Evropského parlamentu</w:t>
      </w:r>
      <w:bookmarkEnd w:id="1"/>
    </w:p>
    <w:p w14:paraId="0CD40F4C" w14:textId="77777777" w:rsidR="00D82BCE" w:rsidRPr="00C25743" w:rsidRDefault="00D82BCE" w:rsidP="00D82BCE">
      <w:pPr>
        <w:rPr>
          <w:i/>
          <w:vanish/>
        </w:rPr>
      </w:pPr>
      <w:r w:rsidRPr="00C25743">
        <w:rPr>
          <w:i/>
        </w:rPr>
        <w:fldChar w:fldCharType="begin"/>
      </w:r>
      <w:r w:rsidRPr="00C25743">
        <w:rPr>
          <w:i/>
        </w:rPr>
        <w:instrText xml:space="preserve"> TC"(</w:instrText>
      </w:r>
      <w:bookmarkStart w:id="2" w:name="DocNumber"/>
      <w:r w:rsidRPr="00C25743">
        <w:rPr>
          <w:i/>
        </w:rPr>
        <w:instrText>A10-0090/2025</w:instrText>
      </w:r>
      <w:bookmarkEnd w:id="2"/>
      <w:r w:rsidRPr="00C25743">
        <w:rPr>
          <w:i/>
        </w:rPr>
        <w:instrText xml:space="preserve"> - Zpravodaj: Sven Simon)"\l3 \n&gt; \* MERGEFORMAT </w:instrText>
      </w:r>
      <w:r w:rsidRPr="00C25743">
        <w:rPr>
          <w:i/>
        </w:rPr>
        <w:fldChar w:fldCharType="end"/>
      </w:r>
    </w:p>
    <w:p w14:paraId="3E5B9998" w14:textId="77777777" w:rsidR="00D82BCE" w:rsidRPr="00C25743" w:rsidRDefault="00D82BCE" w:rsidP="00D82BCE">
      <w:pPr>
        <w:rPr>
          <w:vanish/>
        </w:rPr>
      </w:pPr>
      <w:bookmarkStart w:id="3" w:name="Commission"/>
      <w:r w:rsidRPr="00C25743">
        <w:rPr>
          <w:vanish/>
        </w:rPr>
        <w:t>Výbor pro ústavní záležitosti</w:t>
      </w:r>
      <w:bookmarkEnd w:id="3"/>
    </w:p>
    <w:p w14:paraId="5B2044E4" w14:textId="77777777" w:rsidR="00D82BCE" w:rsidRPr="00C25743" w:rsidRDefault="00D82BCE" w:rsidP="00D82BCE">
      <w:pPr>
        <w:rPr>
          <w:vanish/>
        </w:rPr>
      </w:pPr>
      <w:bookmarkStart w:id="4" w:name="PE"/>
      <w:r w:rsidRPr="00C25743">
        <w:rPr>
          <w:vanish/>
        </w:rPr>
        <w:t>PE767.903</w:t>
      </w:r>
      <w:bookmarkEnd w:id="4"/>
    </w:p>
    <w:p w14:paraId="7FFFD583" w14:textId="77777777" w:rsidR="00D82BCE" w:rsidRPr="00C25743" w:rsidRDefault="00D82BCE" w:rsidP="00D82BCE">
      <w:pPr>
        <w:pStyle w:val="ATHeading3"/>
      </w:pPr>
      <w:bookmarkStart w:id="5" w:name="Sujet"/>
      <w:r w:rsidRPr="00C25743">
        <w:t>Legislativní usnesení Evropského parlamentu ze dne 17. června 2025 o návrhu směrnice Rady, kterou se stanoví pravidla pro výkon práva volit a být volen ve volbách do Evropského parlamentu občanů Unie, kteří mají bydliště v některém členském státě a nejsou jeho státními příslušníky (přepracované znění)</w:t>
      </w:r>
      <w:bookmarkEnd w:id="5"/>
      <w:r w:rsidRPr="00C25743">
        <w:t xml:space="preserve"> </w:t>
      </w:r>
      <w:bookmarkStart w:id="6" w:name="References"/>
      <w:r w:rsidRPr="00C25743">
        <w:t>(09789/2024 – C10-0001/</w:t>
      </w:r>
      <w:proofErr w:type="gramStart"/>
      <w:r w:rsidRPr="00C25743">
        <w:t>2024 – 2021</w:t>
      </w:r>
      <w:proofErr w:type="gramEnd"/>
      <w:r w:rsidRPr="00C25743">
        <w:t>/0372(CNS))</w:t>
      </w:r>
      <w:bookmarkEnd w:id="6"/>
    </w:p>
    <w:p w14:paraId="65A742CB" w14:textId="7B6DC7D5" w:rsidR="00A27F2D" w:rsidRPr="00C25743" w:rsidRDefault="00A27F2D" w:rsidP="00A27F2D">
      <w:pPr>
        <w:pStyle w:val="NormalBold"/>
      </w:pPr>
      <w:r w:rsidRPr="00C25743">
        <w:t xml:space="preserve">(Zvláštní legislativní postup – </w:t>
      </w:r>
      <w:r w:rsidR="000435AB">
        <w:t xml:space="preserve">opětovná </w:t>
      </w:r>
      <w:r w:rsidRPr="00C25743">
        <w:t>konzultace – přepracování)</w:t>
      </w:r>
    </w:p>
    <w:p w14:paraId="5CBA4E7F" w14:textId="77777777" w:rsidR="00A27F2D" w:rsidRPr="00C25743" w:rsidRDefault="00A27F2D" w:rsidP="00A27F2D">
      <w:pPr>
        <w:pStyle w:val="EPComma"/>
      </w:pPr>
      <w:r w:rsidRPr="00C25743">
        <w:rPr>
          <w:i/>
        </w:rPr>
        <w:t>Evropský parlament</w:t>
      </w:r>
      <w:r w:rsidRPr="00C25743">
        <w:t>,</w:t>
      </w:r>
    </w:p>
    <w:p w14:paraId="7262356D" w14:textId="77777777" w:rsidR="00A27F2D" w:rsidRPr="00C25743" w:rsidRDefault="00A27F2D" w:rsidP="00A27F2D">
      <w:pPr>
        <w:pStyle w:val="NormalHanging12a"/>
      </w:pPr>
      <w:r w:rsidRPr="00C25743">
        <w:t>–</w:t>
      </w:r>
      <w:r w:rsidRPr="00C25743">
        <w:tab/>
        <w:t>s ohledem na návrh Rady (09789/2024),</w:t>
      </w:r>
    </w:p>
    <w:p w14:paraId="3CA887E4" w14:textId="77777777" w:rsidR="00A27F2D" w:rsidRDefault="00A27F2D" w:rsidP="00A27F2D">
      <w:pPr>
        <w:pStyle w:val="NormalHanging12a"/>
      </w:pPr>
      <w:r w:rsidRPr="00C25743">
        <w:t>–</w:t>
      </w:r>
      <w:r w:rsidRPr="00C25743">
        <w:tab/>
        <w:t>s ohledem na návrh Komise předložený Radě (</w:t>
      </w:r>
      <w:proofErr w:type="gramStart"/>
      <w:r w:rsidRPr="00C25743">
        <w:t>COM(</w:t>
      </w:r>
      <w:proofErr w:type="gramEnd"/>
      <w:r w:rsidRPr="00C25743">
        <w:t>2021)0732),</w:t>
      </w:r>
    </w:p>
    <w:p w14:paraId="351BF171" w14:textId="3DC734AB" w:rsidR="007C3718" w:rsidRPr="00C25743" w:rsidRDefault="007C3718" w:rsidP="007F5B45">
      <w:pPr>
        <w:pStyle w:val="NormalHanging12a"/>
        <w:numPr>
          <w:ilvl w:val="0"/>
          <w:numId w:val="45"/>
        </w:numPr>
        <w:ind w:left="567" w:hanging="567"/>
      </w:pPr>
      <w:r>
        <w:t>s ohledem na svůj postoj ze dne 14. února 2023</w:t>
      </w:r>
      <w:r>
        <w:rPr>
          <w:rStyle w:val="FootnoteReference"/>
        </w:rPr>
        <w:footnoteReference w:id="1"/>
      </w:r>
      <w:r>
        <w:t>,</w:t>
      </w:r>
    </w:p>
    <w:p w14:paraId="287201E2" w14:textId="2F5CC4C2" w:rsidR="00A27F2D" w:rsidRPr="00C25743" w:rsidRDefault="00A27F2D" w:rsidP="00A27F2D">
      <w:pPr>
        <w:pStyle w:val="NormalHanging12a"/>
      </w:pPr>
      <w:r w:rsidRPr="00C25743">
        <w:t>–</w:t>
      </w:r>
      <w:r w:rsidRPr="00C25743">
        <w:tab/>
        <w:t xml:space="preserve">s ohledem na čl. 22 odst. 2 Smlouvy o fungování Evropské unie, podle kterého Rada </w:t>
      </w:r>
      <w:r w:rsidR="00337DBD">
        <w:t xml:space="preserve">znovu </w:t>
      </w:r>
      <w:r w:rsidRPr="00C25743">
        <w:t>konzultovala návrh s Parlamentem (C10-0001/2024),</w:t>
      </w:r>
    </w:p>
    <w:p w14:paraId="38BEFC97" w14:textId="77777777" w:rsidR="00A27F2D" w:rsidRPr="00C25743" w:rsidRDefault="00A27F2D" w:rsidP="00A27F2D">
      <w:pPr>
        <w:pStyle w:val="NormalHanging12a"/>
      </w:pPr>
      <w:r w:rsidRPr="00C25743">
        <w:t>–</w:t>
      </w:r>
      <w:r w:rsidRPr="00C25743">
        <w:tab/>
        <w:t>s ohledem na interinstitucionální dohodu ze dne 28. listopadu 2001 o systematičtějším využívání metody přepracování právních aktů</w:t>
      </w:r>
      <w:r w:rsidRPr="00C25743">
        <w:rPr>
          <w:rStyle w:val="FootnoteReference"/>
        </w:rPr>
        <w:footnoteReference w:id="2"/>
      </w:r>
      <w:r w:rsidRPr="00C25743">
        <w:t>,</w:t>
      </w:r>
    </w:p>
    <w:p w14:paraId="11ECFD42" w14:textId="77777777" w:rsidR="00A27F2D" w:rsidRPr="00C25743" w:rsidRDefault="00A27F2D" w:rsidP="00A27F2D">
      <w:pPr>
        <w:pStyle w:val="NormalHanging12a"/>
      </w:pPr>
      <w:r w:rsidRPr="00C25743">
        <w:t>–</w:t>
      </w:r>
      <w:r w:rsidRPr="00C25743">
        <w:tab/>
        <w:t>s ohledem na dopis, který dne 8. listopadu 2022 zaslal Výbor pro právní záležitosti Výboru pro ústavní záležitosti podle čl. 113 odst. 3 jednacího řádu,</w:t>
      </w:r>
    </w:p>
    <w:p w14:paraId="4BBC7CA1" w14:textId="26ECD0F1" w:rsidR="00A27F2D" w:rsidRPr="00C25743" w:rsidRDefault="00A27F2D" w:rsidP="00A27F2D">
      <w:pPr>
        <w:pStyle w:val="NormalHanging12a"/>
      </w:pPr>
      <w:r w:rsidRPr="00C25743">
        <w:t>–</w:t>
      </w:r>
      <w:r w:rsidRPr="00C25743">
        <w:tab/>
        <w:t>s ohledem na články 113</w:t>
      </w:r>
      <w:r w:rsidR="00FB68B2">
        <w:t>,</w:t>
      </w:r>
      <w:r w:rsidRPr="00C25743">
        <w:t> 84</w:t>
      </w:r>
      <w:r w:rsidR="00FB68B2">
        <w:t xml:space="preserve"> a 86</w:t>
      </w:r>
      <w:r w:rsidRPr="00C25743">
        <w:t xml:space="preserve"> jednacího řádu,</w:t>
      </w:r>
    </w:p>
    <w:p w14:paraId="19061A69" w14:textId="77777777" w:rsidR="00A27F2D" w:rsidRPr="00C25743" w:rsidRDefault="00A27F2D" w:rsidP="00A27F2D">
      <w:pPr>
        <w:pStyle w:val="NormalHanging12a"/>
      </w:pPr>
      <w:r w:rsidRPr="00C25743">
        <w:t>–</w:t>
      </w:r>
      <w:r w:rsidRPr="00C25743">
        <w:tab/>
        <w:t>s ohledem na dopis Výboru pro občanské svobody, spravedlnost a vnitřní věci,</w:t>
      </w:r>
    </w:p>
    <w:p w14:paraId="1A2FF388" w14:textId="77777777" w:rsidR="00A27F2D" w:rsidRPr="00C25743" w:rsidRDefault="00A27F2D" w:rsidP="00A27F2D">
      <w:pPr>
        <w:pStyle w:val="NormalHanging12a"/>
      </w:pPr>
      <w:r w:rsidRPr="00C25743">
        <w:t>–</w:t>
      </w:r>
      <w:r w:rsidRPr="00C25743">
        <w:tab/>
        <w:t>s ohledem na zprávu Výboru pro ústavní záležitosti (A10-0090/2025),</w:t>
      </w:r>
    </w:p>
    <w:p w14:paraId="3C9E6386" w14:textId="66188584" w:rsidR="00A27F2D" w:rsidRPr="00C25743" w:rsidRDefault="00A27F2D" w:rsidP="00A27F2D">
      <w:pPr>
        <w:pStyle w:val="NormalHanging12a"/>
      </w:pPr>
      <w:r w:rsidRPr="00C25743">
        <w:t>A.</w:t>
      </w:r>
      <w:r w:rsidRPr="00C25743">
        <w:tab/>
        <w:t xml:space="preserve">vzhledem k tomu, že podle poradní skupiny složené z právních služeb Evropského parlamentu, Rady a Komise návrh Komise </w:t>
      </w:r>
      <w:r w:rsidR="00337DBD" w:rsidRPr="00C25743">
        <w:t xml:space="preserve">neobsahuje </w:t>
      </w:r>
      <w:r w:rsidRPr="00C25743">
        <w:t xml:space="preserve">žádnou věcnou změnu kromě těch, které v něm byly jako takové označeny, a vzhledem k tomu, že pokud jde </w:t>
      </w:r>
      <w:r w:rsidRPr="00C25743">
        <w:lastRenderedPageBreak/>
        <w:t>o nezměněná ustanovení stávajících znění, je návrh jejich prostou kodifikací bez jakékoli změny jejich věcného obsahu;</w:t>
      </w:r>
    </w:p>
    <w:p w14:paraId="235CF196" w14:textId="73662B7B" w:rsidR="00A27F2D" w:rsidRPr="00C25743" w:rsidRDefault="00A27F2D" w:rsidP="00A27F2D">
      <w:pPr>
        <w:pStyle w:val="NormalHanging12a"/>
      </w:pPr>
      <w:r w:rsidRPr="00C25743">
        <w:t>1.</w:t>
      </w:r>
      <w:r w:rsidRPr="00C25743">
        <w:tab/>
        <w:t>schvaluje návrh Rady ve znění upraveném podle doporučení poradní skupiny složené z právních služeb Evropského parlamentu, Rady a Komise;</w:t>
      </w:r>
    </w:p>
    <w:p w14:paraId="3FACBC2B" w14:textId="28FE79C7" w:rsidR="00A27F2D" w:rsidRPr="00C25743" w:rsidRDefault="00A27F2D" w:rsidP="00A27F2D">
      <w:pPr>
        <w:pStyle w:val="NormalHanging12a"/>
      </w:pPr>
      <w:r w:rsidRPr="00C25743">
        <w:t>2.</w:t>
      </w:r>
      <w:r w:rsidRPr="00C25743">
        <w:tab/>
        <w:t>vyjadřuje hluboké politování nad tím, že Rada se</w:t>
      </w:r>
      <w:r w:rsidR="000351B1">
        <w:t>,</w:t>
      </w:r>
      <w:r w:rsidRPr="00C25743">
        <w:t xml:space="preserve"> ač je to formálně v souladu s čl. 22 odst. 2 S</w:t>
      </w:r>
      <w:r w:rsidR="003358FB">
        <w:t xml:space="preserve">mlouvy o fungování </w:t>
      </w:r>
      <w:r w:rsidRPr="00C25743">
        <w:t>E</w:t>
      </w:r>
      <w:r w:rsidR="003358FB">
        <w:t>vropské unie</w:t>
      </w:r>
      <w:r w:rsidR="000351B1">
        <w:t>,</w:t>
      </w:r>
      <w:r w:rsidRPr="00C25743">
        <w:t xml:space="preserve"> obsahem stanoviska Parlamentu nijak smysluplně nezabývala; poukazuje na to, že tato praxe je příznačná pro širší trend posledních let, kdy Rada a Evropská rada odmítají v řadě probíhajících zvláštních legislativních postupů </w:t>
      </w:r>
      <w:r w:rsidR="005E0DB7" w:rsidRPr="00C25743">
        <w:t xml:space="preserve">spolupracovat </w:t>
      </w:r>
      <w:r w:rsidRPr="00C25743">
        <w:t>konstruktivně a v dobré víře; připomíná doporučení obsažená ve zprávě Parlamentu ze dne 13. prosince 2023 a znovu vyzývá Radu a Evropskou radu, aby konstruktivně spolupracovaly na hledání politických řešení, která budou fungovat v zájmu evropských občanů;</w:t>
      </w:r>
    </w:p>
    <w:p w14:paraId="60BB8BB2" w14:textId="77777777" w:rsidR="00A27F2D" w:rsidRPr="00C25743" w:rsidRDefault="00A27F2D" w:rsidP="00A27F2D">
      <w:pPr>
        <w:pStyle w:val="NormalHanging12a"/>
      </w:pPr>
      <w:r w:rsidRPr="00C25743">
        <w:t>3.</w:t>
      </w:r>
      <w:r w:rsidRPr="00C25743">
        <w:tab/>
        <w:t>vyzývá Radu, aby informovala Parlament, bude-li mít v úmyslu odchýlit se od znění schváleného Parlamentem;</w:t>
      </w:r>
    </w:p>
    <w:p w14:paraId="15EB0FD9" w14:textId="4592875B" w:rsidR="00A27F2D" w:rsidRPr="00C25743" w:rsidRDefault="00A27F2D" w:rsidP="00A27F2D">
      <w:pPr>
        <w:pStyle w:val="NormalHanging12a"/>
      </w:pPr>
      <w:r w:rsidRPr="00C25743">
        <w:t>4.</w:t>
      </w:r>
      <w:r w:rsidRPr="00C25743">
        <w:tab/>
        <w:t xml:space="preserve">vyzývá Radu, aby znovu konzultovala s Parlamentem, bude-li mít v úmyslu </w:t>
      </w:r>
      <w:r w:rsidR="00554896">
        <w:t xml:space="preserve">svůj návrh </w:t>
      </w:r>
      <w:r w:rsidRPr="00C25743">
        <w:t>podstatně změnit;</w:t>
      </w:r>
    </w:p>
    <w:p w14:paraId="75CBA5AF" w14:textId="215F9384" w:rsidR="00DB192E" w:rsidRPr="00C25743" w:rsidRDefault="00A27F2D" w:rsidP="00DB192E">
      <w:pPr>
        <w:pStyle w:val="NormalHanging12a"/>
      </w:pPr>
      <w:r w:rsidRPr="00C25743">
        <w:t>5.</w:t>
      </w:r>
      <w:r w:rsidRPr="00C25743">
        <w:tab/>
        <w:t>pověřuje svou předsedkyni, aby předala postoj Parlamentu Radě</w:t>
      </w:r>
      <w:r w:rsidR="005B2707">
        <w:t xml:space="preserve"> a</w:t>
      </w:r>
      <w:r w:rsidRPr="00C25743">
        <w:t xml:space="preserve"> Komisi, jakož i vnitrostátním parlamentům.</w:t>
      </w:r>
    </w:p>
    <w:p w14:paraId="4D29ECE0" w14:textId="4F46D7AE" w:rsidR="00E365E1" w:rsidRPr="00C25743" w:rsidRDefault="00E365E1" w:rsidP="00D82BCE"/>
    <w:sectPr w:rsidR="00E365E1" w:rsidRPr="00C25743" w:rsidSect="00DB192E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52D8F" w14:textId="77777777" w:rsidR="00D82BCE" w:rsidRPr="00DB192E" w:rsidRDefault="00D82BCE">
      <w:r w:rsidRPr="00DB192E">
        <w:separator/>
      </w:r>
    </w:p>
  </w:endnote>
  <w:endnote w:type="continuationSeparator" w:id="0">
    <w:p w14:paraId="1A813212" w14:textId="77777777" w:rsidR="00D82BCE" w:rsidRPr="00DB192E" w:rsidRDefault="00D82BCE">
      <w:r w:rsidRPr="00DB19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D0CFE" w14:textId="77777777" w:rsidR="00D82BCE" w:rsidRPr="00DB192E" w:rsidRDefault="00D82BCE">
      <w:r w:rsidRPr="00DB192E">
        <w:separator/>
      </w:r>
    </w:p>
  </w:footnote>
  <w:footnote w:type="continuationSeparator" w:id="0">
    <w:p w14:paraId="01637647" w14:textId="77777777" w:rsidR="00D82BCE" w:rsidRPr="00DB192E" w:rsidRDefault="00D82BCE">
      <w:r w:rsidRPr="00DB192E">
        <w:continuationSeparator/>
      </w:r>
    </w:p>
  </w:footnote>
  <w:footnote w:id="1">
    <w:p w14:paraId="1E3C4C0E" w14:textId="1B632A60" w:rsidR="007C3718" w:rsidRPr="00984498" w:rsidRDefault="007C3718" w:rsidP="007C3718">
      <w:pPr>
        <w:pStyle w:val="FootnoteText"/>
        <w:ind w:left="567" w:hanging="567"/>
        <w:rPr>
          <w:sz w:val="24"/>
          <w:lang w:val="en-GB"/>
        </w:rPr>
      </w:pPr>
      <w:r w:rsidRPr="00984498">
        <w:rPr>
          <w:rStyle w:val="FootnoteReference"/>
          <w:sz w:val="24"/>
        </w:rPr>
        <w:footnoteRef/>
      </w:r>
      <w:r w:rsidRPr="00984498">
        <w:rPr>
          <w:sz w:val="24"/>
        </w:rPr>
        <w:tab/>
      </w:r>
      <w:proofErr w:type="spellStart"/>
      <w:r w:rsidRPr="00DB192E">
        <w:rPr>
          <w:sz w:val="24"/>
          <w:lang w:val="cs-CZ"/>
        </w:rPr>
        <w:t>Úř</w:t>
      </w:r>
      <w:proofErr w:type="spellEnd"/>
      <w:r w:rsidRPr="00DB192E">
        <w:rPr>
          <w:sz w:val="24"/>
          <w:lang w:val="cs-CZ"/>
        </w:rPr>
        <w:t xml:space="preserve">. </w:t>
      </w:r>
      <w:proofErr w:type="spellStart"/>
      <w:r w:rsidRPr="00DB192E">
        <w:rPr>
          <w:sz w:val="24"/>
          <w:lang w:val="cs-CZ"/>
        </w:rPr>
        <w:t>věst</w:t>
      </w:r>
      <w:proofErr w:type="spellEnd"/>
      <w:r w:rsidRPr="00DB192E">
        <w:rPr>
          <w:sz w:val="24"/>
          <w:lang w:val="cs-CZ"/>
        </w:rPr>
        <w:t xml:space="preserve">. </w:t>
      </w:r>
      <w:r w:rsidRPr="004B3437">
        <w:rPr>
          <w:sz w:val="24"/>
        </w:rPr>
        <w:t xml:space="preserve">C 283, 11.8.2023, </w:t>
      </w:r>
      <w:r>
        <w:rPr>
          <w:sz w:val="24"/>
        </w:rPr>
        <w:t>s</w:t>
      </w:r>
      <w:r w:rsidRPr="004B3437">
        <w:rPr>
          <w:sz w:val="24"/>
        </w:rPr>
        <w:t>. 76</w:t>
      </w:r>
      <w:r>
        <w:rPr>
          <w:sz w:val="24"/>
        </w:rPr>
        <w:t>.</w:t>
      </w:r>
    </w:p>
  </w:footnote>
  <w:footnote w:id="2">
    <w:p w14:paraId="2FC1ACCF" w14:textId="04794C6A" w:rsidR="00A27F2D" w:rsidRPr="00DB192E" w:rsidRDefault="00A27F2D" w:rsidP="00DB192E">
      <w:pPr>
        <w:pStyle w:val="FootnoteText"/>
        <w:ind w:left="567" w:hanging="567"/>
        <w:rPr>
          <w:sz w:val="24"/>
          <w:lang w:val="cs-CZ"/>
        </w:rPr>
      </w:pPr>
      <w:r w:rsidRPr="00DB192E">
        <w:rPr>
          <w:rStyle w:val="FootnoteReference"/>
          <w:sz w:val="24"/>
          <w:lang w:val="cs-CZ"/>
        </w:rPr>
        <w:footnoteRef/>
      </w:r>
      <w:r w:rsidR="00DB192E" w:rsidRPr="00DB192E">
        <w:rPr>
          <w:sz w:val="24"/>
          <w:lang w:val="cs-CZ"/>
        </w:rPr>
        <w:t xml:space="preserve"> </w:t>
      </w:r>
      <w:r w:rsidR="00DB192E" w:rsidRPr="00DB192E">
        <w:rPr>
          <w:sz w:val="24"/>
          <w:lang w:val="cs-CZ"/>
        </w:rPr>
        <w:tab/>
      </w:r>
      <w:proofErr w:type="spellStart"/>
      <w:r w:rsidRPr="00DB192E">
        <w:rPr>
          <w:sz w:val="24"/>
          <w:lang w:val="cs-CZ"/>
        </w:rPr>
        <w:t>Úř</w:t>
      </w:r>
      <w:proofErr w:type="spellEnd"/>
      <w:r w:rsidRPr="00DB192E">
        <w:rPr>
          <w:sz w:val="24"/>
          <w:lang w:val="cs-CZ"/>
        </w:rPr>
        <w:t xml:space="preserve">. </w:t>
      </w:r>
      <w:proofErr w:type="spellStart"/>
      <w:r w:rsidRPr="00DB192E">
        <w:rPr>
          <w:sz w:val="24"/>
          <w:lang w:val="cs-CZ"/>
        </w:rPr>
        <w:t>věst</w:t>
      </w:r>
      <w:proofErr w:type="spellEnd"/>
      <w:r w:rsidRPr="00DB192E">
        <w:rPr>
          <w:sz w:val="24"/>
          <w:lang w:val="cs-CZ"/>
        </w:rPr>
        <w:t>. C 77, 28.3.2002, s. 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63921850"/>
    <w:multiLevelType w:val="hybridMultilevel"/>
    <w:tmpl w:val="5DE2282C"/>
    <w:lvl w:ilvl="0" w:tplc="BBE25C6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506446">
    <w:abstractNumId w:val="9"/>
  </w:num>
  <w:num w:numId="2" w16cid:durableId="1915236080">
    <w:abstractNumId w:val="9"/>
  </w:num>
  <w:num w:numId="3" w16cid:durableId="1488009932">
    <w:abstractNumId w:val="7"/>
  </w:num>
  <w:num w:numId="4" w16cid:durableId="798911830">
    <w:abstractNumId w:val="7"/>
  </w:num>
  <w:num w:numId="5" w16cid:durableId="1615601615">
    <w:abstractNumId w:val="6"/>
  </w:num>
  <w:num w:numId="6" w16cid:durableId="318001581">
    <w:abstractNumId w:val="6"/>
  </w:num>
  <w:num w:numId="7" w16cid:durableId="1383292755">
    <w:abstractNumId w:val="5"/>
  </w:num>
  <w:num w:numId="8" w16cid:durableId="1723138054">
    <w:abstractNumId w:val="5"/>
  </w:num>
  <w:num w:numId="9" w16cid:durableId="999692605">
    <w:abstractNumId w:val="4"/>
  </w:num>
  <w:num w:numId="10" w16cid:durableId="320892746">
    <w:abstractNumId w:val="4"/>
  </w:num>
  <w:num w:numId="11" w16cid:durableId="853692810">
    <w:abstractNumId w:val="8"/>
  </w:num>
  <w:num w:numId="12" w16cid:durableId="1825853146">
    <w:abstractNumId w:val="8"/>
  </w:num>
  <w:num w:numId="13" w16cid:durableId="1899124069">
    <w:abstractNumId w:val="3"/>
  </w:num>
  <w:num w:numId="14" w16cid:durableId="1502430243">
    <w:abstractNumId w:val="3"/>
  </w:num>
  <w:num w:numId="15" w16cid:durableId="1760755924">
    <w:abstractNumId w:val="2"/>
  </w:num>
  <w:num w:numId="16" w16cid:durableId="1658534706">
    <w:abstractNumId w:val="2"/>
  </w:num>
  <w:num w:numId="17" w16cid:durableId="373232267">
    <w:abstractNumId w:val="1"/>
  </w:num>
  <w:num w:numId="18" w16cid:durableId="1492063171">
    <w:abstractNumId w:val="1"/>
  </w:num>
  <w:num w:numId="19" w16cid:durableId="1486170028">
    <w:abstractNumId w:val="0"/>
  </w:num>
  <w:num w:numId="20" w16cid:durableId="1811364843">
    <w:abstractNumId w:val="0"/>
  </w:num>
  <w:num w:numId="21" w16cid:durableId="1079137320">
    <w:abstractNumId w:val="9"/>
  </w:num>
  <w:num w:numId="22" w16cid:durableId="1282416524">
    <w:abstractNumId w:val="7"/>
  </w:num>
  <w:num w:numId="23" w16cid:durableId="1814178924">
    <w:abstractNumId w:val="6"/>
  </w:num>
  <w:num w:numId="24" w16cid:durableId="667102542">
    <w:abstractNumId w:val="5"/>
  </w:num>
  <w:num w:numId="25" w16cid:durableId="1355618332">
    <w:abstractNumId w:val="4"/>
  </w:num>
  <w:num w:numId="26" w16cid:durableId="288975915">
    <w:abstractNumId w:val="8"/>
  </w:num>
  <w:num w:numId="27" w16cid:durableId="733940519">
    <w:abstractNumId w:val="3"/>
  </w:num>
  <w:num w:numId="28" w16cid:durableId="1794208848">
    <w:abstractNumId w:val="2"/>
  </w:num>
  <w:num w:numId="29" w16cid:durableId="898131781">
    <w:abstractNumId w:val="1"/>
  </w:num>
  <w:num w:numId="30" w16cid:durableId="2018313857">
    <w:abstractNumId w:val="0"/>
  </w:num>
  <w:num w:numId="31" w16cid:durableId="1078408396">
    <w:abstractNumId w:val="9"/>
  </w:num>
  <w:num w:numId="32" w16cid:durableId="1951693661">
    <w:abstractNumId w:val="7"/>
  </w:num>
  <w:num w:numId="33" w16cid:durableId="1355572588">
    <w:abstractNumId w:val="6"/>
  </w:num>
  <w:num w:numId="34" w16cid:durableId="1629316166">
    <w:abstractNumId w:val="5"/>
  </w:num>
  <w:num w:numId="35" w16cid:durableId="931083365">
    <w:abstractNumId w:val="4"/>
  </w:num>
  <w:num w:numId="36" w16cid:durableId="913591655">
    <w:abstractNumId w:val="8"/>
  </w:num>
  <w:num w:numId="37" w16cid:durableId="1954903509">
    <w:abstractNumId w:val="3"/>
  </w:num>
  <w:num w:numId="38" w16cid:durableId="552498456">
    <w:abstractNumId w:val="2"/>
  </w:num>
  <w:num w:numId="39" w16cid:durableId="644894465">
    <w:abstractNumId w:val="1"/>
  </w:num>
  <w:num w:numId="40" w16cid:durableId="559248060">
    <w:abstractNumId w:val="0"/>
  </w:num>
  <w:num w:numId="41" w16cid:durableId="308293406">
    <w:abstractNumId w:val="10"/>
  </w:num>
  <w:num w:numId="42" w16cid:durableId="677999613">
    <w:abstractNumId w:val="10"/>
  </w:num>
  <w:num w:numId="43" w16cid:durableId="1076053019">
    <w:abstractNumId w:val="10"/>
  </w:num>
  <w:num w:numId="44" w16cid:durableId="1241331925">
    <w:abstractNumId w:val="11"/>
  </w:num>
  <w:num w:numId="45" w16cid:durableId="64428507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0/2025"/>
    <w:docVar w:name="dvlangue" w:val="CS"/>
    <w:docVar w:name="dvnumam" w:val="0"/>
    <w:docVar w:name="dvpe" w:val="767.903"/>
    <w:docVar w:name="dvrapporteur" w:val="Zpravodaj: "/>
    <w:docVar w:name="dvstar" w:val="*"/>
    <w:docVar w:name="dvtitre" w:val="Legislativní usnesení Evropského parlamentu ze dne 17. června 2025 o návrhu směrnice Rady, kterou se stanoví pravidla pro výkon práva volit a být volen ve volbách do Evropského parlamentu občanů Unie, kteří mají bydliště v některém členském státě a nejsou jeho státními příslušníky (přepracované znění)(09789/2024 – C10-0001/2024 – 2021/0372(CNS))"/>
  </w:docVars>
  <w:rsids>
    <w:rsidRoot w:val="00D82BCE"/>
    <w:rsid w:val="00002272"/>
    <w:rsid w:val="000351B1"/>
    <w:rsid w:val="000435A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58FB"/>
    <w:rsid w:val="00337DB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4896"/>
    <w:rsid w:val="00560270"/>
    <w:rsid w:val="005B2707"/>
    <w:rsid w:val="005C2568"/>
    <w:rsid w:val="005E0DB7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3718"/>
    <w:rsid w:val="007D1690"/>
    <w:rsid w:val="007E22AD"/>
    <w:rsid w:val="007F5B45"/>
    <w:rsid w:val="00817416"/>
    <w:rsid w:val="00842779"/>
    <w:rsid w:val="00865F67"/>
    <w:rsid w:val="00881A7B"/>
    <w:rsid w:val="008840E5"/>
    <w:rsid w:val="00887B3E"/>
    <w:rsid w:val="008C2AC6"/>
    <w:rsid w:val="00901E26"/>
    <w:rsid w:val="00930C23"/>
    <w:rsid w:val="0093193B"/>
    <w:rsid w:val="009509D8"/>
    <w:rsid w:val="00950B64"/>
    <w:rsid w:val="00981893"/>
    <w:rsid w:val="00A1687D"/>
    <w:rsid w:val="00A2689E"/>
    <w:rsid w:val="00A27F2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2539"/>
    <w:rsid w:val="00BD48FE"/>
    <w:rsid w:val="00BD7BD8"/>
    <w:rsid w:val="00BE6ADC"/>
    <w:rsid w:val="00C05BFE"/>
    <w:rsid w:val="00C23CD4"/>
    <w:rsid w:val="00C25743"/>
    <w:rsid w:val="00C61C0C"/>
    <w:rsid w:val="00C941CB"/>
    <w:rsid w:val="00CC2357"/>
    <w:rsid w:val="00CF071A"/>
    <w:rsid w:val="00D058B8"/>
    <w:rsid w:val="00D240D9"/>
    <w:rsid w:val="00D56C11"/>
    <w:rsid w:val="00D82BCE"/>
    <w:rsid w:val="00D834A0"/>
    <w:rsid w:val="00D872DF"/>
    <w:rsid w:val="00D91E21"/>
    <w:rsid w:val="00DA7FCD"/>
    <w:rsid w:val="00DB192E"/>
    <w:rsid w:val="00E365E1"/>
    <w:rsid w:val="00E820A4"/>
    <w:rsid w:val="00EB006A"/>
    <w:rsid w:val="00EB4772"/>
    <w:rsid w:val="00ED169E"/>
    <w:rsid w:val="00ED4235"/>
    <w:rsid w:val="00EE6B93"/>
    <w:rsid w:val="00F04346"/>
    <w:rsid w:val="00F075DC"/>
    <w:rsid w:val="00F149E9"/>
    <w:rsid w:val="00F5134D"/>
    <w:rsid w:val="00F74202"/>
    <w:rsid w:val="00F85778"/>
    <w:rsid w:val="00F87713"/>
    <w:rsid w:val="00FB4360"/>
    <w:rsid w:val="00FB68B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ECC7EE"/>
  <w15:chartTrackingRefBased/>
  <w15:docId w15:val="{641D6BA6-0CFF-41BD-840D-54D3514BB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A27F2D"/>
    <w:rPr>
      <w:b/>
    </w:rPr>
  </w:style>
  <w:style w:type="paragraph" w:customStyle="1" w:styleId="NormalHanging12a">
    <w:name w:val="NormalHanging12a"/>
    <w:basedOn w:val="Normal"/>
    <w:link w:val="NormalHanging12aChar"/>
    <w:rsid w:val="00A27F2D"/>
    <w:pPr>
      <w:spacing w:after="240"/>
      <w:ind w:left="567" w:hanging="567"/>
    </w:pPr>
  </w:style>
  <w:style w:type="paragraph" w:customStyle="1" w:styleId="EPComma">
    <w:name w:val="EPComma"/>
    <w:basedOn w:val="Normal"/>
    <w:rsid w:val="00A27F2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A27F2D"/>
    <w:rPr>
      <w:sz w:val="24"/>
      <w:lang w:val="cs-CZ"/>
    </w:rPr>
  </w:style>
  <w:style w:type="character" w:styleId="CommentReference">
    <w:name w:val="annotation reference"/>
    <w:basedOn w:val="DefaultParagraphFont"/>
    <w:rsid w:val="003358FB"/>
    <w:rPr>
      <w:sz w:val="16"/>
      <w:szCs w:val="16"/>
    </w:rPr>
  </w:style>
  <w:style w:type="paragraph" w:styleId="CommentText">
    <w:name w:val="annotation text"/>
    <w:basedOn w:val="Normal"/>
    <w:link w:val="CommentTextChar"/>
    <w:rsid w:val="003358F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358FB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3358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358FB"/>
    <w:rPr>
      <w:b/>
      <w:bCs/>
      <w:lang w:val="cs-CZ"/>
    </w:rPr>
  </w:style>
  <w:style w:type="paragraph" w:styleId="Revision">
    <w:name w:val="Revision"/>
    <w:hidden/>
    <w:uiPriority w:val="99"/>
    <w:semiHidden/>
    <w:rsid w:val="003358FB"/>
    <w:rPr>
      <w:sz w:val="24"/>
      <w:lang w:val="cs-CZ"/>
    </w:rPr>
  </w:style>
  <w:style w:type="paragraph" w:styleId="BalloonText">
    <w:name w:val="Balloon Text"/>
    <w:basedOn w:val="Normal"/>
    <w:link w:val="BalloonTextChar"/>
    <w:rsid w:val="000351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51B1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6BEDE-AC61-48ED-B036-8B83CD0DA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2025-06-17T11:13:00Z</dcterms:created>
  <dcterms:modified xsi:type="dcterms:W3CDTF">2025-06-17T11:13:00Z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A10-0090/2025</vt:lpwstr>
  </property>
  <property fmtid="{D5CDD505-2E9C-101B-9397-08002B2CF9AE}" pid="4" name="&lt;Type&gt;">
    <vt:lpwstr>RR</vt:lpwstr>
  </property>
</Properties>
</file>