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EDD" w14:paraId="5E4C7AFF" w14:textId="77777777" w:rsidTr="0010095E">
        <w:trPr>
          <w:trHeight w:hRule="exact" w:val="1418"/>
        </w:trPr>
        <w:tc>
          <w:tcPr>
            <w:tcW w:w="6804" w:type="dxa"/>
            <w:shd w:val="clear" w:color="auto" w:fill="auto"/>
            <w:vAlign w:val="center"/>
          </w:tcPr>
          <w:p w14:paraId="4505488A" w14:textId="77777777" w:rsidR="00751A4A" w:rsidRPr="00B27EDD" w:rsidRDefault="00FA32A6" w:rsidP="0010095E">
            <w:pPr>
              <w:pStyle w:val="EPName"/>
            </w:pPr>
            <w:r w:rsidRPr="00B27EDD">
              <w:t>Europa-Parlamentet</w:t>
            </w:r>
          </w:p>
          <w:p w14:paraId="76BCAF98" w14:textId="77777777" w:rsidR="00751A4A" w:rsidRPr="00B27EDD" w:rsidRDefault="005F1B17" w:rsidP="005F1B17">
            <w:pPr>
              <w:pStyle w:val="EPTerm"/>
              <w:rPr>
                <w:rStyle w:val="HideTWBExt"/>
                <w:noProof w:val="0"/>
                <w:vanish w:val="0"/>
                <w:color w:val="auto"/>
              </w:rPr>
            </w:pPr>
            <w:r w:rsidRPr="00B27EDD">
              <w:t>2024</w:t>
            </w:r>
            <w:r w:rsidR="00817416" w:rsidRPr="00B27EDD">
              <w:t>-202</w:t>
            </w:r>
            <w:r w:rsidRPr="00B27EDD">
              <w:t>9</w:t>
            </w:r>
          </w:p>
        </w:tc>
        <w:tc>
          <w:tcPr>
            <w:tcW w:w="2268" w:type="dxa"/>
            <w:shd w:val="clear" w:color="auto" w:fill="auto"/>
          </w:tcPr>
          <w:p w14:paraId="3FA955C7" w14:textId="77777777" w:rsidR="00751A4A" w:rsidRPr="00B27EDD" w:rsidRDefault="00187494" w:rsidP="0010095E">
            <w:pPr>
              <w:pStyle w:val="EPLogo"/>
            </w:pPr>
            <w:r w:rsidRPr="00B27EDD">
              <w:rPr>
                <w:noProof/>
                <w:lang w:val="en-GB"/>
              </w:rPr>
              <w:drawing>
                <wp:inline distT="0" distB="0" distL="0" distR="0" wp14:anchorId="3A193FF6" wp14:editId="75B784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178252" w14:textId="77777777" w:rsidR="00D058B8" w:rsidRPr="00B27EDD" w:rsidRDefault="00D058B8" w:rsidP="004C5D52">
      <w:pPr>
        <w:pStyle w:val="LineTop"/>
      </w:pPr>
    </w:p>
    <w:p w14:paraId="1BEF5D08" w14:textId="77777777" w:rsidR="00680577" w:rsidRPr="00B27EDD" w:rsidRDefault="00FA32A6" w:rsidP="00680577">
      <w:pPr>
        <w:pStyle w:val="EPBodyTA1"/>
      </w:pPr>
      <w:r w:rsidRPr="00B27EDD">
        <w:t>VEDTAGNE TEKSTER</w:t>
      </w:r>
    </w:p>
    <w:p w14:paraId="48D0BC32" w14:textId="77777777" w:rsidR="00D058B8" w:rsidRPr="00B27EDD" w:rsidRDefault="00D058B8" w:rsidP="00D058B8">
      <w:pPr>
        <w:pStyle w:val="LineBottom"/>
      </w:pPr>
    </w:p>
    <w:p w14:paraId="0AD09E2A" w14:textId="5573B03E" w:rsidR="00FA32A6" w:rsidRPr="004C6EA3" w:rsidRDefault="00FA32A6" w:rsidP="00FA32A6">
      <w:pPr>
        <w:pStyle w:val="ATHeading1"/>
      </w:pPr>
      <w:bookmarkStart w:id="0" w:name="TANumber"/>
      <w:r w:rsidRPr="004C6EA3">
        <w:t>P10_TA(2025)0</w:t>
      </w:r>
      <w:r w:rsidR="005A3E12">
        <w:t>120</w:t>
      </w:r>
      <w:bookmarkStart w:id="1" w:name="_GoBack"/>
      <w:bookmarkEnd w:id="0"/>
      <w:bookmarkEnd w:id="1"/>
    </w:p>
    <w:p w14:paraId="00505620" w14:textId="0CC1AE06" w:rsidR="00FA32A6" w:rsidRPr="004C6EA3" w:rsidRDefault="00B27EDD" w:rsidP="00FA32A6">
      <w:pPr>
        <w:pStyle w:val="ATHeading2"/>
      </w:pPr>
      <w:bookmarkStart w:id="2" w:name="title"/>
      <w:r w:rsidRPr="004C6EA3">
        <w:t>V</w:t>
      </w:r>
      <w:r w:rsidR="00FA32A6" w:rsidRPr="004C6EA3">
        <w:t xml:space="preserve">algret for </w:t>
      </w:r>
      <w:r w:rsidRPr="004C6EA3">
        <w:t xml:space="preserve">mobile </w:t>
      </w:r>
      <w:r w:rsidR="00FA32A6" w:rsidRPr="004C6EA3">
        <w:t>unionsborgere</w:t>
      </w:r>
      <w:r w:rsidRPr="004C6EA3">
        <w:t xml:space="preserve"> ved valg til Europa-Parlamentet</w:t>
      </w:r>
      <w:bookmarkEnd w:id="2"/>
    </w:p>
    <w:p w14:paraId="2504CB30" w14:textId="77777777" w:rsidR="00FA32A6" w:rsidRPr="00B27EDD" w:rsidRDefault="00FA32A6" w:rsidP="00FA32A6">
      <w:pPr>
        <w:rPr>
          <w:i/>
          <w:vanish/>
        </w:rPr>
      </w:pPr>
      <w:r w:rsidRPr="00B27EDD">
        <w:rPr>
          <w:i/>
        </w:rPr>
        <w:fldChar w:fldCharType="begin"/>
      </w:r>
      <w:r w:rsidRPr="00B27EDD">
        <w:rPr>
          <w:i/>
        </w:rPr>
        <w:instrText xml:space="preserve"> TC"(</w:instrText>
      </w:r>
      <w:bookmarkStart w:id="3" w:name="DocNumber"/>
      <w:r w:rsidRPr="007F4729">
        <w:rPr>
          <w:i/>
        </w:rPr>
        <w:instrText>A10-0090/2025</w:instrText>
      </w:r>
      <w:bookmarkEnd w:id="3"/>
      <w:r w:rsidRPr="007F4729">
        <w:rPr>
          <w:i/>
        </w:rPr>
        <w:instrText xml:space="preserve"> - Ordfører: Sven Simon)"\l3 \n&gt; \* MERGEFORMAT </w:instrText>
      </w:r>
      <w:r w:rsidRPr="00B27EDD">
        <w:rPr>
          <w:i/>
        </w:rPr>
        <w:fldChar w:fldCharType="end"/>
      </w:r>
    </w:p>
    <w:p w14:paraId="43F3C7CE" w14:textId="77777777" w:rsidR="00FA32A6" w:rsidRPr="004C6EA3" w:rsidRDefault="00FA32A6" w:rsidP="00FA32A6">
      <w:pPr>
        <w:rPr>
          <w:vanish/>
        </w:rPr>
      </w:pPr>
      <w:bookmarkStart w:id="4" w:name="Commission"/>
      <w:r w:rsidRPr="007F4729">
        <w:rPr>
          <w:vanish/>
        </w:rPr>
        <w:t>Udvalget om Konstitutionelle Anliggender</w:t>
      </w:r>
      <w:bookmarkEnd w:id="4"/>
    </w:p>
    <w:p w14:paraId="7A450A1E" w14:textId="77777777" w:rsidR="00FA32A6" w:rsidRPr="004C6EA3" w:rsidRDefault="00FA32A6" w:rsidP="00FA32A6">
      <w:pPr>
        <w:rPr>
          <w:vanish/>
        </w:rPr>
      </w:pPr>
      <w:bookmarkStart w:id="5" w:name="PE"/>
      <w:r w:rsidRPr="004C6EA3">
        <w:rPr>
          <w:vanish/>
        </w:rPr>
        <w:t>PE767.903</w:t>
      </w:r>
      <w:bookmarkEnd w:id="5"/>
    </w:p>
    <w:p w14:paraId="45A20A66" w14:textId="4928AC53" w:rsidR="00FA32A6" w:rsidRPr="004C6EA3" w:rsidRDefault="00FA32A6" w:rsidP="00FA32A6">
      <w:pPr>
        <w:pStyle w:val="ATHeading3"/>
      </w:pPr>
      <w:bookmarkStart w:id="6" w:name="Sujet"/>
      <w:r w:rsidRPr="004C6EA3">
        <w:t xml:space="preserve">Europa-Parlamentets lovgivningsmæssige beslutning af </w:t>
      </w:r>
      <w:r w:rsidR="00B27EDD" w:rsidRPr="004C6EA3">
        <w:t>17</w:t>
      </w:r>
      <w:r w:rsidRPr="004C6EA3">
        <w:t>. juni 2025 om forslag til Rådets direktiv om fastsættelse af de nærmere regler for valgret og valgbarhed ved valg til Europa-Parlamentet for unionsborgere, der har bopæl i en medlemsstat, hvor de ikke er statsborgere (omarbejdning)</w:t>
      </w:r>
      <w:bookmarkEnd w:id="6"/>
      <w:r w:rsidRPr="004C6EA3">
        <w:t xml:space="preserve"> </w:t>
      </w:r>
      <w:bookmarkStart w:id="7" w:name="References"/>
      <w:r w:rsidRPr="004C6EA3">
        <w:t>(09789/2024 – C10-0001/2024 – 2021/0372(CNS))</w:t>
      </w:r>
      <w:bookmarkEnd w:id="7"/>
    </w:p>
    <w:p w14:paraId="7475BB4D" w14:textId="5F8E1005" w:rsidR="00D974D7" w:rsidRPr="004C6EA3" w:rsidRDefault="00D974D7" w:rsidP="00D974D7">
      <w:pPr>
        <w:pStyle w:val="NormalBold"/>
      </w:pPr>
      <w:r w:rsidRPr="00B27EDD">
        <w:t xml:space="preserve">(Særlig lovgivningsprocedure – </w:t>
      </w:r>
      <w:r w:rsidR="00F83F79" w:rsidRPr="007F4729">
        <w:t xml:space="preserve">fornyet </w:t>
      </w:r>
      <w:r w:rsidRPr="004C6EA3">
        <w:t>høring – omarbejdning)</w:t>
      </w:r>
    </w:p>
    <w:p w14:paraId="639F676A" w14:textId="77777777" w:rsidR="00D974D7" w:rsidRPr="004C6EA3" w:rsidRDefault="00D974D7" w:rsidP="00D974D7">
      <w:pPr>
        <w:pStyle w:val="EPComma"/>
      </w:pPr>
      <w:r w:rsidRPr="004C6EA3">
        <w:rPr>
          <w:i/>
        </w:rPr>
        <w:t>Europa-Parlamentet</w:t>
      </w:r>
      <w:r w:rsidRPr="004C6EA3">
        <w:t>,</w:t>
      </w:r>
    </w:p>
    <w:p w14:paraId="754F43D1" w14:textId="77777777" w:rsidR="00D974D7" w:rsidRPr="004C6EA3" w:rsidRDefault="00D974D7" w:rsidP="00D974D7">
      <w:pPr>
        <w:pStyle w:val="NormalHanging12a"/>
      </w:pPr>
      <w:r w:rsidRPr="004C6EA3">
        <w:t>–</w:t>
      </w:r>
      <w:r w:rsidRPr="004C6EA3">
        <w:tab/>
        <w:t>der henviser til Rådets udkast (09789/2024),</w:t>
      </w:r>
    </w:p>
    <w:p w14:paraId="7CE9A1DB" w14:textId="2B1E592D" w:rsidR="00D974D7" w:rsidRPr="004C6EA3" w:rsidRDefault="00D974D7" w:rsidP="00D974D7">
      <w:pPr>
        <w:pStyle w:val="NormalHanging12a"/>
      </w:pPr>
      <w:r w:rsidRPr="004C6EA3">
        <w:t>–</w:t>
      </w:r>
      <w:r w:rsidRPr="004C6EA3">
        <w:tab/>
        <w:t>der henviser til Kommissionens forslag til Rådet (</w:t>
      </w:r>
      <w:proofErr w:type="gramStart"/>
      <w:r w:rsidRPr="004C6EA3">
        <w:t>COM(</w:t>
      </w:r>
      <w:proofErr w:type="gramEnd"/>
      <w:r w:rsidRPr="004C6EA3">
        <w:t>2021)0732),</w:t>
      </w:r>
    </w:p>
    <w:p w14:paraId="464FCE8A" w14:textId="11B6E497" w:rsidR="00F83F79" w:rsidRPr="007F4729" w:rsidRDefault="00F83F79" w:rsidP="00D974D7">
      <w:pPr>
        <w:pStyle w:val="NormalHanging12a"/>
      </w:pPr>
      <w:r w:rsidRPr="004C6EA3">
        <w:t>–</w:t>
      </w:r>
      <w:r w:rsidRPr="004C6EA3">
        <w:tab/>
        <w:t>der henviser til sin holdning af 14. februar 2023</w:t>
      </w:r>
      <w:r w:rsidRPr="00B27EDD">
        <w:rPr>
          <w:rStyle w:val="FootnoteReference"/>
        </w:rPr>
        <w:footnoteReference w:id="1"/>
      </w:r>
      <w:r w:rsidRPr="00B27EDD">
        <w:t>,</w:t>
      </w:r>
    </w:p>
    <w:p w14:paraId="29F3555B" w14:textId="0D171EC8" w:rsidR="00D974D7" w:rsidRPr="004C6EA3" w:rsidRDefault="00D974D7" w:rsidP="00D974D7">
      <w:pPr>
        <w:pStyle w:val="NormalHanging12a"/>
      </w:pPr>
      <w:r w:rsidRPr="004C6EA3">
        <w:t>–</w:t>
      </w:r>
      <w:r w:rsidRPr="004C6EA3">
        <w:tab/>
        <w:t xml:space="preserve">der henviser til artikel 22, stk. 2, i traktaten om Den Europæiske Unions funktionsmåde, der danner grundlag for Rådets </w:t>
      </w:r>
      <w:r w:rsidR="00F83F79" w:rsidRPr="004C6EA3">
        <w:t xml:space="preserve">fornyede </w:t>
      </w:r>
      <w:r w:rsidRPr="004C6EA3">
        <w:t>høring af Parlamentet (C10-0001/2024),</w:t>
      </w:r>
    </w:p>
    <w:p w14:paraId="771E5534" w14:textId="77777777" w:rsidR="00D974D7" w:rsidRPr="007F4729" w:rsidRDefault="00D974D7" w:rsidP="00D974D7">
      <w:pPr>
        <w:pStyle w:val="NormalHanging12a"/>
      </w:pPr>
      <w:r w:rsidRPr="004C6EA3">
        <w:t>–</w:t>
      </w:r>
      <w:r w:rsidRPr="004C6EA3">
        <w:tab/>
        <w:t xml:space="preserve">der henviser til den </w:t>
      </w:r>
      <w:proofErr w:type="spellStart"/>
      <w:r w:rsidRPr="004C6EA3">
        <w:t>interinstitutionelle</w:t>
      </w:r>
      <w:proofErr w:type="spellEnd"/>
      <w:r w:rsidRPr="004C6EA3">
        <w:t xml:space="preserve"> aftale af 28. november 2001 om en mere systematisk omarbejdning af retsakter</w:t>
      </w:r>
      <w:r w:rsidRPr="00B27EDD">
        <w:rPr>
          <w:rStyle w:val="FootnoteReference"/>
        </w:rPr>
        <w:footnoteReference w:id="2"/>
      </w:r>
      <w:r w:rsidRPr="00B27EDD">
        <w:t>,</w:t>
      </w:r>
    </w:p>
    <w:p w14:paraId="61B7A13A" w14:textId="77777777" w:rsidR="00D974D7" w:rsidRPr="004C6EA3" w:rsidRDefault="00D974D7" w:rsidP="00D974D7">
      <w:pPr>
        <w:pStyle w:val="NormalHanging12a"/>
      </w:pPr>
      <w:r w:rsidRPr="004C6EA3">
        <w:t>–</w:t>
      </w:r>
      <w:r w:rsidRPr="004C6EA3">
        <w:tab/>
        <w:t>der henviser til skrivelse af 8. november 2022 fra Retsudvalget til Udvalget om Konstitutionelle Anliggender, jf. forretningsordenens artikel 113, stk. 3,</w:t>
      </w:r>
    </w:p>
    <w:p w14:paraId="5CB1194B" w14:textId="3E262EA4" w:rsidR="00D974D7" w:rsidRPr="004C6EA3" w:rsidRDefault="00D974D7" w:rsidP="00D974D7">
      <w:pPr>
        <w:pStyle w:val="NormalHanging12a"/>
      </w:pPr>
      <w:r w:rsidRPr="004C6EA3">
        <w:t>–</w:t>
      </w:r>
      <w:r w:rsidRPr="004C6EA3">
        <w:tab/>
        <w:t>der henviser til forretningsordenens artikel 113</w:t>
      </w:r>
      <w:r w:rsidR="00F83F79" w:rsidRPr="004C6EA3">
        <w:t>,</w:t>
      </w:r>
      <w:r w:rsidRPr="004C6EA3">
        <w:t xml:space="preserve"> 84</w:t>
      </w:r>
      <w:r w:rsidR="00F83F79" w:rsidRPr="004C6EA3">
        <w:t xml:space="preserve"> og 86</w:t>
      </w:r>
      <w:r w:rsidRPr="004C6EA3">
        <w:t>,</w:t>
      </w:r>
    </w:p>
    <w:p w14:paraId="11242951" w14:textId="77777777" w:rsidR="00D974D7" w:rsidRPr="004C6EA3" w:rsidRDefault="00D974D7" w:rsidP="00D974D7">
      <w:pPr>
        <w:pStyle w:val="NormalHanging12a"/>
      </w:pPr>
      <w:r w:rsidRPr="004C6EA3">
        <w:t>–</w:t>
      </w:r>
      <w:r w:rsidRPr="004C6EA3">
        <w:tab/>
        <w:t>der henviser til skrivelse fra Udvalget om Borgernes Rettigheder og Retlige og Indre Anliggender,</w:t>
      </w:r>
    </w:p>
    <w:p w14:paraId="3351BE73" w14:textId="77777777" w:rsidR="00D974D7" w:rsidRPr="004C6EA3" w:rsidRDefault="00D974D7" w:rsidP="00D974D7">
      <w:pPr>
        <w:pStyle w:val="NormalHanging12a"/>
      </w:pPr>
      <w:r w:rsidRPr="004C6EA3">
        <w:t>–</w:t>
      </w:r>
      <w:r w:rsidRPr="004C6EA3">
        <w:tab/>
        <w:t>der henviser til betænkning fra Udvalget om Konstitutionelle Anliggender (A10-0090/2025),</w:t>
      </w:r>
    </w:p>
    <w:p w14:paraId="62041A31" w14:textId="77777777" w:rsidR="00D974D7" w:rsidRPr="004C6EA3" w:rsidRDefault="00D974D7" w:rsidP="00D974D7">
      <w:pPr>
        <w:pStyle w:val="NormalHanging12a"/>
      </w:pPr>
      <w:r w:rsidRPr="004C6EA3">
        <w:t>A.</w:t>
      </w:r>
      <w:r w:rsidRPr="004C6EA3">
        <w:tab/>
        <w:t xml:space="preserve">der henviser til, at forslaget ifølge den rådgivende gruppe bestående af de juridiske </w:t>
      </w:r>
      <w:r w:rsidRPr="004C6EA3">
        <w:lastRenderedPageBreak/>
        <w:t>tjenester i Europa-Parlamentet, Rådet og Kommissionen ikke indebærer andre indholdsmæssige ændringer end dem, der er angivet som sådanne i selve forslaget, og at det, hvad angår de uændrede bestemmelser i de tidligere retsakter sammen med de nævnte ændringer, udelukkende består i en kodifikation af de eksisterende retsakter uden indholdsmæssige ændringer;</w:t>
      </w:r>
    </w:p>
    <w:p w14:paraId="526DB087" w14:textId="77777777" w:rsidR="00D974D7" w:rsidRPr="004C6EA3" w:rsidRDefault="00D974D7" w:rsidP="00D974D7">
      <w:pPr>
        <w:pStyle w:val="NormalHanging12a"/>
      </w:pPr>
      <w:r w:rsidRPr="004C6EA3">
        <w:t>1.</w:t>
      </w:r>
      <w:r w:rsidRPr="004C6EA3">
        <w:tab/>
        <w:t>godkender Rådets udkast som tilpasset efter henstillingerne fra den rådgivende gruppe bestående af de juridiske tjenester i Europa-Parlamentet, Rådet og Kommissionen;</w:t>
      </w:r>
    </w:p>
    <w:p w14:paraId="551A0601" w14:textId="77777777" w:rsidR="00D974D7" w:rsidRPr="004C6EA3" w:rsidRDefault="00D974D7" w:rsidP="00D974D7">
      <w:pPr>
        <w:pStyle w:val="NormalHanging12a"/>
      </w:pPr>
      <w:r w:rsidRPr="004C6EA3">
        <w:t>2.</w:t>
      </w:r>
      <w:r w:rsidRPr="004C6EA3">
        <w:tab/>
        <w:t>finder det imidlertid dybt beklageligt, at Rådet, selv om det formelt efterlever artikel 22, stk. 2, i TEUF, reelt ikke har svaret på substansen i Parlamentets udtalelse på nogen meningsfuld måde; påpeger, at denne praksis afspejler en bredere tendens i de seneste år til, at Rådet og Det Europæiske Råd nægter at samarbejde konstruktivt og i god tro om en række verserende særlige lovgivningsprocedurer; minder om henstillingerne i sin betænkning af 13. December 2023 og gentager sine opfordringer til Rådet for Den Europæiske Union og Det Europæiske Råd om at samarbejde konstruktivt om at finde politikløsninger, der kan tjene de europæiske borgeres interesser;</w:t>
      </w:r>
    </w:p>
    <w:p w14:paraId="626541D5" w14:textId="77777777" w:rsidR="00D974D7" w:rsidRPr="004C6EA3" w:rsidRDefault="00D974D7" w:rsidP="00D974D7">
      <w:pPr>
        <w:pStyle w:val="NormalHanging12a"/>
      </w:pPr>
      <w:r w:rsidRPr="004C6EA3">
        <w:t>3.</w:t>
      </w:r>
      <w:r w:rsidRPr="004C6EA3">
        <w:tab/>
        <w:t>opfordrer Rådet til at underrette Parlamentet, hvis det ikke agter at følge den tekst, Parlamentet har godkendt;</w:t>
      </w:r>
    </w:p>
    <w:p w14:paraId="619B70AD" w14:textId="59D80CA3" w:rsidR="00D974D7" w:rsidRPr="004C6EA3" w:rsidRDefault="00D974D7" w:rsidP="00D974D7">
      <w:pPr>
        <w:pStyle w:val="NormalHanging12a"/>
      </w:pPr>
      <w:r w:rsidRPr="004C6EA3">
        <w:t>4.</w:t>
      </w:r>
      <w:r w:rsidRPr="004C6EA3">
        <w:tab/>
        <w:t xml:space="preserve">anmoder Rådet om fornyet høring, hvis det agter at ændre </w:t>
      </w:r>
      <w:r w:rsidR="00F83F79" w:rsidRPr="004C6EA3">
        <w:t>sit udkast</w:t>
      </w:r>
      <w:r w:rsidRPr="004C6EA3">
        <w:t xml:space="preserve"> i væsentlig grad;</w:t>
      </w:r>
    </w:p>
    <w:p w14:paraId="233E970F" w14:textId="77777777" w:rsidR="00DA2FA1" w:rsidRPr="004C6EA3" w:rsidRDefault="00D974D7" w:rsidP="00DA2FA1">
      <w:pPr>
        <w:pStyle w:val="NormalHanging12a"/>
      </w:pPr>
      <w:r w:rsidRPr="004C6EA3">
        <w:t>5.</w:t>
      </w:r>
      <w:r w:rsidRPr="004C6EA3">
        <w:tab/>
        <w:t>pålægger sin formand at sende Parlamentets holdning til Rådet og Kommissionen samt til de nationale parlamenter.</w:t>
      </w:r>
    </w:p>
    <w:p w14:paraId="3335D7BE" w14:textId="77777777" w:rsidR="00E365E1" w:rsidRPr="004C6EA3" w:rsidRDefault="00E365E1" w:rsidP="00FA32A6"/>
    <w:sectPr w:rsidR="00E365E1" w:rsidRPr="004C6EA3" w:rsidSect="00DA2F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C2D59" w14:textId="77777777" w:rsidR="00FA32A6" w:rsidRPr="00DA2FA1" w:rsidRDefault="00FA32A6">
      <w:r w:rsidRPr="00DA2FA1">
        <w:separator/>
      </w:r>
    </w:p>
  </w:endnote>
  <w:endnote w:type="continuationSeparator" w:id="0">
    <w:p w14:paraId="3A22253B" w14:textId="77777777" w:rsidR="00FA32A6" w:rsidRPr="00DA2FA1" w:rsidRDefault="00FA32A6">
      <w:r w:rsidRPr="00DA2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CF478" w14:textId="77777777" w:rsidR="00064002" w:rsidRPr="00DA2F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85E89" w14:textId="77777777" w:rsidR="00064002" w:rsidRPr="00DA2F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FB42" w14:textId="77777777" w:rsidR="00064002" w:rsidRPr="00DA2F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E1AB0" w14:textId="77777777" w:rsidR="00FA32A6" w:rsidRPr="00DA2FA1" w:rsidRDefault="00FA32A6">
      <w:r w:rsidRPr="00DA2FA1">
        <w:separator/>
      </w:r>
    </w:p>
  </w:footnote>
  <w:footnote w:type="continuationSeparator" w:id="0">
    <w:p w14:paraId="080FDAE1" w14:textId="77777777" w:rsidR="00FA32A6" w:rsidRPr="00DA2FA1" w:rsidRDefault="00FA32A6">
      <w:r w:rsidRPr="00DA2FA1">
        <w:continuationSeparator/>
      </w:r>
    </w:p>
  </w:footnote>
  <w:footnote w:id="1">
    <w:p w14:paraId="306C2A6E" w14:textId="3B18331F" w:rsidR="00F83F79" w:rsidRPr="004C6EA3" w:rsidRDefault="00F83F79" w:rsidP="004C6EA3">
      <w:pPr>
        <w:pStyle w:val="FootnoteText"/>
        <w:ind w:left="567" w:hanging="567"/>
        <w:rPr>
          <w:sz w:val="24"/>
        </w:rPr>
      </w:pPr>
      <w:r w:rsidRPr="004C6EA3">
        <w:rPr>
          <w:rStyle w:val="FootnoteReference"/>
          <w:sz w:val="24"/>
        </w:rPr>
        <w:footnoteRef/>
      </w:r>
      <w:r w:rsidRPr="004C6EA3">
        <w:rPr>
          <w:sz w:val="24"/>
        </w:rPr>
        <w:t xml:space="preserve"> </w:t>
      </w:r>
      <w:r w:rsidRPr="004C6EA3">
        <w:rPr>
          <w:sz w:val="24"/>
        </w:rPr>
        <w:tab/>
      </w:r>
      <w:r>
        <w:rPr>
          <w:sz w:val="24"/>
        </w:rPr>
        <w:t xml:space="preserve">EUT C 283 </w:t>
      </w:r>
      <w:proofErr w:type="spellStart"/>
      <w:r>
        <w:rPr>
          <w:sz w:val="24"/>
        </w:rPr>
        <w:t>af</w:t>
      </w:r>
      <w:proofErr w:type="spellEnd"/>
      <w:r>
        <w:rPr>
          <w:sz w:val="24"/>
        </w:rPr>
        <w:t xml:space="preserve"> 11.8.2023, s. 76.</w:t>
      </w:r>
    </w:p>
  </w:footnote>
  <w:footnote w:id="2">
    <w:p w14:paraId="2D79F8DC" w14:textId="77777777" w:rsidR="00D974D7" w:rsidRPr="00DA2FA1" w:rsidRDefault="00D974D7" w:rsidP="00DA2FA1">
      <w:pPr>
        <w:pStyle w:val="FootnoteText"/>
        <w:ind w:left="567" w:hanging="567"/>
        <w:rPr>
          <w:sz w:val="24"/>
          <w:lang w:val="da-DK"/>
        </w:rPr>
      </w:pPr>
      <w:r w:rsidRPr="00DA2FA1">
        <w:rPr>
          <w:rStyle w:val="FootnoteReference"/>
          <w:sz w:val="24"/>
          <w:lang w:val="da-DK"/>
        </w:rPr>
        <w:footnoteRef/>
      </w:r>
      <w:r w:rsidR="00DA2FA1" w:rsidRPr="00DA2FA1">
        <w:rPr>
          <w:sz w:val="24"/>
          <w:lang w:val="da-DK"/>
        </w:rPr>
        <w:t xml:space="preserve"> </w:t>
      </w:r>
      <w:r w:rsidR="00DA2FA1" w:rsidRPr="00DA2FA1">
        <w:rPr>
          <w:sz w:val="24"/>
          <w:lang w:val="da-DK"/>
        </w:rPr>
        <w:tab/>
      </w:r>
      <w:r w:rsidRPr="00DA2FA1">
        <w:rPr>
          <w:sz w:val="24"/>
          <w:lang w:val="da-DK"/>
        </w:rPr>
        <w:t>EFT C 77 af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613E5" w14:textId="77777777" w:rsidR="00064002" w:rsidRPr="00DA2F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0F839" w14:textId="77777777" w:rsidR="00064002" w:rsidRPr="00DA2F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89EE6" w14:textId="77777777" w:rsidR="00064002" w:rsidRPr="00DA2F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DA"/>
    <w:docVar w:name="dvnumam" w:val="0"/>
    <w:docVar w:name="dvpe" w:val="767.903"/>
    <w:docVar w:name="dvrapporteur" w:val="Ordfører: "/>
    <w:docVar w:name="dvstar" w:val="*"/>
    <w:docVar w:name="dvtitre" w:val="Europa-Parlamentets lovgivningsmæssige beslutning af xx. juni 2025 om forslag til Rådets direktiv om fastsættelse af de nærmere regler for valgret og valgbarhed ved valg til Europa-Parlamentet for unionsborgere, der har bopæl i en medlemsstat, hvor de ikke er statsborgere (omarbejdning)(09789/2024 – C10-0001/2024 – 2021/0372(CNS))"/>
  </w:docVars>
  <w:rsids>
    <w:rsidRoot w:val="00FA32A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EA3"/>
    <w:rsid w:val="004D2D85"/>
    <w:rsid w:val="0050519A"/>
    <w:rsid w:val="005072A1"/>
    <w:rsid w:val="00514517"/>
    <w:rsid w:val="00545827"/>
    <w:rsid w:val="00560270"/>
    <w:rsid w:val="005A3E1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729"/>
    <w:rsid w:val="00817416"/>
    <w:rsid w:val="00842779"/>
    <w:rsid w:val="00865F67"/>
    <w:rsid w:val="00881A7B"/>
    <w:rsid w:val="008840E5"/>
    <w:rsid w:val="00887B3E"/>
    <w:rsid w:val="008C2AC6"/>
    <w:rsid w:val="00930C23"/>
    <w:rsid w:val="0093193B"/>
    <w:rsid w:val="009509D8"/>
    <w:rsid w:val="00950B64"/>
    <w:rsid w:val="00981893"/>
    <w:rsid w:val="00A13FAE"/>
    <w:rsid w:val="00A1687D"/>
    <w:rsid w:val="00A43E52"/>
    <w:rsid w:val="00A4678D"/>
    <w:rsid w:val="00A778C7"/>
    <w:rsid w:val="00AB441E"/>
    <w:rsid w:val="00AB6293"/>
    <w:rsid w:val="00AE0928"/>
    <w:rsid w:val="00AF3B82"/>
    <w:rsid w:val="00B12E95"/>
    <w:rsid w:val="00B22876"/>
    <w:rsid w:val="00B27EDD"/>
    <w:rsid w:val="00B558F0"/>
    <w:rsid w:val="00BC469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4D7"/>
    <w:rsid w:val="00DA2FA1"/>
    <w:rsid w:val="00DA7FCD"/>
    <w:rsid w:val="00DB215E"/>
    <w:rsid w:val="00E365E1"/>
    <w:rsid w:val="00E820A4"/>
    <w:rsid w:val="00EB006A"/>
    <w:rsid w:val="00EB4772"/>
    <w:rsid w:val="00ED169E"/>
    <w:rsid w:val="00ED4235"/>
    <w:rsid w:val="00F04346"/>
    <w:rsid w:val="00F075DC"/>
    <w:rsid w:val="00F149E9"/>
    <w:rsid w:val="00F5134D"/>
    <w:rsid w:val="00F74202"/>
    <w:rsid w:val="00F83F79"/>
    <w:rsid w:val="00F87713"/>
    <w:rsid w:val="00FA32A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656DD"/>
  <w15:chartTrackingRefBased/>
  <w15:docId w15:val="{619324C3-3D76-47E3-81D6-B63A38130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974D7"/>
    <w:rPr>
      <w:b/>
    </w:rPr>
  </w:style>
  <w:style w:type="paragraph" w:customStyle="1" w:styleId="NormalHanging12a">
    <w:name w:val="NormalHanging12a"/>
    <w:basedOn w:val="Normal"/>
    <w:link w:val="NormalHanging12aChar"/>
    <w:rsid w:val="00D974D7"/>
    <w:pPr>
      <w:spacing w:after="240"/>
      <w:ind w:left="567" w:hanging="567"/>
    </w:pPr>
  </w:style>
  <w:style w:type="paragraph" w:customStyle="1" w:styleId="EPComma">
    <w:name w:val="EPComma"/>
    <w:basedOn w:val="Normal"/>
    <w:rsid w:val="00D974D7"/>
    <w:pPr>
      <w:spacing w:before="480" w:after="240"/>
    </w:pPr>
  </w:style>
  <w:style w:type="character" w:customStyle="1" w:styleId="NormalHanging12aChar">
    <w:name w:val="NormalHanging12a Char"/>
    <w:basedOn w:val="DefaultParagraphFont"/>
    <w:link w:val="NormalHanging12a"/>
    <w:rsid w:val="00D974D7"/>
    <w:rPr>
      <w:sz w:val="24"/>
      <w:lang w:val="da-DK"/>
    </w:rPr>
  </w:style>
  <w:style w:type="character" w:styleId="CommentReference">
    <w:name w:val="annotation reference"/>
    <w:basedOn w:val="DefaultParagraphFont"/>
    <w:rsid w:val="00A13FAE"/>
    <w:rPr>
      <w:sz w:val="16"/>
      <w:szCs w:val="16"/>
    </w:rPr>
  </w:style>
  <w:style w:type="paragraph" w:styleId="CommentText">
    <w:name w:val="annotation text"/>
    <w:basedOn w:val="Normal"/>
    <w:link w:val="CommentTextChar"/>
    <w:rsid w:val="00A13FAE"/>
    <w:rPr>
      <w:sz w:val="20"/>
    </w:rPr>
  </w:style>
  <w:style w:type="character" w:customStyle="1" w:styleId="CommentTextChar">
    <w:name w:val="Comment Text Char"/>
    <w:basedOn w:val="DefaultParagraphFont"/>
    <w:link w:val="CommentText"/>
    <w:rsid w:val="00A13FAE"/>
    <w:rPr>
      <w:lang w:val="da-DK"/>
    </w:rPr>
  </w:style>
  <w:style w:type="paragraph" w:styleId="CommentSubject">
    <w:name w:val="annotation subject"/>
    <w:basedOn w:val="CommentText"/>
    <w:next w:val="CommentText"/>
    <w:link w:val="CommentSubjectChar"/>
    <w:rsid w:val="00A13FAE"/>
    <w:rPr>
      <w:b/>
      <w:bCs/>
    </w:rPr>
  </w:style>
  <w:style w:type="character" w:customStyle="1" w:styleId="CommentSubjectChar">
    <w:name w:val="Comment Subject Char"/>
    <w:basedOn w:val="CommentTextChar"/>
    <w:link w:val="CommentSubject"/>
    <w:rsid w:val="00A13FAE"/>
    <w:rPr>
      <w:b/>
      <w:bCs/>
      <w:lang w:val="da-DK"/>
    </w:rPr>
  </w:style>
  <w:style w:type="paragraph" w:styleId="BalloonText">
    <w:name w:val="Balloon Text"/>
    <w:basedOn w:val="Normal"/>
    <w:link w:val="BalloonTextChar"/>
    <w:rsid w:val="00A13FAE"/>
    <w:rPr>
      <w:rFonts w:ascii="Segoe UI" w:hAnsi="Segoe UI" w:cs="Segoe UI"/>
      <w:sz w:val="18"/>
      <w:szCs w:val="18"/>
    </w:rPr>
  </w:style>
  <w:style w:type="character" w:customStyle="1" w:styleId="BalloonTextChar">
    <w:name w:val="Balloon Text Char"/>
    <w:basedOn w:val="DefaultParagraphFont"/>
    <w:link w:val="BalloonText"/>
    <w:rsid w:val="00A13FA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4CECD-36CE-4D2D-AFB0-1481AA01B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2025-06-17T11:10:00Z</dcterms:created>
  <dcterms:modified xsi:type="dcterms:W3CDTF">2025-06-17T11:10:00Z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P10_TA-PROV(2025)0120_A10-0090_2025_</vt:lpwstr>
  </property>
  <property fmtid="{D5CDD505-2E9C-101B-9397-08002B2CF9AE}" pid="4" name="&lt;Type&gt;">
    <vt:lpwstr>RR</vt:lpwstr>
  </property>
</Properties>
</file>