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74A0" w14:paraId="2408AC25" w14:textId="77777777" w:rsidTr="0010095E">
        <w:trPr>
          <w:trHeight w:hRule="exact" w:val="1418"/>
        </w:trPr>
        <w:tc>
          <w:tcPr>
            <w:tcW w:w="6804" w:type="dxa"/>
            <w:shd w:val="clear" w:color="auto" w:fill="auto"/>
            <w:vAlign w:val="center"/>
          </w:tcPr>
          <w:p w14:paraId="2444B3FA" w14:textId="77777777" w:rsidR="00751A4A" w:rsidRPr="00E074A0" w:rsidRDefault="00203548" w:rsidP="0010095E">
            <w:pPr>
              <w:pStyle w:val="EPName"/>
            </w:pPr>
            <w:r w:rsidRPr="00E074A0">
              <w:t>Euroopan parlamentti</w:t>
            </w:r>
          </w:p>
          <w:p w14:paraId="7AB94377" w14:textId="77777777" w:rsidR="00751A4A" w:rsidRPr="00E074A0" w:rsidRDefault="005F1B17" w:rsidP="005F1B17">
            <w:pPr>
              <w:pStyle w:val="EPTerm"/>
              <w:rPr>
                <w:rStyle w:val="HideTWBExt"/>
                <w:noProof w:val="0"/>
                <w:vanish w:val="0"/>
                <w:color w:val="auto"/>
              </w:rPr>
            </w:pPr>
            <w:r w:rsidRPr="00E074A0">
              <w:t>2024</w:t>
            </w:r>
            <w:r w:rsidR="00817416" w:rsidRPr="00E074A0">
              <w:t>-202</w:t>
            </w:r>
            <w:r w:rsidRPr="00E074A0">
              <w:t>9</w:t>
            </w:r>
          </w:p>
        </w:tc>
        <w:tc>
          <w:tcPr>
            <w:tcW w:w="2268" w:type="dxa"/>
            <w:shd w:val="clear" w:color="auto" w:fill="auto"/>
          </w:tcPr>
          <w:p w14:paraId="305E12EC" w14:textId="77777777" w:rsidR="00751A4A" w:rsidRPr="00E074A0" w:rsidRDefault="00187494" w:rsidP="0010095E">
            <w:pPr>
              <w:pStyle w:val="EPLogo"/>
            </w:pPr>
            <w:r w:rsidRPr="00E074A0">
              <w:rPr>
                <w:noProof/>
                <w:lang w:val="en-GB"/>
              </w:rPr>
              <w:drawing>
                <wp:inline distT="0" distB="0" distL="0" distR="0" wp14:anchorId="37515F52" wp14:editId="47C29D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C0DB0F" w14:textId="77777777" w:rsidR="00D058B8" w:rsidRPr="00E074A0" w:rsidRDefault="00D058B8" w:rsidP="004C5D52">
      <w:pPr>
        <w:pStyle w:val="LineTop"/>
      </w:pPr>
    </w:p>
    <w:p w14:paraId="30A0C390" w14:textId="77777777" w:rsidR="00680577" w:rsidRPr="00E074A0" w:rsidRDefault="00203548" w:rsidP="00680577">
      <w:pPr>
        <w:pStyle w:val="EPBodyTA1"/>
      </w:pPr>
      <w:r w:rsidRPr="00E074A0">
        <w:t>HYVÄKSYTYT TEKSTIT</w:t>
      </w:r>
    </w:p>
    <w:p w14:paraId="227B418F" w14:textId="77777777" w:rsidR="00D058B8" w:rsidRPr="00E074A0" w:rsidRDefault="00D058B8" w:rsidP="00D058B8">
      <w:pPr>
        <w:pStyle w:val="LineBottom"/>
      </w:pPr>
    </w:p>
    <w:p w14:paraId="6D8EC10C" w14:textId="01A76381" w:rsidR="00203548" w:rsidRPr="00E074A0" w:rsidRDefault="00203548" w:rsidP="00203548">
      <w:pPr>
        <w:pStyle w:val="ATHeading1"/>
      </w:pPr>
      <w:bookmarkStart w:id="0" w:name="TANumber"/>
      <w:r w:rsidRPr="00E074A0">
        <w:t>P10_TA(2025)0</w:t>
      </w:r>
      <w:r w:rsidR="00D26BF0">
        <w:t>120</w:t>
      </w:r>
      <w:bookmarkEnd w:id="0"/>
    </w:p>
    <w:p w14:paraId="1890C8BF" w14:textId="77777777" w:rsidR="00203548" w:rsidRPr="00EA5DE3" w:rsidRDefault="007910F2" w:rsidP="00203548">
      <w:pPr>
        <w:pStyle w:val="ATHeading2"/>
      </w:pPr>
      <w:bookmarkStart w:id="1" w:name="title"/>
      <w:r w:rsidRPr="00EA5DE3">
        <w:rPr>
          <w:bCs/>
        </w:rPr>
        <w:t>Liikkuvien unionin kansalaisten äänioikeus ja vaalikelpoisuus Euroopan parlamentin vaaleissa</w:t>
      </w:r>
      <w:bookmarkEnd w:id="1"/>
    </w:p>
    <w:p w14:paraId="057203B5" w14:textId="77777777" w:rsidR="00203548" w:rsidRPr="00E074A0" w:rsidRDefault="00203548" w:rsidP="00203548">
      <w:pPr>
        <w:rPr>
          <w:i/>
          <w:vanish/>
        </w:rPr>
      </w:pPr>
      <w:r w:rsidRPr="00E074A0">
        <w:rPr>
          <w:i/>
        </w:rPr>
        <w:fldChar w:fldCharType="begin"/>
      </w:r>
      <w:r w:rsidRPr="00E074A0">
        <w:rPr>
          <w:i/>
        </w:rPr>
        <w:instrText xml:space="preserve"> TC"(</w:instrText>
      </w:r>
      <w:bookmarkStart w:id="2" w:name="DocNumber"/>
      <w:r w:rsidRPr="00E074A0">
        <w:rPr>
          <w:i/>
        </w:rPr>
        <w:instrText>A10-0090/2025</w:instrText>
      </w:r>
      <w:bookmarkEnd w:id="2"/>
      <w:r w:rsidRPr="00E074A0">
        <w:rPr>
          <w:i/>
        </w:rPr>
        <w:instrText xml:space="preserve"> - Esittelijä: Sven Simon)"\l3 \n&gt; \* MERGEFORMAT </w:instrText>
      </w:r>
      <w:r w:rsidRPr="00E074A0">
        <w:rPr>
          <w:i/>
        </w:rPr>
        <w:fldChar w:fldCharType="end"/>
      </w:r>
    </w:p>
    <w:p w14:paraId="0204F2B3" w14:textId="77777777" w:rsidR="00203548" w:rsidRPr="00E074A0" w:rsidRDefault="00203548" w:rsidP="00203548">
      <w:pPr>
        <w:rPr>
          <w:vanish/>
        </w:rPr>
      </w:pPr>
      <w:bookmarkStart w:id="3" w:name="Commission"/>
      <w:r w:rsidRPr="00E074A0">
        <w:rPr>
          <w:vanish/>
        </w:rPr>
        <w:t>Perussopimus-, työjärjestys- ja toimielinasioiden valiokunta</w:t>
      </w:r>
      <w:bookmarkEnd w:id="3"/>
    </w:p>
    <w:p w14:paraId="12DF7C7F" w14:textId="77777777" w:rsidR="00203548" w:rsidRPr="00E074A0" w:rsidRDefault="00203548" w:rsidP="00203548">
      <w:pPr>
        <w:rPr>
          <w:vanish/>
        </w:rPr>
      </w:pPr>
      <w:bookmarkStart w:id="4" w:name="PE"/>
      <w:r w:rsidRPr="00E074A0">
        <w:rPr>
          <w:vanish/>
        </w:rPr>
        <w:t>PE767.903</w:t>
      </w:r>
      <w:bookmarkEnd w:id="4"/>
    </w:p>
    <w:p w14:paraId="22B7C1D9" w14:textId="77777777" w:rsidR="00203548" w:rsidRPr="00E074A0" w:rsidRDefault="00203548" w:rsidP="00203548">
      <w:pPr>
        <w:pStyle w:val="ATHeading3"/>
      </w:pPr>
      <w:bookmarkStart w:id="5" w:name="Sujet"/>
      <w:r w:rsidRPr="00E074A0">
        <w:t xml:space="preserve">Euroopan parlamentin lainsäädäntöpäätöslauselma </w:t>
      </w:r>
      <w:r w:rsidR="00EA5DE3">
        <w:t>17</w:t>
      </w:r>
      <w:r w:rsidRPr="00E074A0">
        <w:t>. kesäkuut</w:t>
      </w:r>
      <w:r w:rsidRPr="007969DA">
        <w:t xml:space="preserve">a 2025 </w:t>
      </w:r>
      <w:r w:rsidRPr="00D26BF0">
        <w:t>esityksestä</w:t>
      </w:r>
      <w:r w:rsidRPr="00E074A0">
        <w:t xml:space="preserve"> neuvoston direktiiviksi niille unionin kansalaisille, jotka asuvat jäsenvaltiossa, mutta eivät ole sen kansalaisia, Euroopan parlamentin vaaleissa kuu</w:t>
      </w:r>
      <w:bookmarkStart w:id="6" w:name="_GoBack"/>
      <w:bookmarkEnd w:id="6"/>
      <w:r w:rsidRPr="00E074A0">
        <w:t>luvaa äänioikeutta ja vaalikelpoisuutta koskevista yksityiskohtaisista säännöistä (uudelleenlaadittu)</w:t>
      </w:r>
      <w:bookmarkEnd w:id="5"/>
      <w:r w:rsidRPr="00E074A0">
        <w:t xml:space="preserve"> </w:t>
      </w:r>
      <w:bookmarkStart w:id="7" w:name="References"/>
      <w:r w:rsidRPr="00E074A0">
        <w:t>(09789/2024 – C10-0001/2024– 2021/0372(CNS))</w:t>
      </w:r>
      <w:bookmarkEnd w:id="7"/>
    </w:p>
    <w:p w14:paraId="7E9464AA" w14:textId="0A5D29A0" w:rsidR="00F76767" w:rsidRPr="00E074A0" w:rsidRDefault="00F76767" w:rsidP="00F76767">
      <w:pPr>
        <w:pStyle w:val="NormalBold"/>
      </w:pPr>
      <w:r w:rsidRPr="00E074A0">
        <w:t xml:space="preserve">(Erityinen lainsäätämisjärjestys – </w:t>
      </w:r>
      <w:r w:rsidR="007969DA">
        <w:t xml:space="preserve">uudelleen </w:t>
      </w:r>
      <w:r w:rsidRPr="00E074A0">
        <w:t>kuuleminen – uudelleenlaatiminen)</w:t>
      </w:r>
    </w:p>
    <w:p w14:paraId="1DE6CEDD" w14:textId="77777777" w:rsidR="00F76767" w:rsidRPr="00E074A0" w:rsidRDefault="00F76767" w:rsidP="00F575DA">
      <w:pPr>
        <w:pStyle w:val="EPComma"/>
        <w:widowControl/>
      </w:pPr>
      <w:r w:rsidRPr="00E074A0">
        <w:rPr>
          <w:i/>
          <w:iCs/>
        </w:rPr>
        <w:t>Euroopan parlamentti</w:t>
      </w:r>
      <w:r w:rsidRPr="00E074A0">
        <w:t>, joka</w:t>
      </w:r>
    </w:p>
    <w:p w14:paraId="3A9AA690" w14:textId="77777777" w:rsidR="00F76767" w:rsidRPr="00E074A0" w:rsidRDefault="00F76767" w:rsidP="00F575DA">
      <w:pPr>
        <w:pStyle w:val="NormalHanging12a"/>
        <w:widowControl/>
      </w:pPr>
      <w:r w:rsidRPr="00E074A0">
        <w:t>–</w:t>
      </w:r>
      <w:r w:rsidRPr="00E074A0">
        <w:tab/>
        <w:t>ottaa huomioon neuvoston esityksen (09789/2024),</w:t>
      </w:r>
    </w:p>
    <w:p w14:paraId="59F4B794" w14:textId="77777777" w:rsidR="00F76767" w:rsidRDefault="00F76767" w:rsidP="00F575DA">
      <w:pPr>
        <w:pStyle w:val="NormalHanging12a"/>
        <w:widowControl/>
      </w:pPr>
      <w:r w:rsidRPr="00E074A0">
        <w:t>–</w:t>
      </w:r>
      <w:r w:rsidRPr="00E074A0">
        <w:tab/>
        <w:t>ottaa huomioon komission ehdotuksen neuvostolle (COM(2021)0732),</w:t>
      </w:r>
    </w:p>
    <w:p w14:paraId="1C339DBB" w14:textId="02D6AD9A" w:rsidR="00F364E3" w:rsidRPr="00E074A0" w:rsidRDefault="00F364E3" w:rsidP="00F575DA">
      <w:pPr>
        <w:pStyle w:val="NormalHanging12a"/>
        <w:widowControl/>
      </w:pPr>
      <w:r>
        <w:t>–</w:t>
      </w:r>
      <w:r>
        <w:tab/>
        <w:t>ottaa huomioon 14</w:t>
      </w:r>
      <w:r w:rsidR="007969DA">
        <w:t>.</w:t>
      </w:r>
      <w:r>
        <w:t xml:space="preserve"> helmikuuta 2023 </w:t>
      </w:r>
      <w:r w:rsidR="007969DA">
        <w:t>vahvistamansa</w:t>
      </w:r>
      <w:r>
        <w:t xml:space="preserve"> kannan</w:t>
      </w:r>
      <w:r>
        <w:rPr>
          <w:rStyle w:val="FootnoteReference"/>
        </w:rPr>
        <w:footnoteReference w:id="1"/>
      </w:r>
      <w:r>
        <w:t>,</w:t>
      </w:r>
    </w:p>
    <w:p w14:paraId="0336D72B" w14:textId="34F6EF8E" w:rsidR="00F76767" w:rsidRPr="00E074A0" w:rsidRDefault="00F76767" w:rsidP="00F575DA">
      <w:pPr>
        <w:pStyle w:val="NormalHanging12a"/>
        <w:widowControl/>
      </w:pPr>
      <w:r w:rsidRPr="00E074A0">
        <w:t>–</w:t>
      </w:r>
      <w:r w:rsidRPr="00E074A0">
        <w:tab/>
        <w:t xml:space="preserve">ottaa huomioon Euroopan unionin toiminnasta tehdyn sopimuksen 22 artiklan 2 kohdan, jonka mukaisesti neuvosto on kuullut parlamenttia </w:t>
      </w:r>
      <w:r w:rsidR="007969DA">
        <w:t xml:space="preserve">uudelleen </w:t>
      </w:r>
      <w:r w:rsidRPr="00E074A0">
        <w:t>(C10-0001/2024),</w:t>
      </w:r>
    </w:p>
    <w:p w14:paraId="69E943FE" w14:textId="77777777" w:rsidR="00F76767" w:rsidRPr="00E074A0" w:rsidRDefault="00F76767" w:rsidP="00F575DA">
      <w:pPr>
        <w:pStyle w:val="NormalHanging12a"/>
        <w:widowControl/>
      </w:pPr>
      <w:r w:rsidRPr="00E074A0">
        <w:t>–</w:t>
      </w:r>
      <w:r w:rsidRPr="00E074A0">
        <w:tab/>
        <w:t>ottaa huomioon säädösten uudelleenlaatimistekniikan järjestelmällisestä käytöstä 28. marraskuuta 2001 tehdyn toimielinten välisen sopimuksen</w:t>
      </w:r>
      <w:r w:rsidRPr="00E074A0">
        <w:rPr>
          <w:rStyle w:val="FootnoteReference"/>
        </w:rPr>
        <w:footnoteReference w:id="2"/>
      </w:r>
      <w:r w:rsidRPr="00E074A0">
        <w:t>,</w:t>
      </w:r>
    </w:p>
    <w:p w14:paraId="34E24A08" w14:textId="77777777" w:rsidR="00F76767" w:rsidRPr="00E074A0" w:rsidRDefault="00F76767" w:rsidP="00F575DA">
      <w:pPr>
        <w:pStyle w:val="NormalHanging12a"/>
        <w:widowControl/>
      </w:pPr>
      <w:r w:rsidRPr="00E074A0">
        <w:t>–</w:t>
      </w:r>
      <w:r w:rsidRPr="00E074A0">
        <w:tab/>
        <w:t>ottaa huomioon oikeudellisten asioiden valiokunnan perussopimus-, työjärjestys- ja toimielinasioiden valiokunnalle työjärjestyksen 113 artiklan 3 kohdan mukaisesti osoittaman 8. marraskuuta 2022 päivätyn kirjeen,</w:t>
      </w:r>
    </w:p>
    <w:p w14:paraId="683EEED1" w14:textId="6F94AAF6" w:rsidR="00F76767" w:rsidRPr="00E074A0" w:rsidRDefault="00F76767" w:rsidP="00F575DA">
      <w:pPr>
        <w:pStyle w:val="NormalHanging12a"/>
        <w:widowControl/>
      </w:pPr>
      <w:r w:rsidRPr="00E074A0">
        <w:t>–</w:t>
      </w:r>
      <w:r w:rsidRPr="00E074A0">
        <w:tab/>
        <w:t>ottaa huomioon työjärjestyksen 113</w:t>
      </w:r>
      <w:r w:rsidR="002D62F4">
        <w:t>,</w:t>
      </w:r>
      <w:r w:rsidR="00444C03">
        <w:t xml:space="preserve"> </w:t>
      </w:r>
      <w:r w:rsidRPr="00E074A0">
        <w:t>84</w:t>
      </w:r>
      <w:r w:rsidR="002D62F4">
        <w:t xml:space="preserve"> ja 86</w:t>
      </w:r>
      <w:r w:rsidRPr="00E074A0">
        <w:t> artiklan,</w:t>
      </w:r>
    </w:p>
    <w:p w14:paraId="515CC6EE" w14:textId="77777777" w:rsidR="00F76767" w:rsidRPr="00E074A0" w:rsidRDefault="00F76767" w:rsidP="00F575DA">
      <w:pPr>
        <w:pStyle w:val="NormalHanging12a"/>
        <w:widowControl/>
      </w:pPr>
      <w:r w:rsidRPr="00E074A0">
        <w:t>–</w:t>
      </w:r>
      <w:r w:rsidRPr="00E074A0">
        <w:tab/>
        <w:t>ottaa huomioon kansalaisvapauksien sekä oikeus- ja sisäasioiden valiokunnan kirjeen,</w:t>
      </w:r>
    </w:p>
    <w:p w14:paraId="6F486DBA" w14:textId="77777777" w:rsidR="00F76767" w:rsidRPr="00E074A0" w:rsidRDefault="00F76767" w:rsidP="00F575DA">
      <w:pPr>
        <w:pStyle w:val="NormalHanging12a"/>
        <w:widowControl/>
      </w:pPr>
      <w:r w:rsidRPr="00E074A0">
        <w:t>–</w:t>
      </w:r>
      <w:r w:rsidRPr="00E074A0">
        <w:tab/>
        <w:t>ottaa huomioon perussopimus-, työjärjestys- ja toimielinasioiden valiokunnan mietinnön (A10-0090/2025),</w:t>
      </w:r>
    </w:p>
    <w:p w14:paraId="48A66D88" w14:textId="77777777" w:rsidR="00F76767" w:rsidRPr="00E074A0" w:rsidRDefault="00F76767" w:rsidP="00F575DA">
      <w:pPr>
        <w:pStyle w:val="NormalHanging12a"/>
        <w:widowControl/>
      </w:pPr>
      <w:r w:rsidRPr="00E074A0">
        <w:t>A.</w:t>
      </w:r>
      <w:r w:rsidRPr="00E074A0">
        <w:tab/>
        <w:t xml:space="preserve">toteaa, että Euroopan parlamentin, neuvoston ja komission oikeudellisista yksiköistä koostuvan neuvoa-antavan ryhmän mukaan komission ehdotus ei sisällä muita sisällön muutoksia kuin ne, jotka siinä on sellaisiksi yksilöity, ja siinä ainoastaan kodifioidaan </w:t>
      </w:r>
      <w:r w:rsidRPr="00E074A0">
        <w:lastRenderedPageBreak/>
        <w:t>aikaisemman säädöksen muuttumattomina säilyvät säännökset näiden muutosten kanssa säännösten asiasisältöä muuttamatta;</w:t>
      </w:r>
    </w:p>
    <w:p w14:paraId="33C4E914" w14:textId="77777777" w:rsidR="00F76767" w:rsidRPr="00E074A0" w:rsidRDefault="00F76767" w:rsidP="00F575DA">
      <w:pPr>
        <w:pStyle w:val="NormalHanging12a"/>
        <w:widowControl/>
      </w:pPr>
      <w:r w:rsidRPr="00E074A0">
        <w:t>1.</w:t>
      </w:r>
      <w:r w:rsidRPr="00E074A0">
        <w:tab/>
        <w:t>hyväksyy neuvoston esityksen sellaisena kuin se on mukautettuna Euroopan parlamentin, neuvoston ja komission oikeudellisista yksiköistä koostuvan neuvoa-antavan ryhmän suositusten perusteella;</w:t>
      </w:r>
    </w:p>
    <w:p w14:paraId="242E629C" w14:textId="5CBC5BCD" w:rsidR="00F76767" w:rsidRPr="00E074A0" w:rsidRDefault="00F76767" w:rsidP="00F575DA">
      <w:pPr>
        <w:pStyle w:val="NormalHanging12a"/>
        <w:widowControl/>
      </w:pPr>
      <w:r w:rsidRPr="00E074A0">
        <w:t>2.</w:t>
      </w:r>
      <w:r w:rsidRPr="00E074A0">
        <w:tab/>
        <w:t xml:space="preserve">pitää erittäin valitettavana, että vaikka neuvosto on muodollisesti noudattanut </w:t>
      </w:r>
      <w:r w:rsidR="007969DA" w:rsidRPr="00E074A0">
        <w:t>Euroopan unionin toiminnasta tehdyn sopimuksen</w:t>
      </w:r>
      <w:r w:rsidR="007969DA" w:rsidRPr="00E074A0" w:rsidDel="007969DA">
        <w:t xml:space="preserve"> </w:t>
      </w:r>
      <w:r w:rsidRPr="00E074A0">
        <w:t>22 artiklan 2 kohtaa, se ei ole käsitellyt merkityksellisellä tavalla parlamentin lausunnon sisältöä; huomauttaa, että tämä käytäntö on osoitus viime vuosien laajemmasta suuntauksesta, jossa neuvosto ja Eurooppa-neuvosto ovat kieltäytyneet rakentavasta ja vilpittömäs</w:t>
      </w:r>
      <w:r w:rsidR="007969DA">
        <w:t>t</w:t>
      </w:r>
      <w:r w:rsidRPr="00E074A0">
        <w:t xml:space="preserve">ä yhteistyöstä </w:t>
      </w:r>
      <w:r w:rsidR="007969DA">
        <w:t xml:space="preserve">useissa </w:t>
      </w:r>
      <w:r w:rsidRPr="00E074A0">
        <w:t>meneillään olevissa erityis</w:t>
      </w:r>
      <w:r w:rsidR="007969DA">
        <w:t>e</w:t>
      </w:r>
      <w:r w:rsidRPr="00E074A0">
        <w:t xml:space="preserve">ssä </w:t>
      </w:r>
      <w:r w:rsidR="007969DA">
        <w:t>lains</w:t>
      </w:r>
      <w:r w:rsidR="00007BDA">
        <w:t>ä</w:t>
      </w:r>
      <w:r w:rsidR="007969DA">
        <w:t>ätämisjärjestyksessä käytäv</w:t>
      </w:r>
      <w:r w:rsidR="004C6C61">
        <w:t>i</w:t>
      </w:r>
      <w:r w:rsidR="007969DA">
        <w:t xml:space="preserve">ssä </w:t>
      </w:r>
      <w:r w:rsidR="007969DA" w:rsidRPr="00E074A0">
        <w:t>menettelyissä</w:t>
      </w:r>
      <w:r w:rsidRPr="00E074A0">
        <w:t>; palauttaa mieliin 13. joulukuuta 2023 annettuun mietintöönsä sisältyvät suositukset ja kehottaa jälleen neuvostoa ja Eurooppa-neuvostoa tekemään parlamentin kanssa rakentavaa yhteistyötä unionin kansalaisten edun mukaisten toimintaratkaisujen löytämiseksi;</w:t>
      </w:r>
    </w:p>
    <w:p w14:paraId="2289B2F2" w14:textId="77777777" w:rsidR="00F76767" w:rsidRPr="004C6C61" w:rsidRDefault="00F76767" w:rsidP="00F575DA">
      <w:pPr>
        <w:pStyle w:val="NormalHanging12a"/>
        <w:widowControl/>
      </w:pPr>
      <w:r w:rsidRPr="00E074A0">
        <w:t>3.</w:t>
      </w:r>
      <w:r w:rsidRPr="00E074A0">
        <w:tab/>
        <w:t>pyytää neuvostoa ilmoittamaan parlamentille, jos se aikoo poiketa parlamentin hyv</w:t>
      </w:r>
      <w:r w:rsidRPr="004C6C61">
        <w:t>äksymästä sanamuodosta;</w:t>
      </w:r>
    </w:p>
    <w:p w14:paraId="17A2B134" w14:textId="51D4110A" w:rsidR="00F76767" w:rsidRPr="00E074A0" w:rsidRDefault="00F76767" w:rsidP="00F575DA">
      <w:pPr>
        <w:pStyle w:val="NormalHanging12a"/>
        <w:widowControl/>
      </w:pPr>
      <w:r w:rsidRPr="004C6C61">
        <w:t>4.</w:t>
      </w:r>
      <w:r w:rsidRPr="004C6C61">
        <w:tab/>
        <w:t xml:space="preserve">pyytää </w:t>
      </w:r>
      <w:r w:rsidR="004C6C61" w:rsidRPr="00D26BF0">
        <w:t xml:space="preserve">tulla kuulluksi </w:t>
      </w:r>
      <w:r w:rsidRPr="004C6C61">
        <w:t>uudelleen, jos</w:t>
      </w:r>
      <w:r w:rsidR="004C6C61" w:rsidRPr="00D26BF0">
        <w:t xml:space="preserve"> neuvosto </w:t>
      </w:r>
      <w:r w:rsidRPr="004C6C61">
        <w:t xml:space="preserve">aikoo </w:t>
      </w:r>
      <w:r w:rsidR="004C6C61" w:rsidRPr="00D26BF0">
        <w:t xml:space="preserve">tehdä huomattavia muutoksia </w:t>
      </w:r>
      <w:r w:rsidR="002D62F4" w:rsidRPr="004C6C61">
        <w:t>e</w:t>
      </w:r>
      <w:r w:rsidR="004C6C61" w:rsidRPr="004C6C61">
        <w:t>sitykseensä</w:t>
      </w:r>
      <w:r w:rsidR="00605E3D" w:rsidRPr="004C6C61">
        <w:t>;</w:t>
      </w:r>
    </w:p>
    <w:p w14:paraId="5774CFB6" w14:textId="77777777" w:rsidR="00E074A0" w:rsidRPr="00E074A0" w:rsidRDefault="00F76767" w:rsidP="00F575DA">
      <w:pPr>
        <w:pStyle w:val="NormalHanging12a"/>
        <w:widowControl/>
      </w:pPr>
      <w:r w:rsidRPr="00E074A0">
        <w:t>5.</w:t>
      </w:r>
      <w:r w:rsidRPr="00E074A0">
        <w:tab/>
        <w:t>kehottaa puhemiestä välittämään parlamentin kannan neuvostolle ja komissiolle sekä kansallisille parlamenteille.</w:t>
      </w:r>
    </w:p>
    <w:sectPr w:rsidR="00E074A0" w:rsidRPr="00E074A0" w:rsidSect="00E074A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5D5943" w14:textId="77777777" w:rsidR="00203548" w:rsidRPr="00E074A0" w:rsidRDefault="00203548">
      <w:r w:rsidRPr="00E074A0">
        <w:separator/>
      </w:r>
    </w:p>
  </w:endnote>
  <w:endnote w:type="continuationSeparator" w:id="0">
    <w:p w14:paraId="11AA2900" w14:textId="77777777" w:rsidR="00203548" w:rsidRPr="00E074A0" w:rsidRDefault="00203548">
      <w:r w:rsidRPr="00E074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D00AD2" w14:textId="77777777" w:rsidR="00203548" w:rsidRPr="00E074A0" w:rsidRDefault="00203548">
      <w:r w:rsidRPr="00E074A0">
        <w:separator/>
      </w:r>
    </w:p>
  </w:footnote>
  <w:footnote w:type="continuationSeparator" w:id="0">
    <w:p w14:paraId="6C0718BF" w14:textId="77777777" w:rsidR="00203548" w:rsidRPr="00E074A0" w:rsidRDefault="00203548">
      <w:r w:rsidRPr="00E074A0">
        <w:continuationSeparator/>
      </w:r>
    </w:p>
  </w:footnote>
  <w:footnote w:id="1">
    <w:p w14:paraId="7979D7C0" w14:textId="77777777" w:rsidR="00F364E3" w:rsidRPr="00D26BF0" w:rsidRDefault="00F364E3" w:rsidP="00D26BF0">
      <w:pPr>
        <w:pStyle w:val="FootnoteText"/>
        <w:ind w:left="567" w:hanging="567"/>
        <w:rPr>
          <w:lang w:val="da-DK"/>
        </w:rPr>
      </w:pPr>
      <w:r>
        <w:rPr>
          <w:rStyle w:val="FootnoteReference"/>
        </w:rPr>
        <w:footnoteRef/>
      </w:r>
      <w:r w:rsidRPr="00D26BF0">
        <w:rPr>
          <w:lang w:val="da-DK"/>
        </w:rPr>
        <w:t xml:space="preserve"> </w:t>
      </w:r>
      <w:r w:rsidRPr="00D26BF0">
        <w:rPr>
          <w:lang w:val="da-DK"/>
        </w:rPr>
        <w:tab/>
      </w:r>
      <w:r w:rsidRPr="00D26BF0">
        <w:rPr>
          <w:sz w:val="24"/>
          <w:lang w:val="da-DK"/>
        </w:rPr>
        <w:t>EUVL C 283, 11.8.2023, s. 76.</w:t>
      </w:r>
    </w:p>
  </w:footnote>
  <w:footnote w:id="2">
    <w:p w14:paraId="5256D304" w14:textId="77777777" w:rsidR="00F76767" w:rsidRPr="00D26BF0" w:rsidRDefault="00F76767" w:rsidP="00E074A0">
      <w:pPr>
        <w:pStyle w:val="FootnoteText"/>
        <w:ind w:left="567" w:hanging="567"/>
        <w:rPr>
          <w:sz w:val="24"/>
          <w:lang w:val="da-DK"/>
        </w:rPr>
      </w:pPr>
      <w:r w:rsidRPr="00E074A0">
        <w:rPr>
          <w:rStyle w:val="FootnoteReference"/>
          <w:sz w:val="24"/>
          <w:lang w:val="fi-FI"/>
        </w:rPr>
        <w:footnoteRef/>
      </w:r>
      <w:r w:rsidR="00E074A0" w:rsidRPr="00D26BF0">
        <w:rPr>
          <w:sz w:val="24"/>
          <w:lang w:val="da-DK"/>
        </w:rPr>
        <w:t xml:space="preserve"> </w:t>
      </w:r>
      <w:r w:rsidR="00E074A0" w:rsidRPr="00D26BF0">
        <w:rPr>
          <w:sz w:val="24"/>
          <w:lang w:val="da-DK"/>
        </w:rPr>
        <w:tab/>
      </w:r>
      <w:r w:rsidRPr="00D26BF0">
        <w:rPr>
          <w:sz w:val="24"/>
          <w:lang w:val="da-DK"/>
        </w:rPr>
        <w:t>EYVL C 77, 28.3.2002,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mirrorMargins/>
  <w:bordersDoNotSurroundHeader/>
  <w:bordersDoNotSurroundFooter/>
  <w:activeWritingStyle w:appName="MSWord" w:lang="fi-FI" w:vendorID="64" w:dllVersion="131078" w:nlCheck="1" w:checkStyle="0"/>
  <w:activeWritingStyle w:appName="MSWord" w:lang="fr-FR" w:vendorID="64" w:dllVersion="131078" w:nlCheck="1" w:checkStyle="0"/>
  <w:activeWritingStyle w:appName="MSWord" w:lang="da-DK"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0/2025"/>
    <w:docVar w:name="dvlangue" w:val="FI"/>
    <w:docVar w:name="dvnumam" w:val="0"/>
    <w:docVar w:name="dvpe" w:val="767.903"/>
    <w:docVar w:name="dvrapporteur" w:val="Esittelijä: "/>
    <w:docVar w:name="dvstar" w:val="*"/>
    <w:docVar w:name="dvtitre" w:val="Euroopan parlamentin lainsäädäntöpäätöslauselma xx. kesäkuuta 2025 esityksestä neuvoston direktiiviksi niille unionin kansalaisille, jotka asuvat jäsenvaltiossa, mutta eivät ole sen kansalaisia, Euroopan parlamentin vaaleissa kuuluvaa äänioikeutta ja vaalikelpoisuutta koskevista yksityiskohtaisista säännöistä (uudelleenlaadittu)(09789/2024 – C10-0001/2024– 2021/0372(CNS))"/>
  </w:docVars>
  <w:rsids>
    <w:rsidRoot w:val="00203548"/>
    <w:rsid w:val="00002272"/>
    <w:rsid w:val="00007BDA"/>
    <w:rsid w:val="00064002"/>
    <w:rsid w:val="000677B9"/>
    <w:rsid w:val="000831BA"/>
    <w:rsid w:val="000A42CC"/>
    <w:rsid w:val="000E7DD9"/>
    <w:rsid w:val="0010095E"/>
    <w:rsid w:val="00125B37"/>
    <w:rsid w:val="00187494"/>
    <w:rsid w:val="001F32AE"/>
    <w:rsid w:val="00203548"/>
    <w:rsid w:val="002767FF"/>
    <w:rsid w:val="002B18FE"/>
    <w:rsid w:val="002B5493"/>
    <w:rsid w:val="002D62F4"/>
    <w:rsid w:val="00343214"/>
    <w:rsid w:val="00361C00"/>
    <w:rsid w:val="00395FA1"/>
    <w:rsid w:val="003E15D4"/>
    <w:rsid w:val="00411CCE"/>
    <w:rsid w:val="00416424"/>
    <w:rsid w:val="0041666E"/>
    <w:rsid w:val="00421060"/>
    <w:rsid w:val="00444C03"/>
    <w:rsid w:val="00471C19"/>
    <w:rsid w:val="004867E3"/>
    <w:rsid w:val="00494A28"/>
    <w:rsid w:val="004C0004"/>
    <w:rsid w:val="004C5D52"/>
    <w:rsid w:val="004C6C61"/>
    <w:rsid w:val="0050519A"/>
    <w:rsid w:val="005072A1"/>
    <w:rsid w:val="00514517"/>
    <w:rsid w:val="00545827"/>
    <w:rsid w:val="00560270"/>
    <w:rsid w:val="005C2568"/>
    <w:rsid w:val="005F1B17"/>
    <w:rsid w:val="006037C0"/>
    <w:rsid w:val="00605E3D"/>
    <w:rsid w:val="006631B6"/>
    <w:rsid w:val="00680577"/>
    <w:rsid w:val="006F74FA"/>
    <w:rsid w:val="00731ADD"/>
    <w:rsid w:val="00734777"/>
    <w:rsid w:val="00747932"/>
    <w:rsid w:val="00751A4A"/>
    <w:rsid w:val="00756632"/>
    <w:rsid w:val="00762C74"/>
    <w:rsid w:val="00786EC0"/>
    <w:rsid w:val="007910F2"/>
    <w:rsid w:val="007969D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6BF0"/>
    <w:rsid w:val="00D56C11"/>
    <w:rsid w:val="00D834A0"/>
    <w:rsid w:val="00D872DF"/>
    <w:rsid w:val="00D91E21"/>
    <w:rsid w:val="00DA7FCD"/>
    <w:rsid w:val="00E074A0"/>
    <w:rsid w:val="00E365E1"/>
    <w:rsid w:val="00E820A4"/>
    <w:rsid w:val="00EA5DE3"/>
    <w:rsid w:val="00EB006A"/>
    <w:rsid w:val="00EB4772"/>
    <w:rsid w:val="00ED169E"/>
    <w:rsid w:val="00ED4235"/>
    <w:rsid w:val="00F04346"/>
    <w:rsid w:val="00F075DC"/>
    <w:rsid w:val="00F149E9"/>
    <w:rsid w:val="00F364E3"/>
    <w:rsid w:val="00F5134D"/>
    <w:rsid w:val="00F575DA"/>
    <w:rsid w:val="00F74202"/>
    <w:rsid w:val="00F7676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E648B"/>
  <w15:chartTrackingRefBased/>
  <w15:docId w15:val="{2337E9DE-420C-49F8-B12F-A0D6C34B4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76767"/>
    <w:rPr>
      <w:b/>
    </w:rPr>
  </w:style>
  <w:style w:type="paragraph" w:customStyle="1" w:styleId="NormalHanging12a">
    <w:name w:val="NormalHanging12a"/>
    <w:basedOn w:val="Normal"/>
    <w:link w:val="NormalHanging12aChar"/>
    <w:rsid w:val="00F76767"/>
    <w:pPr>
      <w:spacing w:after="240"/>
      <w:ind w:left="567" w:hanging="567"/>
    </w:pPr>
  </w:style>
  <w:style w:type="paragraph" w:customStyle="1" w:styleId="EPComma">
    <w:name w:val="EPComma"/>
    <w:basedOn w:val="Normal"/>
    <w:rsid w:val="00F76767"/>
    <w:pPr>
      <w:spacing w:before="480" w:after="240"/>
    </w:pPr>
  </w:style>
  <w:style w:type="character" w:customStyle="1" w:styleId="NormalHanging12aChar">
    <w:name w:val="NormalHanging12a Char"/>
    <w:basedOn w:val="DefaultParagraphFont"/>
    <w:link w:val="NormalHanging12a"/>
    <w:rsid w:val="00F76767"/>
    <w:rPr>
      <w:sz w:val="24"/>
      <w:lang w:val="fi-FI"/>
    </w:rPr>
  </w:style>
  <w:style w:type="paragraph" w:styleId="Footer">
    <w:name w:val="footer"/>
    <w:basedOn w:val="Normal"/>
    <w:link w:val="FooterChar"/>
    <w:rsid w:val="00F575DA"/>
    <w:pPr>
      <w:tabs>
        <w:tab w:val="center" w:pos="4513"/>
        <w:tab w:val="right" w:pos="9026"/>
      </w:tabs>
    </w:pPr>
  </w:style>
  <w:style w:type="character" w:customStyle="1" w:styleId="FooterChar">
    <w:name w:val="Footer Char"/>
    <w:basedOn w:val="DefaultParagraphFont"/>
    <w:link w:val="Footer"/>
    <w:rsid w:val="00F575DA"/>
    <w:rPr>
      <w:sz w:val="24"/>
      <w:lang w:val="fi-FI"/>
    </w:rPr>
  </w:style>
  <w:style w:type="paragraph" w:styleId="BalloonText">
    <w:name w:val="Balloon Text"/>
    <w:basedOn w:val="Normal"/>
    <w:link w:val="BalloonTextChar"/>
    <w:rsid w:val="00F364E3"/>
    <w:rPr>
      <w:rFonts w:ascii="Segoe UI" w:hAnsi="Segoe UI" w:cs="Segoe UI"/>
      <w:sz w:val="18"/>
      <w:szCs w:val="18"/>
    </w:rPr>
  </w:style>
  <w:style w:type="character" w:customStyle="1" w:styleId="BalloonTextChar">
    <w:name w:val="Balloon Text Char"/>
    <w:basedOn w:val="DefaultParagraphFont"/>
    <w:link w:val="BalloonText"/>
    <w:rsid w:val="00F364E3"/>
    <w:rPr>
      <w:rFonts w:ascii="Segoe UI" w:hAnsi="Segoe UI" w:cs="Segoe UI"/>
      <w:sz w:val="18"/>
      <w:szCs w:val="18"/>
      <w:lang w:val="fi-FI"/>
    </w:rPr>
  </w:style>
  <w:style w:type="character" w:styleId="CommentReference">
    <w:name w:val="annotation reference"/>
    <w:basedOn w:val="DefaultParagraphFont"/>
    <w:rsid w:val="00416424"/>
    <w:rPr>
      <w:sz w:val="16"/>
      <w:szCs w:val="16"/>
    </w:rPr>
  </w:style>
  <w:style w:type="paragraph" w:styleId="CommentText">
    <w:name w:val="annotation text"/>
    <w:basedOn w:val="Normal"/>
    <w:link w:val="CommentTextChar"/>
    <w:rsid w:val="00416424"/>
    <w:rPr>
      <w:sz w:val="20"/>
    </w:rPr>
  </w:style>
  <w:style w:type="character" w:customStyle="1" w:styleId="CommentTextChar">
    <w:name w:val="Comment Text Char"/>
    <w:basedOn w:val="DefaultParagraphFont"/>
    <w:link w:val="CommentText"/>
    <w:rsid w:val="00416424"/>
    <w:rPr>
      <w:lang w:val="fi-FI"/>
    </w:rPr>
  </w:style>
  <w:style w:type="paragraph" w:styleId="CommentSubject">
    <w:name w:val="annotation subject"/>
    <w:basedOn w:val="CommentText"/>
    <w:next w:val="CommentText"/>
    <w:link w:val="CommentSubjectChar"/>
    <w:rsid w:val="00416424"/>
    <w:rPr>
      <w:b/>
      <w:bCs/>
    </w:rPr>
  </w:style>
  <w:style w:type="character" w:customStyle="1" w:styleId="CommentSubjectChar">
    <w:name w:val="Comment Subject Char"/>
    <w:basedOn w:val="CommentTextChar"/>
    <w:link w:val="CommentSubject"/>
    <w:rsid w:val="00416424"/>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1E6E07-FF98-4ABA-9904-4B529BDA3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354</Words>
  <Characters>3047</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2025-06-17T11:37:00Z</dcterms:created>
  <dcterms:modified xsi:type="dcterms:W3CDTF">2025-06-17T11:37:00Z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A10-0090/2025</vt:lpwstr>
  </property>
  <property fmtid="{D5CDD505-2E9C-101B-9397-08002B2CF9AE}" pid="4" name="&lt;Type&gt;">
    <vt:lpwstr>RR</vt:lpwstr>
  </property>
</Properties>
</file>