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F65" w:rsidTr="0010095E">
        <w:trPr>
          <w:trHeight w:hRule="exact" w:val="1418"/>
        </w:trPr>
        <w:tc>
          <w:tcPr>
            <w:tcW w:w="6804" w:type="dxa"/>
            <w:shd w:val="clear" w:color="auto" w:fill="auto"/>
            <w:vAlign w:val="center"/>
          </w:tcPr>
          <w:p w:rsidR="00751A4A" w:rsidRPr="00B83F65" w:rsidRDefault="00DD6341" w:rsidP="0010095E">
            <w:pPr>
              <w:pStyle w:val="EPName"/>
            </w:pPr>
            <w:bookmarkStart w:id="0" w:name="_GoBack"/>
            <w:bookmarkEnd w:id="0"/>
            <w:r w:rsidRPr="00B83F65">
              <w:t>Europos Parlamentas</w:t>
            </w:r>
          </w:p>
          <w:p w:rsidR="00751A4A" w:rsidRPr="00B83F65" w:rsidRDefault="005F1B17" w:rsidP="005F1B17">
            <w:pPr>
              <w:pStyle w:val="EPTerm"/>
              <w:rPr>
                <w:rStyle w:val="HideTWBExt"/>
                <w:noProof w:val="0"/>
                <w:vanish w:val="0"/>
                <w:color w:val="auto"/>
              </w:rPr>
            </w:pPr>
            <w:r w:rsidRPr="00B83F65">
              <w:t>2024</w:t>
            </w:r>
            <w:r w:rsidR="00817416" w:rsidRPr="00B83F65">
              <w:t>-202</w:t>
            </w:r>
            <w:r w:rsidRPr="00B83F65">
              <w:t>9</w:t>
            </w:r>
          </w:p>
        </w:tc>
        <w:tc>
          <w:tcPr>
            <w:tcW w:w="2268" w:type="dxa"/>
            <w:shd w:val="clear" w:color="auto" w:fill="auto"/>
          </w:tcPr>
          <w:p w:rsidR="00751A4A" w:rsidRPr="00B83F65" w:rsidRDefault="00187494" w:rsidP="0010095E">
            <w:pPr>
              <w:pStyle w:val="EPLogo"/>
            </w:pPr>
            <w:r w:rsidRPr="00B83F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3F65" w:rsidRDefault="00D058B8" w:rsidP="004C5D52">
      <w:pPr>
        <w:pStyle w:val="LineTop"/>
      </w:pPr>
    </w:p>
    <w:p w:rsidR="00680577" w:rsidRPr="00B83F65" w:rsidRDefault="00DD6341" w:rsidP="00680577">
      <w:pPr>
        <w:pStyle w:val="EPBodyTA1"/>
      </w:pPr>
      <w:r w:rsidRPr="00B83F65">
        <w:t>PRIIMTI TEKSTAI</w:t>
      </w:r>
    </w:p>
    <w:p w:rsidR="00D058B8" w:rsidRPr="00B83F65" w:rsidRDefault="00D058B8" w:rsidP="00D058B8">
      <w:pPr>
        <w:pStyle w:val="LineBottom"/>
      </w:pPr>
    </w:p>
    <w:p w:rsidR="00DD6341" w:rsidRPr="00B83F65" w:rsidRDefault="00DD6341" w:rsidP="00DD6341">
      <w:pPr>
        <w:pStyle w:val="ATHeading1"/>
      </w:pPr>
      <w:bookmarkStart w:id="1" w:name="TANumber"/>
      <w:r w:rsidRPr="00B83F65">
        <w:t>P10_TA(2025)0</w:t>
      </w:r>
      <w:r w:rsidR="00E51401">
        <w:t>12</w:t>
      </w:r>
      <w:r w:rsidRPr="00B83F65">
        <w:t>0</w:t>
      </w:r>
      <w:bookmarkEnd w:id="1"/>
    </w:p>
    <w:p w:rsidR="00DD6341" w:rsidRPr="00B83F65" w:rsidRDefault="00DD6341" w:rsidP="00DD6341">
      <w:pPr>
        <w:pStyle w:val="ATHeading2"/>
      </w:pPr>
      <w:bookmarkStart w:id="2" w:name="title"/>
      <w:r w:rsidRPr="00B83F65">
        <w:t>Judžių Sąjungos piliečių rinkimų teisės Europos Parlamento rinkimuose</w:t>
      </w:r>
      <w:bookmarkEnd w:id="2"/>
    </w:p>
    <w:p w:rsidR="00DD6341" w:rsidRPr="00B83F65" w:rsidRDefault="00DD6341" w:rsidP="00DD6341">
      <w:pPr>
        <w:rPr>
          <w:i/>
          <w:vanish/>
        </w:rPr>
      </w:pPr>
      <w:r w:rsidRPr="00B83F65">
        <w:rPr>
          <w:i/>
        </w:rPr>
        <w:fldChar w:fldCharType="begin"/>
      </w:r>
      <w:r w:rsidRPr="00B83F65">
        <w:rPr>
          <w:i/>
        </w:rPr>
        <w:instrText xml:space="preserve"> TC"(</w:instrText>
      </w:r>
      <w:bookmarkStart w:id="3" w:name="DocNumber"/>
      <w:r w:rsidRPr="00B83F65">
        <w:rPr>
          <w:i/>
        </w:rPr>
        <w:instrText>A10-0090/2025</w:instrText>
      </w:r>
      <w:bookmarkEnd w:id="3"/>
      <w:r w:rsidRPr="00B83F65">
        <w:rPr>
          <w:i/>
        </w:rPr>
        <w:instrText xml:space="preserve"> - Pranešėjas: Sven Simon)"\l3 \n&gt; \* MERGEFORMAT </w:instrText>
      </w:r>
      <w:r w:rsidRPr="00B83F65">
        <w:rPr>
          <w:i/>
        </w:rPr>
        <w:fldChar w:fldCharType="end"/>
      </w:r>
    </w:p>
    <w:p w:rsidR="00DD6341" w:rsidRPr="00B83F65" w:rsidRDefault="00DD6341" w:rsidP="00DD6341">
      <w:pPr>
        <w:rPr>
          <w:vanish/>
        </w:rPr>
      </w:pPr>
      <w:bookmarkStart w:id="4" w:name="Commission"/>
      <w:r w:rsidRPr="00B83F65">
        <w:rPr>
          <w:vanish/>
        </w:rPr>
        <w:t>Konstitucinių reikalų komitetas</w:t>
      </w:r>
      <w:bookmarkEnd w:id="4"/>
    </w:p>
    <w:p w:rsidR="00DD6341" w:rsidRPr="00B83F65" w:rsidRDefault="00DD6341" w:rsidP="00DD6341">
      <w:pPr>
        <w:rPr>
          <w:vanish/>
        </w:rPr>
      </w:pPr>
      <w:bookmarkStart w:id="5" w:name="PE"/>
      <w:r w:rsidRPr="00B83F65">
        <w:rPr>
          <w:vanish/>
        </w:rPr>
        <w:t>PE767.903</w:t>
      </w:r>
      <w:bookmarkEnd w:id="5"/>
    </w:p>
    <w:p w:rsidR="00DD6341" w:rsidRPr="00B83F65" w:rsidRDefault="00DD6341" w:rsidP="00DD6341">
      <w:pPr>
        <w:pStyle w:val="ATHeading3"/>
      </w:pPr>
      <w:bookmarkStart w:id="6" w:name="Sujet"/>
      <w:r w:rsidRPr="00B83F65">
        <w:t xml:space="preserve">2025 m. </w:t>
      </w:r>
      <w:r w:rsidR="00E97E2E" w:rsidRPr="00B83F65">
        <w:t>birželio</w:t>
      </w:r>
      <w:r w:rsidRPr="00B83F65">
        <w:t xml:space="preserve"> 17 d. Europos Parlamento teisėkūros rezoliucija dėl Tarybos direktyvos, kuria nustatoma išsami Sąjungos piliečių, gyvenančių valstybėje narėje ir neturinčių jos pilietybės, naudojimosi teise balsuoti ir kandidatuoti Europos Parlamento rinkimuose tvarka</w:t>
      </w:r>
      <w:r w:rsidR="00AA7539">
        <w:t>,</w:t>
      </w:r>
      <w:r w:rsidR="00D225A4">
        <w:t xml:space="preserve"> projekto</w:t>
      </w:r>
      <w:r w:rsidRPr="00B83F65">
        <w:t xml:space="preserve"> (nauja redakcija)</w:t>
      </w:r>
      <w:bookmarkEnd w:id="6"/>
      <w:r w:rsidRPr="00B83F65">
        <w:t xml:space="preserve"> </w:t>
      </w:r>
      <w:bookmarkStart w:id="7" w:name="References"/>
      <w:r w:rsidRPr="00B83F65">
        <w:t>(09789/2024 – C10-0001/2024 – 2021/0372(CNS))</w:t>
      </w:r>
      <w:bookmarkEnd w:id="7"/>
    </w:p>
    <w:p w:rsidR="00B31D23" w:rsidRPr="00B83F65" w:rsidRDefault="00B31D23" w:rsidP="00B31D23">
      <w:pPr>
        <w:pStyle w:val="NormalBold"/>
      </w:pPr>
      <w:r w:rsidRPr="00B83F65">
        <w:t>(Speciali teisėkūros procedūra</w:t>
      </w:r>
      <w:r w:rsidR="00FC0825">
        <w:t xml:space="preserve">. Pakartotinė konsultacija </w:t>
      </w:r>
      <w:r w:rsidRPr="00B83F65">
        <w:t>– nauja redakcija)</w:t>
      </w:r>
    </w:p>
    <w:p w:rsidR="00B31D23" w:rsidRPr="00B83F65" w:rsidRDefault="00B31D23" w:rsidP="00B31D23">
      <w:pPr>
        <w:pStyle w:val="EPComma"/>
      </w:pPr>
      <w:r w:rsidRPr="00B83F65">
        <w:rPr>
          <w:i/>
        </w:rPr>
        <w:t>Europos Parlamentas</w:t>
      </w:r>
      <w:r w:rsidRPr="00B83F65">
        <w:t>,</w:t>
      </w:r>
    </w:p>
    <w:p w:rsidR="00B31D23" w:rsidRPr="00B83F65" w:rsidRDefault="00B31D23" w:rsidP="00B31D23">
      <w:pPr>
        <w:pStyle w:val="NormalHanging12a"/>
      </w:pPr>
      <w:r w:rsidRPr="00B83F65">
        <w:t>–</w:t>
      </w:r>
      <w:r w:rsidRPr="00B83F65">
        <w:tab/>
        <w:t>atsižvelgdamas į Tarybos projektą (09789/2024),</w:t>
      </w:r>
    </w:p>
    <w:p w:rsidR="00B31D23" w:rsidRDefault="00B31D23" w:rsidP="00B31D23">
      <w:pPr>
        <w:pStyle w:val="NormalHanging12a"/>
      </w:pPr>
      <w:r w:rsidRPr="00B83F65">
        <w:t>–</w:t>
      </w:r>
      <w:r w:rsidRPr="00B83F65">
        <w:tab/>
        <w:t>atsižvelgdamas į Komisijos pasiūlymą Tarybai (COM(2021)0732),</w:t>
      </w:r>
    </w:p>
    <w:p w:rsidR="00E97E2E" w:rsidRPr="00B83F65" w:rsidRDefault="00E97E2E" w:rsidP="00B31D23">
      <w:pPr>
        <w:pStyle w:val="NormalHanging12a"/>
      </w:pPr>
      <w:r w:rsidRPr="00B83F65">
        <w:t>–</w:t>
      </w:r>
      <w:r w:rsidRPr="00B83F65">
        <w:tab/>
        <w:t xml:space="preserve">atsižvelgdamas į </w:t>
      </w:r>
      <w:r>
        <w:t>savo 2023 m. vasario 14 d. poziciją</w:t>
      </w:r>
      <w:r w:rsidR="005E7923" w:rsidRPr="00B83F65">
        <w:rPr>
          <w:rStyle w:val="FootnoteReference"/>
        </w:rPr>
        <w:footnoteReference w:id="1"/>
      </w:r>
      <w:r>
        <w:t>,</w:t>
      </w:r>
    </w:p>
    <w:p w:rsidR="00B31D23" w:rsidRPr="00B83F65" w:rsidRDefault="00B31D23" w:rsidP="00B31D23">
      <w:pPr>
        <w:pStyle w:val="NormalHanging12a"/>
      </w:pPr>
      <w:r w:rsidRPr="00B83F65">
        <w:t>–</w:t>
      </w:r>
      <w:r w:rsidRPr="00B83F65">
        <w:tab/>
        <w:t xml:space="preserve">atsižvelgdamas į Sutarties dėl Europos Sąjungos veikimo 22 straipsnio 2 dalį, pagal kurią Taryba </w:t>
      </w:r>
      <w:r w:rsidR="00E97E2E">
        <w:t xml:space="preserve">vėl </w:t>
      </w:r>
      <w:r w:rsidRPr="00B83F65">
        <w:t>kreipėsi į Parlamentą dėl konsultacijos (C10-0001/2024),</w:t>
      </w:r>
    </w:p>
    <w:p w:rsidR="00B31D23" w:rsidRPr="00B83F65" w:rsidRDefault="00B31D23" w:rsidP="00B31D23">
      <w:pPr>
        <w:pStyle w:val="NormalHanging12a"/>
      </w:pPr>
      <w:r w:rsidRPr="00B83F65">
        <w:t>–</w:t>
      </w:r>
      <w:r w:rsidRPr="00B83F65">
        <w:tab/>
        <w:t>atsižvelgdamas į 2001 m. lapkričio 28 d. Tarpinstitucinį susitarimą dėl sistemingesnio teisės aktų pakeitimo metodo naudojimo</w:t>
      </w:r>
      <w:r w:rsidRPr="00B83F65">
        <w:rPr>
          <w:rStyle w:val="FootnoteReference"/>
        </w:rPr>
        <w:footnoteReference w:id="2"/>
      </w:r>
      <w:r w:rsidRPr="00B83F65">
        <w:t>,</w:t>
      </w:r>
    </w:p>
    <w:p w:rsidR="00B31D23" w:rsidRPr="00B83F65" w:rsidRDefault="00B31D23" w:rsidP="00B31D23">
      <w:pPr>
        <w:pStyle w:val="NormalHanging12a"/>
      </w:pPr>
      <w:r w:rsidRPr="00B83F65">
        <w:t>–</w:t>
      </w:r>
      <w:r w:rsidRPr="00B83F65">
        <w:tab/>
        <w:t>atsižvelgdamas į 2022 m. lapkričio 8 d. Teisės reikalų komiteto laišką Konstitucinių reikalų komitetui, nusiųstą vadovaujantis Darbo tvarkos taisyklių 113 straipsnio 3 dalimi,</w:t>
      </w:r>
    </w:p>
    <w:p w:rsidR="00B31D23" w:rsidRPr="00B83F65" w:rsidRDefault="00B31D23" w:rsidP="00B31D23">
      <w:pPr>
        <w:pStyle w:val="NormalHanging12a"/>
      </w:pPr>
      <w:r w:rsidRPr="00B83F65">
        <w:t>–</w:t>
      </w:r>
      <w:r w:rsidRPr="00B83F65">
        <w:tab/>
        <w:t>atsižvelgdamas į Darbo tvarkos taisyklių 113</w:t>
      </w:r>
      <w:r w:rsidR="00E97E2E">
        <w:t>,</w:t>
      </w:r>
      <w:r w:rsidRPr="00B83F65">
        <w:t> 84</w:t>
      </w:r>
      <w:r w:rsidR="00E97E2E">
        <w:t xml:space="preserve"> ir 86</w:t>
      </w:r>
      <w:r w:rsidRPr="00B83F65">
        <w:t> straipsnius,</w:t>
      </w:r>
    </w:p>
    <w:p w:rsidR="00B31D23" w:rsidRPr="00B83F65" w:rsidRDefault="00B31D23" w:rsidP="00B31D23">
      <w:pPr>
        <w:pStyle w:val="NormalHanging12a"/>
      </w:pPr>
      <w:r w:rsidRPr="00B83F65">
        <w:t>–</w:t>
      </w:r>
      <w:r w:rsidRPr="00B83F65">
        <w:tab/>
        <w:t>atsižvelgdamas į Piliečių laisvių, teisingumo ir vidaus reikalų komiteto laišką,</w:t>
      </w:r>
    </w:p>
    <w:p w:rsidR="00B31D23" w:rsidRPr="00B83F65" w:rsidRDefault="00B31D23" w:rsidP="00B31D23">
      <w:pPr>
        <w:pStyle w:val="NormalHanging12a"/>
      </w:pPr>
      <w:r w:rsidRPr="00B83F65">
        <w:t>–</w:t>
      </w:r>
      <w:r w:rsidRPr="00B83F65">
        <w:tab/>
        <w:t>atsižvelgdamas į Konstitucinių reikalų komiteto pranešimą (A10-0090/2025),</w:t>
      </w:r>
    </w:p>
    <w:p w:rsidR="00B31D23" w:rsidRPr="00B83F65" w:rsidRDefault="00B31D23" w:rsidP="00B31D23">
      <w:pPr>
        <w:pStyle w:val="NormalHanging12a"/>
      </w:pPr>
      <w:r w:rsidRPr="00B83F65">
        <w:lastRenderedPageBreak/>
        <w:t>A.</w:t>
      </w:r>
      <w:r w:rsidRPr="00B83F65">
        <w:tab/>
        <w:t>kadangi Europos Parlamento, Tarybos ir Komisijos teisės tarnybų konsultacinės grupės nuomone, Komisijos pasiūlyme, be nurodytų pakeitimų, kitų esminių pakeitimų nėra ir kadangi, kalbant apie nepakeistų ankstesnių aktų nuostatų ir minėtų pakeitimų kodifikavimą, pasiūlymu tik kodifikuojami esami tekstai nekeičiant jų esmės;</w:t>
      </w:r>
    </w:p>
    <w:p w:rsidR="00B31D23" w:rsidRPr="00B83F65" w:rsidRDefault="00B31D23" w:rsidP="00B31D23">
      <w:pPr>
        <w:pStyle w:val="NormalHanging12a"/>
      </w:pPr>
      <w:r w:rsidRPr="00B83F65">
        <w:t>1.</w:t>
      </w:r>
      <w:r w:rsidRPr="00B83F65">
        <w:tab/>
        <w:t>pritaria Tarybos projektui su pataisomis, padarytomis atsižvelgus į Europos Parlamento, Tarybos ir Komisijos teisės tarnybų konsultacinės darbo grupės rekomendacijas;</w:t>
      </w:r>
    </w:p>
    <w:p w:rsidR="00B31D23" w:rsidRPr="00B83F65" w:rsidRDefault="00B31D23" w:rsidP="00B31D23">
      <w:pPr>
        <w:pStyle w:val="NormalHanging12a"/>
      </w:pPr>
      <w:r w:rsidRPr="00B83F65">
        <w:t>2.</w:t>
      </w:r>
      <w:r w:rsidRPr="00B83F65">
        <w:tab/>
        <w:t>labai apgailestauja dėl to, kad Taryba, nors ir formaliai laikydamasi SESV 22 straipsnio 2 dalies, reikšmingai neatsižvelgė į Parlamento nuomonės esmę; atkreipia dėmesį į tai, kad ši praktika yra pastaraisiais metais pastebimos platesnio masto tendencijos ženklas, kad Taryba ir Europos Vadovų Taryba atsisako konstruktyviai ir gera valia bendradarbiauti, kiek tai susiję su keletu nebaigtų specialių teisėkūros procedūrų; primena savo 2023 m. gruodžio 13 d. pranešime pateiktas rekomendacijas ir pakartoja savo raginimą Tarybai ir Europos Vadovų Tarybai konstruktyviai bendradarbiauti ieškant politikos sprendimų, kurie atitiktų Europos piliečių interesus;</w:t>
      </w:r>
    </w:p>
    <w:p w:rsidR="00B31D23" w:rsidRPr="00B83F65" w:rsidRDefault="00B31D23" w:rsidP="00B31D23">
      <w:pPr>
        <w:pStyle w:val="NormalHanging12a"/>
      </w:pPr>
      <w:r w:rsidRPr="00B83F65">
        <w:t>3.</w:t>
      </w:r>
      <w:r w:rsidRPr="00B83F65">
        <w:tab/>
        <w:t>ragina Tarybą pranešti Parlamentui, jei ji ketina nukrypti nuo teksto, kuriam pritarė Parlamentas;</w:t>
      </w:r>
    </w:p>
    <w:p w:rsidR="00B31D23" w:rsidRPr="00B83F65" w:rsidRDefault="00B31D23" w:rsidP="00B31D23">
      <w:pPr>
        <w:pStyle w:val="NormalHanging12a"/>
      </w:pPr>
      <w:r w:rsidRPr="00B83F65">
        <w:t>4.</w:t>
      </w:r>
      <w:r w:rsidRPr="00B83F65">
        <w:tab/>
        <w:t xml:space="preserve">ragina Tarybą dar kartą konsultuotis su Parlamentu, jei ji ketina iš esmės keisti </w:t>
      </w:r>
      <w:r w:rsidR="00D225A4">
        <w:t>projekto</w:t>
      </w:r>
      <w:r w:rsidRPr="00B83F65">
        <w:t xml:space="preserve"> tekstą;</w:t>
      </w:r>
    </w:p>
    <w:p w:rsidR="00B31D23" w:rsidRPr="00B83F65" w:rsidRDefault="00B31D23" w:rsidP="00B31D23">
      <w:pPr>
        <w:pStyle w:val="NormalHanging12a"/>
      </w:pPr>
      <w:r w:rsidRPr="00B83F65">
        <w:t>5.</w:t>
      </w:r>
      <w:r w:rsidRPr="00B83F65">
        <w:tab/>
        <w:t>paveda Pirmininkei perduoti Parlamento poziciją Tarybai, Komisijai ir nacionaliniams parlamentams.</w:t>
      </w:r>
    </w:p>
    <w:p w:rsidR="00E365E1" w:rsidRPr="00B83F65" w:rsidRDefault="00E365E1" w:rsidP="00F21CCE">
      <w:pPr>
        <w:widowControl/>
      </w:pPr>
    </w:p>
    <w:sectPr w:rsidR="00E365E1" w:rsidRPr="00B83F65" w:rsidSect="00B83F6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341" w:rsidRPr="00B83F65" w:rsidRDefault="00DD6341">
      <w:r w:rsidRPr="00B83F65">
        <w:separator/>
      </w:r>
    </w:p>
  </w:endnote>
  <w:endnote w:type="continuationSeparator" w:id="0">
    <w:p w:rsidR="00DD6341" w:rsidRPr="00B83F65" w:rsidRDefault="00DD6341">
      <w:r w:rsidRPr="00B83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341" w:rsidRPr="00B83F65" w:rsidRDefault="00DD6341">
      <w:r w:rsidRPr="00B83F65">
        <w:separator/>
      </w:r>
    </w:p>
  </w:footnote>
  <w:footnote w:type="continuationSeparator" w:id="0">
    <w:p w:rsidR="00DD6341" w:rsidRPr="00B83F65" w:rsidRDefault="00DD6341">
      <w:r w:rsidRPr="00B83F65">
        <w:continuationSeparator/>
      </w:r>
    </w:p>
  </w:footnote>
  <w:footnote w:id="1">
    <w:p w:rsidR="005E7923" w:rsidRPr="00B83F65" w:rsidRDefault="005E7923" w:rsidP="005E7923">
      <w:pPr>
        <w:pStyle w:val="FootnoteText"/>
        <w:ind w:left="567" w:hanging="567"/>
        <w:rPr>
          <w:sz w:val="24"/>
          <w:lang w:val="lt-LT"/>
        </w:rPr>
      </w:pPr>
      <w:r w:rsidRPr="00B83F65">
        <w:rPr>
          <w:rStyle w:val="FootnoteReference"/>
          <w:sz w:val="24"/>
          <w:lang w:val="lt-LT"/>
        </w:rPr>
        <w:footnoteRef/>
      </w:r>
      <w:r w:rsidRPr="00B83F65">
        <w:rPr>
          <w:sz w:val="24"/>
          <w:lang w:val="lt-LT"/>
        </w:rPr>
        <w:t xml:space="preserve"> </w:t>
      </w:r>
      <w:r w:rsidRPr="00B83F65">
        <w:rPr>
          <w:sz w:val="24"/>
          <w:lang w:val="lt-LT"/>
        </w:rPr>
        <w:tab/>
        <w:t>OL C </w:t>
      </w:r>
      <w:r>
        <w:rPr>
          <w:sz w:val="24"/>
          <w:lang w:val="lt-LT"/>
        </w:rPr>
        <w:t>283</w:t>
      </w:r>
      <w:r w:rsidR="00D225A4">
        <w:rPr>
          <w:sz w:val="24"/>
          <w:lang w:val="lt-LT"/>
        </w:rPr>
        <w:t>, 202</w:t>
      </w:r>
      <w:r>
        <w:rPr>
          <w:sz w:val="24"/>
          <w:lang w:val="lt-LT"/>
        </w:rPr>
        <w:t>3 8</w:t>
      </w:r>
      <w:r w:rsidRPr="00B83F65">
        <w:rPr>
          <w:sz w:val="24"/>
          <w:lang w:val="lt-LT"/>
        </w:rPr>
        <w:t> </w:t>
      </w:r>
      <w:r>
        <w:rPr>
          <w:sz w:val="24"/>
          <w:lang w:val="lt-LT"/>
        </w:rPr>
        <w:t>11</w:t>
      </w:r>
      <w:r w:rsidRPr="00B83F65">
        <w:rPr>
          <w:sz w:val="24"/>
          <w:lang w:val="lt-LT"/>
        </w:rPr>
        <w:t>, p. </w:t>
      </w:r>
      <w:r>
        <w:rPr>
          <w:sz w:val="24"/>
          <w:lang w:val="lt-LT"/>
        </w:rPr>
        <w:t>76</w:t>
      </w:r>
      <w:r w:rsidRPr="00B83F65">
        <w:rPr>
          <w:sz w:val="24"/>
          <w:lang w:val="lt-LT"/>
        </w:rPr>
        <w:t>.</w:t>
      </w:r>
    </w:p>
  </w:footnote>
  <w:footnote w:id="2">
    <w:p w:rsidR="00B31D23" w:rsidRPr="00B83F65" w:rsidRDefault="00B31D23" w:rsidP="00B83F65">
      <w:pPr>
        <w:pStyle w:val="FootnoteText"/>
        <w:ind w:left="567" w:hanging="567"/>
        <w:rPr>
          <w:sz w:val="24"/>
          <w:lang w:val="lt-LT"/>
        </w:rPr>
      </w:pPr>
      <w:r w:rsidRPr="00B83F65">
        <w:rPr>
          <w:rStyle w:val="FootnoteReference"/>
          <w:sz w:val="24"/>
          <w:lang w:val="lt-LT"/>
        </w:rPr>
        <w:footnoteRef/>
      </w:r>
      <w:r w:rsidR="00B83F65" w:rsidRPr="00B83F65">
        <w:rPr>
          <w:sz w:val="24"/>
          <w:lang w:val="lt-LT"/>
        </w:rPr>
        <w:t xml:space="preserve"> </w:t>
      </w:r>
      <w:r w:rsidR="00B83F65" w:rsidRPr="00B83F65">
        <w:rPr>
          <w:sz w:val="24"/>
          <w:lang w:val="lt-LT"/>
        </w:rPr>
        <w:tab/>
      </w:r>
      <w:r w:rsidRPr="00B83F65">
        <w:rPr>
          <w:sz w:val="24"/>
          <w:lang w:val="lt-LT"/>
        </w:rPr>
        <w:t>OL C 77, 2002 3 28,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LT"/>
    <w:docVar w:name="dvnumam" w:val="0"/>
    <w:docVar w:name="dvpe" w:val="767.903"/>
    <w:docVar w:name="dvrapporteur" w:val="Pranešėjas: "/>
    <w:docVar w:name="dvstar" w:val="*"/>
    <w:docVar w:name="dvtitre" w:val="2025 m. birezelio 17 d. Europos Parlamento teisėkūros rezoliucija dėl pasiūlymo dėl Tarybos direktyvos, kuria nustatoma išsami Sąjungos piliečių, gyvenančių valstybėje narėje ir neturinčių jos pilietybės, naudojimosi teise balsuoti ir kandidatuoti Europos Parlamento rinkimuose tvarka (nauja redakcija)(09789/2024 – C10-0001/2024 – 2021/0372(CNS))"/>
  </w:docVars>
  <w:rsids>
    <w:rsidRoot w:val="00DD634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92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D00"/>
    <w:rsid w:val="00930C23"/>
    <w:rsid w:val="0093193B"/>
    <w:rsid w:val="009509D8"/>
    <w:rsid w:val="00950B64"/>
    <w:rsid w:val="00981893"/>
    <w:rsid w:val="00A1687D"/>
    <w:rsid w:val="00A43E52"/>
    <w:rsid w:val="00A4678D"/>
    <w:rsid w:val="00A778C7"/>
    <w:rsid w:val="00AA7539"/>
    <w:rsid w:val="00AB441E"/>
    <w:rsid w:val="00AB6293"/>
    <w:rsid w:val="00AE0928"/>
    <w:rsid w:val="00AF3B82"/>
    <w:rsid w:val="00B12E95"/>
    <w:rsid w:val="00B22876"/>
    <w:rsid w:val="00B31D23"/>
    <w:rsid w:val="00B558F0"/>
    <w:rsid w:val="00B83F65"/>
    <w:rsid w:val="00BD48FE"/>
    <w:rsid w:val="00BD7BD8"/>
    <w:rsid w:val="00BE6ADC"/>
    <w:rsid w:val="00BF6247"/>
    <w:rsid w:val="00C05BFE"/>
    <w:rsid w:val="00C23CD4"/>
    <w:rsid w:val="00C61C0C"/>
    <w:rsid w:val="00C941CB"/>
    <w:rsid w:val="00CC2357"/>
    <w:rsid w:val="00CF071A"/>
    <w:rsid w:val="00D058B8"/>
    <w:rsid w:val="00D225A4"/>
    <w:rsid w:val="00D56C11"/>
    <w:rsid w:val="00D834A0"/>
    <w:rsid w:val="00D872DF"/>
    <w:rsid w:val="00D91E21"/>
    <w:rsid w:val="00DA7FCD"/>
    <w:rsid w:val="00DD6341"/>
    <w:rsid w:val="00E365E1"/>
    <w:rsid w:val="00E51401"/>
    <w:rsid w:val="00E820A4"/>
    <w:rsid w:val="00E97E2E"/>
    <w:rsid w:val="00EA2430"/>
    <w:rsid w:val="00EB006A"/>
    <w:rsid w:val="00EB4772"/>
    <w:rsid w:val="00ED169E"/>
    <w:rsid w:val="00ED4235"/>
    <w:rsid w:val="00F04346"/>
    <w:rsid w:val="00F075DC"/>
    <w:rsid w:val="00F149E9"/>
    <w:rsid w:val="00F21CCE"/>
    <w:rsid w:val="00F5134D"/>
    <w:rsid w:val="00F74202"/>
    <w:rsid w:val="00F87713"/>
    <w:rsid w:val="00F93A17"/>
    <w:rsid w:val="00FB4360"/>
    <w:rsid w:val="00FC082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84857"/>
  <w15:chartTrackingRefBased/>
  <w15:docId w15:val="{4F1BBD00-4B55-4850-A796-097BCCA8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31D23"/>
    <w:rPr>
      <w:b/>
    </w:rPr>
  </w:style>
  <w:style w:type="paragraph" w:customStyle="1" w:styleId="NormalHanging12a">
    <w:name w:val="NormalHanging12a"/>
    <w:basedOn w:val="Normal"/>
    <w:link w:val="NormalHanging12aChar"/>
    <w:rsid w:val="00B31D23"/>
    <w:pPr>
      <w:spacing w:after="240"/>
      <w:ind w:left="567" w:hanging="567"/>
    </w:pPr>
  </w:style>
  <w:style w:type="paragraph" w:customStyle="1" w:styleId="EPComma">
    <w:name w:val="EPComma"/>
    <w:basedOn w:val="Normal"/>
    <w:rsid w:val="00B31D23"/>
    <w:pPr>
      <w:spacing w:before="480" w:after="240"/>
    </w:pPr>
  </w:style>
  <w:style w:type="character" w:customStyle="1" w:styleId="NormalHanging12aChar">
    <w:name w:val="NormalHanging12a Char"/>
    <w:basedOn w:val="DefaultParagraphFont"/>
    <w:link w:val="NormalHanging12a"/>
    <w:rsid w:val="00B31D23"/>
    <w:rPr>
      <w:sz w:val="24"/>
      <w:lang w:val="lt-LT"/>
    </w:rPr>
  </w:style>
  <w:style w:type="paragraph" w:styleId="BalloonText">
    <w:name w:val="Balloon Text"/>
    <w:basedOn w:val="Normal"/>
    <w:link w:val="BalloonTextChar"/>
    <w:rsid w:val="00E97E2E"/>
    <w:rPr>
      <w:rFonts w:ascii="Segoe UI" w:hAnsi="Segoe UI" w:cs="Segoe UI"/>
      <w:sz w:val="18"/>
      <w:szCs w:val="18"/>
    </w:rPr>
  </w:style>
  <w:style w:type="character" w:customStyle="1" w:styleId="BalloonTextChar">
    <w:name w:val="Balloon Text Char"/>
    <w:basedOn w:val="DefaultParagraphFont"/>
    <w:link w:val="BalloonText"/>
    <w:rsid w:val="00E97E2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719A7-5BC0-45F7-A391-DAFFB1BB9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2652</Characters>
  <Application>Microsoft Office Word</Application>
  <DocSecurity>0</DocSecurity>
  <Lines>110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2025-06-17T10:55:00Z</dcterms:created>
  <dcterms:modified xsi:type="dcterms:W3CDTF">2025-06-17T10:55:00Z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A10-0090/2025</vt:lpwstr>
  </property>
  <property fmtid="{D5CDD505-2E9C-101B-9397-08002B2CF9AE}" pid="4" name="&lt;Type&gt;">
    <vt:lpwstr>RR</vt:lpwstr>
  </property>
</Properties>
</file>