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C6F" w14:paraId="5796FAA1" w14:textId="77777777" w:rsidTr="0010095E">
        <w:trPr>
          <w:trHeight w:hRule="exact" w:val="1418"/>
        </w:trPr>
        <w:tc>
          <w:tcPr>
            <w:tcW w:w="6804" w:type="dxa"/>
            <w:shd w:val="clear" w:color="auto" w:fill="auto"/>
            <w:vAlign w:val="center"/>
          </w:tcPr>
          <w:p w14:paraId="1FF79F70" w14:textId="77777777" w:rsidR="00751A4A" w:rsidRPr="00CC2C6F" w:rsidRDefault="00D83F7C" w:rsidP="0010095E">
            <w:pPr>
              <w:pStyle w:val="EPName"/>
            </w:pPr>
            <w:r w:rsidRPr="00CC2C6F">
              <w:t>Europees Parlement</w:t>
            </w:r>
          </w:p>
          <w:p w14:paraId="79AC3F4F" w14:textId="77777777" w:rsidR="00751A4A" w:rsidRPr="00CC2C6F" w:rsidRDefault="005F1B17" w:rsidP="005F1B17">
            <w:pPr>
              <w:pStyle w:val="EPTerm"/>
              <w:rPr>
                <w:rStyle w:val="HideTWBExt"/>
                <w:noProof w:val="0"/>
                <w:vanish w:val="0"/>
                <w:color w:val="auto"/>
              </w:rPr>
            </w:pPr>
            <w:r w:rsidRPr="00CC2C6F">
              <w:t>2024</w:t>
            </w:r>
            <w:r w:rsidR="00817416" w:rsidRPr="00CC2C6F">
              <w:t>-202</w:t>
            </w:r>
            <w:r w:rsidRPr="00CC2C6F">
              <w:t>9</w:t>
            </w:r>
          </w:p>
        </w:tc>
        <w:tc>
          <w:tcPr>
            <w:tcW w:w="2268" w:type="dxa"/>
            <w:shd w:val="clear" w:color="auto" w:fill="auto"/>
          </w:tcPr>
          <w:p w14:paraId="6005BFAB" w14:textId="77777777" w:rsidR="00751A4A" w:rsidRPr="00CC2C6F" w:rsidRDefault="00187494" w:rsidP="0010095E">
            <w:pPr>
              <w:pStyle w:val="EPLogo"/>
            </w:pPr>
            <w:r w:rsidRPr="00CC2C6F">
              <w:rPr>
                <w:noProof/>
                <w:lang w:val="en-GB"/>
              </w:rPr>
              <w:drawing>
                <wp:inline distT="0" distB="0" distL="0" distR="0" wp14:anchorId="15184141" wp14:editId="5E8C26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19E7D3" w14:textId="77777777" w:rsidR="00D058B8" w:rsidRPr="00CC2C6F" w:rsidRDefault="00D058B8" w:rsidP="004C5D52">
      <w:pPr>
        <w:pStyle w:val="LineTop"/>
      </w:pPr>
    </w:p>
    <w:p w14:paraId="3ADF74BA" w14:textId="77777777" w:rsidR="00680577" w:rsidRPr="00CC2C6F" w:rsidRDefault="00D83F7C" w:rsidP="00680577">
      <w:pPr>
        <w:pStyle w:val="EPBodyTA1"/>
      </w:pPr>
      <w:r w:rsidRPr="00CC2C6F">
        <w:t>AANGENOMEN TEKSTEN</w:t>
      </w:r>
    </w:p>
    <w:p w14:paraId="298DCCB4" w14:textId="77777777" w:rsidR="00D058B8" w:rsidRPr="00CC2C6F" w:rsidRDefault="00D058B8" w:rsidP="00D058B8">
      <w:pPr>
        <w:pStyle w:val="LineBottom"/>
      </w:pPr>
    </w:p>
    <w:p w14:paraId="3FF2D3A8" w14:textId="77777777" w:rsidR="00D83F7C" w:rsidRPr="00CC2C6F" w:rsidRDefault="00D83F7C" w:rsidP="00D83F7C">
      <w:pPr>
        <w:pStyle w:val="ATHeading1"/>
      </w:pPr>
      <w:bookmarkStart w:id="0" w:name="TANumber"/>
      <w:r w:rsidRPr="00CC2C6F">
        <w:t>P10_</w:t>
      </w:r>
      <w:proofErr w:type="gramStart"/>
      <w:r w:rsidRPr="00CC2C6F">
        <w:t>TA(</w:t>
      </w:r>
      <w:proofErr w:type="gramEnd"/>
      <w:r w:rsidRPr="00CC2C6F">
        <w:t>2025)</w:t>
      </w:r>
      <w:bookmarkEnd w:id="0"/>
      <w:r w:rsidR="00CC2C6F" w:rsidRPr="00CC2C6F">
        <w:t>0120</w:t>
      </w:r>
    </w:p>
    <w:p w14:paraId="61AEABB2" w14:textId="77777777" w:rsidR="00D83F7C" w:rsidRPr="00CC2C6F" w:rsidRDefault="00D83F7C" w:rsidP="00D83F7C">
      <w:pPr>
        <w:pStyle w:val="ATHeading2"/>
      </w:pPr>
      <w:bookmarkStart w:id="1" w:name="title"/>
      <w:r w:rsidRPr="00CC2C6F">
        <w:t>Het kiesrecht van mobiele Unieburgers bij de verkiezingen voor het Europees Parlement</w:t>
      </w:r>
      <w:bookmarkEnd w:id="1"/>
    </w:p>
    <w:p w14:paraId="04FDB970" w14:textId="77777777" w:rsidR="00D83F7C" w:rsidRPr="00CC2C6F" w:rsidRDefault="00D83F7C" w:rsidP="00D83F7C">
      <w:pPr>
        <w:rPr>
          <w:i/>
          <w:vanish/>
        </w:rPr>
      </w:pPr>
      <w:r w:rsidRPr="00CC2C6F">
        <w:rPr>
          <w:i/>
        </w:rPr>
        <w:fldChar w:fldCharType="begin"/>
      </w:r>
      <w:r w:rsidRPr="00CC2C6F">
        <w:rPr>
          <w:i/>
        </w:rPr>
        <w:instrText xml:space="preserve"> TC"(</w:instrText>
      </w:r>
      <w:bookmarkStart w:id="2" w:name="DocNumber"/>
      <w:r w:rsidRPr="00CC2C6F">
        <w:rPr>
          <w:i/>
        </w:rPr>
        <w:instrText>A10-0090/2025</w:instrText>
      </w:r>
      <w:bookmarkEnd w:id="2"/>
      <w:r w:rsidRPr="00CC2C6F">
        <w:rPr>
          <w:i/>
        </w:rPr>
        <w:instrText xml:space="preserve"> - Rapporteur: Sven Simon)"\l3 \n&gt; \* MERGEFORMAT </w:instrText>
      </w:r>
      <w:r w:rsidRPr="00CC2C6F">
        <w:rPr>
          <w:i/>
        </w:rPr>
        <w:fldChar w:fldCharType="end"/>
      </w:r>
    </w:p>
    <w:p w14:paraId="14BFB523" w14:textId="77777777" w:rsidR="00D83F7C" w:rsidRPr="00CC2C6F" w:rsidRDefault="00D83F7C" w:rsidP="00D83F7C">
      <w:pPr>
        <w:rPr>
          <w:vanish/>
        </w:rPr>
      </w:pPr>
      <w:bookmarkStart w:id="3" w:name="Commission"/>
      <w:r w:rsidRPr="00CC2C6F">
        <w:rPr>
          <w:vanish/>
        </w:rPr>
        <w:t>Commissie constitutionele zaken</w:t>
      </w:r>
      <w:bookmarkEnd w:id="3"/>
    </w:p>
    <w:p w14:paraId="1994C314" w14:textId="77777777" w:rsidR="00D83F7C" w:rsidRPr="00CC2C6F" w:rsidRDefault="00D83F7C" w:rsidP="00D83F7C">
      <w:pPr>
        <w:rPr>
          <w:vanish/>
        </w:rPr>
      </w:pPr>
      <w:bookmarkStart w:id="4" w:name="PE"/>
      <w:r w:rsidRPr="00CC2C6F">
        <w:rPr>
          <w:vanish/>
        </w:rPr>
        <w:t>PE767.903</w:t>
      </w:r>
      <w:bookmarkEnd w:id="4"/>
    </w:p>
    <w:p w14:paraId="7B0C950D" w14:textId="77777777" w:rsidR="00D83F7C" w:rsidRPr="00CC2C6F" w:rsidRDefault="00D83F7C" w:rsidP="00D83F7C">
      <w:pPr>
        <w:pStyle w:val="ATHeading3"/>
      </w:pPr>
      <w:bookmarkStart w:id="5" w:name="Sujet"/>
      <w:r w:rsidRPr="00CC2C6F">
        <w:t xml:space="preserve">Wetgevingsresolutie van het Europees Parlement van </w:t>
      </w:r>
      <w:r w:rsidR="00270092" w:rsidRPr="00CC2C6F">
        <w:t xml:space="preserve">17 </w:t>
      </w:r>
      <w:r w:rsidRPr="00CC2C6F">
        <w:t xml:space="preserve">juni 2025 over het </w:t>
      </w:r>
      <w:r w:rsidR="002A763F" w:rsidRPr="00CC2C6F">
        <w:t xml:space="preserve">ontwerp van </w:t>
      </w:r>
      <w:r w:rsidRPr="00CC2C6F">
        <w:t>richtlijn van de Raad tot vaststelling van de wijze van uitoefening van het actief en passief kiesrecht bij de verkiezingen voor het Europees Parlement ten behoeve van de Unieburgers die verblijven in een lidstaat waarvan zij geen onderdaan zijn (herschikking)</w:t>
      </w:r>
      <w:bookmarkEnd w:id="5"/>
      <w:r w:rsidRPr="00CC2C6F">
        <w:t xml:space="preserve"> </w:t>
      </w:r>
      <w:bookmarkStart w:id="6" w:name="References"/>
      <w:r w:rsidRPr="00CC2C6F">
        <w:t>(09789/2024 – C10-0001/2024– 2021/0372(CNS))</w:t>
      </w:r>
      <w:bookmarkEnd w:id="6"/>
    </w:p>
    <w:p w14:paraId="2CBF1C2B" w14:textId="77777777" w:rsidR="006D0C03" w:rsidRPr="00CC2C6F" w:rsidRDefault="006D0C03" w:rsidP="006D0C03">
      <w:pPr>
        <w:pStyle w:val="NormalBold"/>
      </w:pPr>
      <w:r w:rsidRPr="00CC2C6F">
        <w:t xml:space="preserve">(Bijzondere wetgevingsprocedure – </w:t>
      </w:r>
      <w:r w:rsidR="002A763F" w:rsidRPr="00CC2C6F">
        <w:t xml:space="preserve">hernieuwde </w:t>
      </w:r>
      <w:r w:rsidRPr="00CC2C6F">
        <w:t>raadpleging – herschikking)</w:t>
      </w:r>
    </w:p>
    <w:p w14:paraId="3AA86E9F" w14:textId="77777777" w:rsidR="006D0C03" w:rsidRPr="00CC2C6F" w:rsidRDefault="006D0C03" w:rsidP="006D0C03">
      <w:pPr>
        <w:pStyle w:val="EPComma"/>
      </w:pPr>
      <w:r w:rsidRPr="00CC2C6F">
        <w:rPr>
          <w:i/>
        </w:rPr>
        <w:t>Het Europees Parlement</w:t>
      </w:r>
      <w:r w:rsidRPr="00CC2C6F">
        <w:t>,</w:t>
      </w:r>
    </w:p>
    <w:p w14:paraId="6AA88ACC" w14:textId="77777777" w:rsidR="006D0C03" w:rsidRPr="00CC2C6F" w:rsidRDefault="006D0C03" w:rsidP="006D0C03">
      <w:pPr>
        <w:pStyle w:val="NormalHanging12a"/>
      </w:pPr>
      <w:r w:rsidRPr="00CC2C6F">
        <w:t>–</w:t>
      </w:r>
      <w:r w:rsidRPr="00CC2C6F">
        <w:tab/>
        <w:t>gezien het ontwerp van de Raad (09789/2024),</w:t>
      </w:r>
    </w:p>
    <w:p w14:paraId="5EE1A76C" w14:textId="77777777" w:rsidR="006D0C03" w:rsidRPr="00CC2C6F" w:rsidRDefault="006D0C03" w:rsidP="006D0C03">
      <w:pPr>
        <w:pStyle w:val="NormalHanging12a"/>
      </w:pPr>
      <w:r w:rsidRPr="00CC2C6F">
        <w:t>–</w:t>
      </w:r>
      <w:r w:rsidRPr="00CC2C6F">
        <w:tab/>
        <w:t>gezien het voorstel van de Commissie aan de Raad (</w:t>
      </w:r>
      <w:proofErr w:type="gramStart"/>
      <w:r w:rsidRPr="00CC2C6F">
        <w:t>COM(</w:t>
      </w:r>
      <w:proofErr w:type="gramEnd"/>
      <w:r w:rsidRPr="00CC2C6F">
        <w:t>2021)0732),</w:t>
      </w:r>
    </w:p>
    <w:p w14:paraId="11E0C8FB" w14:textId="77777777" w:rsidR="002A763F" w:rsidRPr="00CC2C6F" w:rsidRDefault="002A763F" w:rsidP="006D0C03">
      <w:pPr>
        <w:pStyle w:val="NormalHanging12a"/>
      </w:pPr>
      <w:r w:rsidRPr="00CC2C6F">
        <w:t>–</w:t>
      </w:r>
      <w:r w:rsidRPr="00CC2C6F">
        <w:tab/>
        <w:t>gezien zijn standpunt van 14 februari 2023</w:t>
      </w:r>
      <w:r w:rsidRPr="00CC2C6F">
        <w:rPr>
          <w:rStyle w:val="FootnoteReference"/>
        </w:rPr>
        <w:footnoteReference w:id="1"/>
      </w:r>
      <w:r w:rsidRPr="00CC2C6F">
        <w:t>,</w:t>
      </w:r>
    </w:p>
    <w:p w14:paraId="778B0A7D" w14:textId="77777777" w:rsidR="006D0C03" w:rsidRPr="00CC2C6F" w:rsidRDefault="006D0C03" w:rsidP="006D0C03">
      <w:pPr>
        <w:pStyle w:val="NormalHanging12a"/>
      </w:pPr>
      <w:r w:rsidRPr="00CC2C6F">
        <w:t>–</w:t>
      </w:r>
      <w:r w:rsidRPr="00CC2C6F">
        <w:tab/>
        <w:t xml:space="preserve">gezien artikel 22, lid 2, van het Verdrag betreffende de werking van de Europese Unie, op grond waarvan het Parlement </w:t>
      </w:r>
      <w:r w:rsidR="002A763F" w:rsidRPr="00CC2C6F">
        <w:t xml:space="preserve">opnieuw </w:t>
      </w:r>
      <w:r w:rsidRPr="00CC2C6F">
        <w:t>door de Raad is geraadpleegd (C10-0001/2024),</w:t>
      </w:r>
    </w:p>
    <w:p w14:paraId="2C1E5E4A" w14:textId="77777777" w:rsidR="006D0C03" w:rsidRPr="00CC2C6F" w:rsidRDefault="006D0C03" w:rsidP="006D0C03">
      <w:pPr>
        <w:pStyle w:val="NormalHanging12a"/>
      </w:pPr>
      <w:r w:rsidRPr="00CC2C6F">
        <w:t>–</w:t>
      </w:r>
      <w:r w:rsidRPr="00CC2C6F">
        <w:tab/>
        <w:t>gezien het Interinstitutioneel Akkoord van 28 november 2001 over een systematischer gebruik van de herschikking van besluiten</w:t>
      </w:r>
      <w:r w:rsidRPr="00CC2C6F">
        <w:rPr>
          <w:rStyle w:val="FootnoteReference"/>
        </w:rPr>
        <w:footnoteReference w:id="2"/>
      </w:r>
      <w:r w:rsidRPr="00CC2C6F">
        <w:t>,</w:t>
      </w:r>
    </w:p>
    <w:p w14:paraId="2414008C" w14:textId="77777777" w:rsidR="006D0C03" w:rsidRPr="00CC2C6F" w:rsidRDefault="006D0C03" w:rsidP="006D0C03">
      <w:pPr>
        <w:pStyle w:val="NormalHanging12a"/>
      </w:pPr>
      <w:r w:rsidRPr="00CC2C6F">
        <w:t>–</w:t>
      </w:r>
      <w:r w:rsidRPr="00CC2C6F">
        <w:tab/>
        <w:t>gezien de brief van 8 november 2022 van de Commissie juridische zaken aan de Commissie constitutionele zaken, overeenkomstig artikel 113, lid 3, van zijn Reglement,</w:t>
      </w:r>
    </w:p>
    <w:p w14:paraId="2E65AF29" w14:textId="77777777" w:rsidR="006D0C03" w:rsidRPr="00CC2C6F" w:rsidRDefault="006D0C03" w:rsidP="006D0C03">
      <w:pPr>
        <w:pStyle w:val="NormalHanging12a"/>
      </w:pPr>
      <w:r w:rsidRPr="00CC2C6F">
        <w:t>–</w:t>
      </w:r>
      <w:r w:rsidRPr="00CC2C6F">
        <w:tab/>
        <w:t>gezien de artikelen 113</w:t>
      </w:r>
      <w:r w:rsidR="002A763F" w:rsidRPr="00CC2C6F">
        <w:t>,</w:t>
      </w:r>
      <w:r w:rsidRPr="00CC2C6F">
        <w:t xml:space="preserve"> 84</w:t>
      </w:r>
      <w:r w:rsidR="002A763F" w:rsidRPr="00CC2C6F">
        <w:t xml:space="preserve"> en 86</w:t>
      </w:r>
      <w:r w:rsidRPr="00CC2C6F">
        <w:t xml:space="preserve"> van zijn Reglement,</w:t>
      </w:r>
    </w:p>
    <w:p w14:paraId="0DFD897F" w14:textId="77777777" w:rsidR="006D0C03" w:rsidRPr="00CC2C6F" w:rsidRDefault="006D0C03" w:rsidP="006D0C03">
      <w:pPr>
        <w:pStyle w:val="NormalHanging12a"/>
      </w:pPr>
      <w:r w:rsidRPr="00CC2C6F">
        <w:t>–</w:t>
      </w:r>
      <w:r w:rsidRPr="00CC2C6F">
        <w:tab/>
        <w:t>gezien de brief van de Commissie burgerlijke vrijheden, justitie en binnenlandse zaken,</w:t>
      </w:r>
    </w:p>
    <w:p w14:paraId="52907932" w14:textId="77777777" w:rsidR="006D0C03" w:rsidRPr="00CC2C6F" w:rsidRDefault="006D0C03" w:rsidP="006D0C03">
      <w:pPr>
        <w:pStyle w:val="NormalHanging12a"/>
      </w:pPr>
      <w:r w:rsidRPr="00CC2C6F">
        <w:lastRenderedPageBreak/>
        <w:t>–</w:t>
      </w:r>
      <w:r w:rsidRPr="00CC2C6F">
        <w:tab/>
        <w:t>gezien het verslag van de Commissie constitutionele zaken (A10-0090/2025),</w:t>
      </w:r>
    </w:p>
    <w:p w14:paraId="0B864584" w14:textId="77777777" w:rsidR="006D0C03" w:rsidRPr="00CC2C6F" w:rsidRDefault="006D0C03" w:rsidP="006D0C03">
      <w:pPr>
        <w:pStyle w:val="NormalHanging12a"/>
      </w:pPr>
      <w:r w:rsidRPr="00CC2C6F">
        <w:t>A.</w:t>
      </w:r>
      <w:r w:rsidRPr="00CC2C6F">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handelingen met die wijzigingen kan worden geconstateerd dat het voorstel louter een codificatie van de bestaande handelingen behelst, zonder inhoudelijke wijzigingen;</w:t>
      </w:r>
    </w:p>
    <w:p w14:paraId="39257DF8" w14:textId="77777777" w:rsidR="006D0C03" w:rsidRPr="00CC2C6F" w:rsidRDefault="006D0C03" w:rsidP="006D0C03">
      <w:pPr>
        <w:pStyle w:val="NormalHanging12a"/>
      </w:pPr>
      <w:r w:rsidRPr="00CC2C6F">
        <w:t>1.</w:t>
      </w:r>
      <w:r w:rsidRPr="00CC2C6F">
        <w:tab/>
        <w:t>hecht zijn goedkeuring aan het ontwerp van de Raad zoals dit is aangepast aan de aanbevelingen van de adviesgroep van de juridische diensten van het Europees Parlement, de Raad en de Commissie;</w:t>
      </w:r>
    </w:p>
    <w:p w14:paraId="6E5E6297" w14:textId="0D3B5AD4" w:rsidR="006D0C03" w:rsidRPr="00CC2C6F" w:rsidRDefault="006D0C03" w:rsidP="006D0C03">
      <w:pPr>
        <w:pStyle w:val="NormalHanging12a"/>
      </w:pPr>
      <w:r w:rsidRPr="00CC2C6F">
        <w:t>2.</w:t>
      </w:r>
      <w:r w:rsidRPr="00CC2C6F">
        <w:tab/>
        <w:t>betreurt ten zeerste dat de Raad weliswaar formeel artikel</w:t>
      </w:r>
      <w:r w:rsidR="00FF3DA7">
        <w:t xml:space="preserve"> </w:t>
      </w:r>
      <w:r w:rsidRPr="00CC2C6F">
        <w:t>22, lid 2, VWEU, naleeft, maar de inhoud van het advies van het Parlement niet op zinvolle wijze heeft besproken; wijst erop dat deze praktijk op een bredere trend van de afgelopen jaren duidt, waarbij de Raad en de Europese Raad weigeren constructief en te goeder trouw samen te werken bij een aantal hangende bijzondere wetgevingsprocedures; herinnert aan de aanbevelingen in zijn verslag van 13 december 2023 en herhaalt zijn oproepen aan de Raad en de Europese Raad om constructief samen te werken bij het vinden van beleidsoplossingen die in het belang van de Europese burgers zijn;</w:t>
      </w:r>
    </w:p>
    <w:p w14:paraId="35F93058" w14:textId="77777777" w:rsidR="006D0C03" w:rsidRPr="00CC2C6F" w:rsidRDefault="006D0C03" w:rsidP="006D0C03">
      <w:pPr>
        <w:pStyle w:val="NormalHanging12a"/>
      </w:pPr>
      <w:r w:rsidRPr="00CC2C6F">
        <w:t>3.</w:t>
      </w:r>
      <w:r w:rsidRPr="00CC2C6F">
        <w:tab/>
        <w:t>verzoekt de Raad om het Parlement ervan op de hoogte te stellen indien de Raad voornemens is af te wijken van de door het Parlement goedgekeurde tekst;</w:t>
      </w:r>
    </w:p>
    <w:p w14:paraId="33C0729E" w14:textId="77777777" w:rsidR="006D0C03" w:rsidRPr="00CC2C6F" w:rsidRDefault="006D0C03" w:rsidP="006D0C03">
      <w:pPr>
        <w:pStyle w:val="NormalHanging12a"/>
      </w:pPr>
      <w:r w:rsidRPr="00CC2C6F">
        <w:t>4.</w:t>
      </w:r>
      <w:r w:rsidRPr="00CC2C6F">
        <w:tab/>
        <w:t xml:space="preserve">vraagt de Raad om het Parlement opnieuw te raadplegen indien de Raad voornemens is ingrijpende wijzigingen aan te brengen in </w:t>
      </w:r>
      <w:r w:rsidR="002A763F" w:rsidRPr="00CC2C6F">
        <w:t>zijn ontwerp</w:t>
      </w:r>
      <w:r w:rsidRPr="00CC2C6F">
        <w:t>;</w:t>
      </w:r>
    </w:p>
    <w:p w14:paraId="78F9D848" w14:textId="77777777" w:rsidR="00F05C29" w:rsidRPr="00CC2C6F" w:rsidRDefault="006D0C03" w:rsidP="00F05C29">
      <w:pPr>
        <w:pStyle w:val="NormalHanging12a"/>
      </w:pPr>
      <w:r w:rsidRPr="00CC2C6F">
        <w:t>5.</w:t>
      </w:r>
      <w:r w:rsidRPr="00CC2C6F">
        <w:tab/>
        <w:t>verzoekt zijn Voorzitter het standpunt van het Parlement te doen toekomen aan de Raad en de Commissie, alsook aan de nationale parlementen.</w:t>
      </w:r>
    </w:p>
    <w:p w14:paraId="23EB4DE6" w14:textId="77777777" w:rsidR="00E365E1" w:rsidRPr="00CC2C6F" w:rsidRDefault="00E365E1" w:rsidP="00D83F7C"/>
    <w:sectPr w:rsidR="00E365E1" w:rsidRPr="00CC2C6F" w:rsidSect="00F05C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B0A26" w14:textId="77777777" w:rsidR="00D83F7C" w:rsidRPr="00F05C29" w:rsidRDefault="00D83F7C">
      <w:r w:rsidRPr="00F05C29">
        <w:separator/>
      </w:r>
    </w:p>
  </w:endnote>
  <w:endnote w:type="continuationSeparator" w:id="0">
    <w:p w14:paraId="39C777C1" w14:textId="77777777" w:rsidR="00D83F7C" w:rsidRPr="00F05C29" w:rsidRDefault="00D83F7C">
      <w:r w:rsidRPr="00F05C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DE52" w14:textId="77777777" w:rsidR="00064002" w:rsidRPr="00F05C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5FE3" w14:textId="77777777" w:rsidR="00064002" w:rsidRPr="00F05C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869F" w14:textId="77777777" w:rsidR="00064002" w:rsidRPr="00F05C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65ED6" w14:textId="77777777" w:rsidR="00D83F7C" w:rsidRPr="00F05C29" w:rsidRDefault="00D83F7C">
      <w:r w:rsidRPr="00F05C29">
        <w:separator/>
      </w:r>
    </w:p>
  </w:footnote>
  <w:footnote w:type="continuationSeparator" w:id="0">
    <w:p w14:paraId="70651DEC" w14:textId="77777777" w:rsidR="00D83F7C" w:rsidRPr="00F05C29" w:rsidRDefault="00D83F7C">
      <w:r w:rsidRPr="00F05C29">
        <w:continuationSeparator/>
      </w:r>
    </w:p>
  </w:footnote>
  <w:footnote w:id="1">
    <w:p w14:paraId="31E07E99" w14:textId="77777777" w:rsidR="002A763F" w:rsidRPr="00CC2C6F" w:rsidRDefault="002A763F" w:rsidP="002A763F">
      <w:pPr>
        <w:pStyle w:val="FootnoteText"/>
        <w:ind w:left="567" w:hanging="567"/>
        <w:rPr>
          <w:sz w:val="24"/>
          <w:szCs w:val="24"/>
          <w:lang w:val="nl-BE"/>
        </w:rPr>
      </w:pPr>
      <w:r w:rsidRPr="002A763F">
        <w:rPr>
          <w:rStyle w:val="FootnoteReference"/>
          <w:sz w:val="24"/>
          <w:szCs w:val="24"/>
        </w:rPr>
        <w:footnoteRef/>
      </w:r>
      <w:r w:rsidRPr="00CC2C6F">
        <w:rPr>
          <w:sz w:val="24"/>
          <w:szCs w:val="24"/>
          <w:lang w:val="nl-BE"/>
        </w:rPr>
        <w:tab/>
        <w:t>PB C 283 van 11.8.2023, blz. 76.</w:t>
      </w:r>
    </w:p>
  </w:footnote>
  <w:footnote w:id="2">
    <w:p w14:paraId="0C657FB6" w14:textId="77777777" w:rsidR="006D0C03" w:rsidRPr="00F05C29" w:rsidRDefault="006D0C03" w:rsidP="00F05C29">
      <w:pPr>
        <w:pStyle w:val="FootnoteText"/>
        <w:ind w:left="567" w:hanging="567"/>
        <w:rPr>
          <w:sz w:val="24"/>
          <w:lang w:val="nl-NL"/>
        </w:rPr>
      </w:pPr>
      <w:r w:rsidRPr="00F05C29">
        <w:rPr>
          <w:rStyle w:val="FootnoteReference"/>
          <w:sz w:val="24"/>
          <w:lang w:val="nl-NL"/>
        </w:rPr>
        <w:footnoteRef/>
      </w:r>
      <w:r w:rsidR="00F05C29" w:rsidRPr="00F05C29">
        <w:rPr>
          <w:sz w:val="24"/>
          <w:lang w:val="nl-NL"/>
        </w:rPr>
        <w:tab/>
      </w:r>
      <w:r w:rsidRPr="00F05C29">
        <w:rPr>
          <w:sz w:val="24"/>
          <w:lang w:val="nl-NL"/>
        </w:rPr>
        <w:t>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CA9D1" w14:textId="77777777" w:rsidR="00064002" w:rsidRPr="00F05C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FB49B" w14:textId="77777777" w:rsidR="00064002" w:rsidRPr="00F05C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717FD" w14:textId="77777777" w:rsidR="00064002" w:rsidRPr="00F05C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591179">
    <w:abstractNumId w:val="9"/>
  </w:num>
  <w:num w:numId="2" w16cid:durableId="2023047918">
    <w:abstractNumId w:val="9"/>
  </w:num>
  <w:num w:numId="3" w16cid:durableId="1447383730">
    <w:abstractNumId w:val="7"/>
  </w:num>
  <w:num w:numId="4" w16cid:durableId="602223843">
    <w:abstractNumId w:val="7"/>
  </w:num>
  <w:num w:numId="5" w16cid:durableId="1380590761">
    <w:abstractNumId w:val="6"/>
  </w:num>
  <w:num w:numId="6" w16cid:durableId="453644503">
    <w:abstractNumId w:val="6"/>
  </w:num>
  <w:num w:numId="7" w16cid:durableId="1287662197">
    <w:abstractNumId w:val="5"/>
  </w:num>
  <w:num w:numId="8" w16cid:durableId="1992785097">
    <w:abstractNumId w:val="5"/>
  </w:num>
  <w:num w:numId="9" w16cid:durableId="917057166">
    <w:abstractNumId w:val="4"/>
  </w:num>
  <w:num w:numId="10" w16cid:durableId="710541935">
    <w:abstractNumId w:val="4"/>
  </w:num>
  <w:num w:numId="11" w16cid:durableId="554661831">
    <w:abstractNumId w:val="8"/>
  </w:num>
  <w:num w:numId="12" w16cid:durableId="961808547">
    <w:abstractNumId w:val="8"/>
  </w:num>
  <w:num w:numId="13" w16cid:durableId="847252827">
    <w:abstractNumId w:val="3"/>
  </w:num>
  <w:num w:numId="14" w16cid:durableId="401216301">
    <w:abstractNumId w:val="3"/>
  </w:num>
  <w:num w:numId="15" w16cid:durableId="2103379030">
    <w:abstractNumId w:val="2"/>
  </w:num>
  <w:num w:numId="16" w16cid:durableId="1180856815">
    <w:abstractNumId w:val="2"/>
  </w:num>
  <w:num w:numId="17" w16cid:durableId="1073509322">
    <w:abstractNumId w:val="1"/>
  </w:num>
  <w:num w:numId="18" w16cid:durableId="910237503">
    <w:abstractNumId w:val="1"/>
  </w:num>
  <w:num w:numId="19" w16cid:durableId="740979536">
    <w:abstractNumId w:val="0"/>
  </w:num>
  <w:num w:numId="20" w16cid:durableId="1250503242">
    <w:abstractNumId w:val="0"/>
  </w:num>
  <w:num w:numId="21" w16cid:durableId="1565874202">
    <w:abstractNumId w:val="9"/>
  </w:num>
  <w:num w:numId="22" w16cid:durableId="123549230">
    <w:abstractNumId w:val="7"/>
  </w:num>
  <w:num w:numId="23" w16cid:durableId="1450314636">
    <w:abstractNumId w:val="6"/>
  </w:num>
  <w:num w:numId="24" w16cid:durableId="656110312">
    <w:abstractNumId w:val="5"/>
  </w:num>
  <w:num w:numId="25" w16cid:durableId="1920211468">
    <w:abstractNumId w:val="4"/>
  </w:num>
  <w:num w:numId="26" w16cid:durableId="1636594938">
    <w:abstractNumId w:val="8"/>
  </w:num>
  <w:num w:numId="27" w16cid:durableId="162476071">
    <w:abstractNumId w:val="3"/>
  </w:num>
  <w:num w:numId="28" w16cid:durableId="1418945049">
    <w:abstractNumId w:val="2"/>
  </w:num>
  <w:num w:numId="29" w16cid:durableId="258678677">
    <w:abstractNumId w:val="1"/>
  </w:num>
  <w:num w:numId="30" w16cid:durableId="1137575877">
    <w:abstractNumId w:val="0"/>
  </w:num>
  <w:num w:numId="31" w16cid:durableId="130055490">
    <w:abstractNumId w:val="9"/>
  </w:num>
  <w:num w:numId="32" w16cid:durableId="1986012593">
    <w:abstractNumId w:val="7"/>
  </w:num>
  <w:num w:numId="33" w16cid:durableId="445731799">
    <w:abstractNumId w:val="6"/>
  </w:num>
  <w:num w:numId="34" w16cid:durableId="1815178792">
    <w:abstractNumId w:val="5"/>
  </w:num>
  <w:num w:numId="35" w16cid:durableId="1708067363">
    <w:abstractNumId w:val="4"/>
  </w:num>
  <w:num w:numId="36" w16cid:durableId="371926981">
    <w:abstractNumId w:val="8"/>
  </w:num>
  <w:num w:numId="37" w16cid:durableId="951549374">
    <w:abstractNumId w:val="3"/>
  </w:num>
  <w:num w:numId="38" w16cid:durableId="2097702498">
    <w:abstractNumId w:val="2"/>
  </w:num>
  <w:num w:numId="39" w16cid:durableId="1748261149">
    <w:abstractNumId w:val="1"/>
  </w:num>
  <w:num w:numId="40" w16cid:durableId="1222130303">
    <w:abstractNumId w:val="0"/>
  </w:num>
  <w:num w:numId="41" w16cid:durableId="1851218645">
    <w:abstractNumId w:val="10"/>
  </w:num>
  <w:num w:numId="42" w16cid:durableId="88046552">
    <w:abstractNumId w:val="10"/>
  </w:num>
  <w:num w:numId="43" w16cid:durableId="1578056233">
    <w:abstractNumId w:val="10"/>
  </w:num>
  <w:num w:numId="44" w16cid:durableId="2146002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0/2025"/>
    <w:docVar w:name="dvlangue" w:val="NL"/>
    <w:docVar w:name="dvnumam" w:val="0"/>
    <w:docVar w:name="dvpe" w:val="767.903"/>
    <w:docVar w:name="dvrapporteur" w:val="Rapporteur: "/>
    <w:docVar w:name="dvstar" w:val="*"/>
    <w:docVar w:name="dvtitre" w:val="Wetgevingsresolutie van het Europees Parlement van xx juni 2025 over het voorstel voor een richtlijn van de Raad tot vaststelling van de wijze van uitoefening van het actief en passief kiesrecht bij de verkiezingen voor het Europees Parlement ten behoeve van de Unieburgers die verblijven in een lidstaat waarvan zij geen onderdaan zijn (herschikking)(09789/2024 – C10-0001/2024– 2021/0372(CNS))"/>
  </w:docVars>
  <w:rsids>
    <w:rsidRoot w:val="00D83F7C"/>
    <w:rsid w:val="00002272"/>
    <w:rsid w:val="00064002"/>
    <w:rsid w:val="000677B9"/>
    <w:rsid w:val="000831BA"/>
    <w:rsid w:val="000A42CC"/>
    <w:rsid w:val="000B4D88"/>
    <w:rsid w:val="000E7DD9"/>
    <w:rsid w:val="0010095E"/>
    <w:rsid w:val="00125B37"/>
    <w:rsid w:val="00187494"/>
    <w:rsid w:val="001F32AE"/>
    <w:rsid w:val="00214F1E"/>
    <w:rsid w:val="00270092"/>
    <w:rsid w:val="002767FF"/>
    <w:rsid w:val="002A763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C0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CC9"/>
    <w:rsid w:val="00C05BFE"/>
    <w:rsid w:val="00C23CD4"/>
    <w:rsid w:val="00C61C0C"/>
    <w:rsid w:val="00C941CB"/>
    <w:rsid w:val="00CC2357"/>
    <w:rsid w:val="00CC2C6F"/>
    <w:rsid w:val="00CF071A"/>
    <w:rsid w:val="00D058B8"/>
    <w:rsid w:val="00D56C11"/>
    <w:rsid w:val="00D834A0"/>
    <w:rsid w:val="00D83F7C"/>
    <w:rsid w:val="00D872DF"/>
    <w:rsid w:val="00D91E21"/>
    <w:rsid w:val="00DA7FCD"/>
    <w:rsid w:val="00E365E1"/>
    <w:rsid w:val="00E820A4"/>
    <w:rsid w:val="00EB006A"/>
    <w:rsid w:val="00EB4772"/>
    <w:rsid w:val="00ED169E"/>
    <w:rsid w:val="00ED4235"/>
    <w:rsid w:val="00F04346"/>
    <w:rsid w:val="00F05C29"/>
    <w:rsid w:val="00F075DC"/>
    <w:rsid w:val="00F149E9"/>
    <w:rsid w:val="00F5134D"/>
    <w:rsid w:val="00F74202"/>
    <w:rsid w:val="00F87713"/>
    <w:rsid w:val="00FB4360"/>
    <w:rsid w:val="00FD0C70"/>
    <w:rsid w:val="00FF3D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099B"/>
  <w15:chartTrackingRefBased/>
  <w15:docId w15:val="{52186446-49D6-42EB-93C9-28510CA6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D0C03"/>
    <w:rPr>
      <w:b/>
    </w:rPr>
  </w:style>
  <w:style w:type="paragraph" w:customStyle="1" w:styleId="NormalHanging12a">
    <w:name w:val="NormalHanging12a"/>
    <w:basedOn w:val="Normal"/>
    <w:link w:val="NormalHanging12aChar"/>
    <w:rsid w:val="006D0C03"/>
    <w:pPr>
      <w:spacing w:after="240"/>
      <w:ind w:left="567" w:hanging="567"/>
    </w:pPr>
  </w:style>
  <w:style w:type="paragraph" w:customStyle="1" w:styleId="EPComma">
    <w:name w:val="EPComma"/>
    <w:basedOn w:val="Normal"/>
    <w:rsid w:val="006D0C03"/>
    <w:pPr>
      <w:spacing w:before="480" w:after="240"/>
    </w:pPr>
  </w:style>
  <w:style w:type="character" w:customStyle="1" w:styleId="NormalHanging12aChar">
    <w:name w:val="NormalHanging12a Char"/>
    <w:basedOn w:val="DefaultParagraphFont"/>
    <w:link w:val="NormalHanging12a"/>
    <w:rsid w:val="006D0C03"/>
    <w:rPr>
      <w:sz w:val="24"/>
      <w:lang w:val="nl-NL"/>
    </w:rPr>
  </w:style>
  <w:style w:type="paragraph" w:styleId="BalloonText">
    <w:name w:val="Balloon Text"/>
    <w:basedOn w:val="Normal"/>
    <w:link w:val="BalloonTextChar"/>
    <w:rsid w:val="002A763F"/>
    <w:rPr>
      <w:rFonts w:ascii="Segoe UI" w:hAnsi="Segoe UI" w:cs="Segoe UI"/>
      <w:sz w:val="18"/>
      <w:szCs w:val="18"/>
    </w:rPr>
  </w:style>
  <w:style w:type="character" w:customStyle="1" w:styleId="BalloonTextChar">
    <w:name w:val="Balloon Text Char"/>
    <w:basedOn w:val="DefaultParagraphFont"/>
    <w:link w:val="BalloonText"/>
    <w:rsid w:val="002A763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88C25-7522-4CA6-B4FA-1935D522D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VTN</cp:lastModifiedBy>
  <cp:revision>2</cp:revision>
  <cp:lastPrinted>2004-11-19T15:42:00Z</cp:lastPrinted>
  <dcterms:created xsi:type="dcterms:W3CDTF">2025-07-28T12:08:00Z</dcterms:created>
  <dcterms:modified xsi:type="dcterms:W3CDTF">2025-07-28T12:08:00Z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P10_TA(2025)0120_</vt:lpwstr>
  </property>
  <property fmtid="{D5CDD505-2E9C-101B-9397-08002B2CF9AE}" pid="4" name="&lt;Type&gt;">
    <vt:lpwstr>RR</vt:lpwstr>
  </property>
</Properties>
</file>