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90DF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90DFE" w:rsidRDefault="000E2D5D" w:rsidP="0010095E">
            <w:pPr>
              <w:pStyle w:val="EPName"/>
            </w:pPr>
            <w:r w:rsidRPr="00B90DFE">
              <w:t>Parlament Europejski</w:t>
            </w:r>
          </w:p>
          <w:p w:rsidR="00751A4A" w:rsidRPr="00B90DF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90DFE">
              <w:t>2024</w:t>
            </w:r>
            <w:r w:rsidR="00817416" w:rsidRPr="00B90DFE">
              <w:t>-202</w:t>
            </w:r>
            <w:r w:rsidRPr="00B90DF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90DFE" w:rsidRDefault="00187494" w:rsidP="0010095E">
            <w:pPr>
              <w:pStyle w:val="EPLogo"/>
            </w:pPr>
            <w:r w:rsidRPr="00B90DF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90DFE" w:rsidRDefault="00D058B8" w:rsidP="004C5D52">
      <w:pPr>
        <w:pStyle w:val="LineTop"/>
      </w:pPr>
    </w:p>
    <w:p w:rsidR="00680577" w:rsidRPr="00B90DFE" w:rsidRDefault="000E2D5D" w:rsidP="00680577">
      <w:pPr>
        <w:pStyle w:val="EPBodyTA1"/>
      </w:pPr>
      <w:r w:rsidRPr="00B90DFE">
        <w:t>TEKSTY PRZYJĘTE</w:t>
      </w:r>
    </w:p>
    <w:p w:rsidR="00D058B8" w:rsidRPr="00B90DFE" w:rsidRDefault="00D058B8" w:rsidP="00D058B8">
      <w:pPr>
        <w:pStyle w:val="LineBottom"/>
      </w:pPr>
    </w:p>
    <w:p w:rsidR="000E2D5D" w:rsidRPr="00B90DFE" w:rsidRDefault="000E2D5D" w:rsidP="000E2D5D">
      <w:pPr>
        <w:pStyle w:val="ATHeading1"/>
      </w:pPr>
      <w:bookmarkStart w:id="0" w:name="TANumber"/>
      <w:r w:rsidRPr="00B90DFE">
        <w:t>P10_TA(2025)0</w:t>
      </w:r>
      <w:r w:rsidR="0013349C">
        <w:t>12</w:t>
      </w:r>
      <w:bookmarkStart w:id="1" w:name="_GoBack"/>
      <w:bookmarkEnd w:id="1"/>
      <w:r w:rsidRPr="00B90DFE">
        <w:t>0</w:t>
      </w:r>
      <w:bookmarkEnd w:id="0"/>
    </w:p>
    <w:p w:rsidR="000E2D5D" w:rsidRPr="009A752E" w:rsidRDefault="009A752E" w:rsidP="000E2D5D">
      <w:pPr>
        <w:pStyle w:val="ATHeading2"/>
      </w:pPr>
      <w:r w:rsidRPr="009A752E">
        <w:t>Prawa wyborcze mobilnych obywateli Unii w wyborach do Parlamentu Europejskiego</w:t>
      </w:r>
    </w:p>
    <w:p w:rsidR="000E2D5D" w:rsidRPr="00B90DFE" w:rsidRDefault="000E2D5D" w:rsidP="000E2D5D">
      <w:pPr>
        <w:rPr>
          <w:i/>
          <w:vanish/>
        </w:rPr>
      </w:pPr>
      <w:r w:rsidRPr="00B90DFE">
        <w:rPr>
          <w:i/>
        </w:rPr>
        <w:fldChar w:fldCharType="begin"/>
      </w:r>
      <w:r w:rsidRPr="00B90DFE">
        <w:rPr>
          <w:i/>
        </w:rPr>
        <w:instrText xml:space="preserve"> TC"(</w:instrText>
      </w:r>
      <w:bookmarkStart w:id="2" w:name="DocNumber"/>
      <w:r w:rsidRPr="00B90DFE">
        <w:rPr>
          <w:i/>
        </w:rPr>
        <w:instrText>A10-0090/2025</w:instrText>
      </w:r>
      <w:bookmarkEnd w:id="2"/>
      <w:r w:rsidRPr="00B90DFE">
        <w:rPr>
          <w:i/>
        </w:rPr>
        <w:instrText xml:space="preserve"> - Sprawozdawca: Sven Simon</w:instrText>
      </w:r>
      <w:proofErr w:type="gramStart"/>
      <w:r w:rsidRPr="00B90DFE">
        <w:rPr>
          <w:i/>
        </w:rPr>
        <w:instrText>)"\l</w:instrText>
      </w:r>
      <w:proofErr w:type="gramEnd"/>
      <w:r w:rsidRPr="00B90DFE">
        <w:rPr>
          <w:i/>
        </w:rPr>
        <w:instrText xml:space="preserve">3 \n&gt; \* MERGEFORMAT </w:instrText>
      </w:r>
      <w:r w:rsidRPr="00B90DFE">
        <w:rPr>
          <w:i/>
        </w:rPr>
        <w:fldChar w:fldCharType="end"/>
      </w:r>
    </w:p>
    <w:p w:rsidR="000E2D5D" w:rsidRPr="00B90DFE" w:rsidRDefault="000E2D5D" w:rsidP="000E2D5D">
      <w:pPr>
        <w:rPr>
          <w:vanish/>
        </w:rPr>
      </w:pPr>
      <w:bookmarkStart w:id="3" w:name="Commission"/>
      <w:r w:rsidRPr="00B90DFE">
        <w:rPr>
          <w:vanish/>
        </w:rPr>
        <w:t>Komisja Spraw Konstytucyjnych</w:t>
      </w:r>
      <w:bookmarkEnd w:id="3"/>
    </w:p>
    <w:p w:rsidR="000E2D5D" w:rsidRPr="00B90DFE" w:rsidRDefault="000E2D5D" w:rsidP="000E2D5D">
      <w:pPr>
        <w:rPr>
          <w:vanish/>
        </w:rPr>
      </w:pPr>
      <w:bookmarkStart w:id="4" w:name="PE"/>
      <w:r w:rsidRPr="00B90DFE">
        <w:rPr>
          <w:vanish/>
        </w:rPr>
        <w:t>PE767.903</w:t>
      </w:r>
      <w:bookmarkEnd w:id="4"/>
    </w:p>
    <w:p w:rsidR="000E2D5D" w:rsidRPr="00B90DFE" w:rsidRDefault="000E2D5D" w:rsidP="00486C28">
      <w:pPr>
        <w:pStyle w:val="ATHeading3"/>
      </w:pPr>
      <w:bookmarkStart w:id="5" w:name="Sujet"/>
      <w:r w:rsidRPr="00B90DFE">
        <w:t xml:space="preserve">Rezolucja ustawodawcza Parlamentu Europejskiego z dnia </w:t>
      </w:r>
      <w:r w:rsidR="005F1502">
        <w:t>17 czerwca</w:t>
      </w:r>
      <w:r w:rsidRPr="00B90DFE">
        <w:t xml:space="preserve"> 2025 r. w sprawie </w:t>
      </w:r>
      <w:r w:rsidR="005F1502">
        <w:t>projektu</w:t>
      </w:r>
      <w:r w:rsidRPr="00B90DFE">
        <w:t xml:space="preserve"> dyrektywy Rady </w:t>
      </w:r>
      <w:r w:rsidR="00486C28">
        <w:t>w sprawie ustanowienia</w:t>
      </w:r>
      <w:r w:rsidR="00486C28" w:rsidRPr="00B90DFE">
        <w:t xml:space="preserve"> </w:t>
      </w:r>
      <w:r w:rsidR="00486C28">
        <w:t xml:space="preserve">szczegółowych warunków </w:t>
      </w:r>
      <w:r w:rsidRPr="00B90DFE">
        <w:t>wykonywania prawa głosowania i kandydowania w wyborach do Parlamentu Europejskiego przez obywateli Unii mających miejsce zamieszkania w państwie członkowskim, którego nie są obywatelami (wersja przekształcona)</w:t>
      </w:r>
      <w:bookmarkEnd w:id="5"/>
      <w:r w:rsidRPr="00B90DFE">
        <w:t xml:space="preserve"> </w:t>
      </w:r>
      <w:bookmarkStart w:id="6" w:name="References"/>
      <w:r w:rsidRPr="00B90DFE">
        <w:t>(09789/2024 – C10-0001/2024– 2021/0372(CNS))</w:t>
      </w:r>
      <w:bookmarkEnd w:id="6"/>
    </w:p>
    <w:p w:rsidR="0098266A" w:rsidRPr="00B90DFE" w:rsidRDefault="0098266A" w:rsidP="0098266A">
      <w:pPr>
        <w:pStyle w:val="NormalBold"/>
      </w:pPr>
      <w:r w:rsidRPr="00B90DFE">
        <w:t xml:space="preserve">(Specjalna procedura ustawodawcza – </w:t>
      </w:r>
      <w:r w:rsidR="00486C28">
        <w:t xml:space="preserve">ponowna </w:t>
      </w:r>
      <w:r w:rsidRPr="00B90DFE">
        <w:t>konsultacja – przekształcenie)</w:t>
      </w:r>
    </w:p>
    <w:p w:rsidR="0098266A" w:rsidRPr="00B90DFE" w:rsidRDefault="0098266A" w:rsidP="0098266A">
      <w:pPr>
        <w:pStyle w:val="EPComma"/>
      </w:pPr>
      <w:r w:rsidRPr="00B90DFE">
        <w:rPr>
          <w:i/>
        </w:rPr>
        <w:t>Parlament Europejski</w:t>
      </w:r>
      <w:r w:rsidRPr="00B90DFE">
        <w:t>,</w:t>
      </w:r>
    </w:p>
    <w:p w:rsidR="0098266A" w:rsidRPr="00B90DFE" w:rsidRDefault="0098266A" w:rsidP="0098266A">
      <w:pPr>
        <w:pStyle w:val="NormalHanging12a"/>
      </w:pPr>
      <w:r w:rsidRPr="00B90DFE">
        <w:t>–</w:t>
      </w:r>
      <w:r w:rsidRPr="00B90DFE">
        <w:tab/>
        <w:t>uwzględniając projekt Rady (09789/2024),</w:t>
      </w:r>
    </w:p>
    <w:p w:rsidR="0098266A" w:rsidRDefault="0098266A" w:rsidP="0098266A">
      <w:pPr>
        <w:pStyle w:val="NormalHanging12a"/>
      </w:pPr>
      <w:r w:rsidRPr="00B90DFE">
        <w:t>–</w:t>
      </w:r>
      <w:r w:rsidRPr="00B90DFE">
        <w:tab/>
        <w:t>uwzględniając wniosek Komisji przedstawiony Radzie (COM(2021)0732),</w:t>
      </w:r>
    </w:p>
    <w:p w:rsidR="009A752E" w:rsidRPr="00B90DFE" w:rsidRDefault="009A752E" w:rsidP="0098266A">
      <w:pPr>
        <w:pStyle w:val="NormalHanging12a"/>
      </w:pPr>
      <w:r w:rsidRPr="00B90DFE">
        <w:t>–</w:t>
      </w:r>
      <w:r w:rsidRPr="00B90DFE">
        <w:tab/>
        <w:t xml:space="preserve">uwzględniając </w:t>
      </w:r>
      <w:r>
        <w:t>swoje stanowisko z dnia 14 lutego 2023 r.</w:t>
      </w:r>
      <w:r w:rsidR="00405408">
        <w:rPr>
          <w:rStyle w:val="FootnoteReference"/>
        </w:rPr>
        <w:footnoteReference w:id="1"/>
      </w:r>
      <w:r>
        <w:t>,</w:t>
      </w:r>
    </w:p>
    <w:p w:rsidR="0098266A" w:rsidRPr="00B90DFE" w:rsidRDefault="0098266A">
      <w:pPr>
        <w:pStyle w:val="NormalHanging12a"/>
      </w:pPr>
      <w:r w:rsidRPr="00B90DFE">
        <w:t>–</w:t>
      </w:r>
      <w:r w:rsidRPr="00B90DFE">
        <w:tab/>
        <w:t xml:space="preserve">uwzględniając art. 22 ust. 2 Traktatu o funkcjonowaniu Unii Europejskiej, </w:t>
      </w:r>
      <w:r w:rsidR="008910BA">
        <w:t>na mocy którego</w:t>
      </w:r>
      <w:r w:rsidRPr="00B90DFE">
        <w:t xml:space="preserve"> Rada skonsultowała się </w:t>
      </w:r>
      <w:r w:rsidR="009A752E">
        <w:t xml:space="preserve">ponownie </w:t>
      </w:r>
      <w:r w:rsidRPr="00B90DFE">
        <w:t>z Parlamentem (C10-0001/2024),</w:t>
      </w:r>
    </w:p>
    <w:p w:rsidR="0098266A" w:rsidRPr="00B90DFE" w:rsidRDefault="0098266A" w:rsidP="0098266A">
      <w:pPr>
        <w:pStyle w:val="NormalHanging12a"/>
      </w:pPr>
      <w:r w:rsidRPr="00B90DFE">
        <w:t>–</w:t>
      </w:r>
      <w:r w:rsidRPr="00B90DFE">
        <w:tab/>
        <w:t>uwzględniając Porozumienie międzyinstytucjonalne z dnia 28 listopada 2001 r. w sprawie bardziej uporządkowanego wykorzystania techniki przekształcania aktów prawnych</w:t>
      </w:r>
      <w:r w:rsidRPr="00B90DFE">
        <w:rPr>
          <w:rStyle w:val="FootnoteReference"/>
        </w:rPr>
        <w:footnoteReference w:id="2"/>
      </w:r>
      <w:r w:rsidRPr="00B90DFE">
        <w:t>,</w:t>
      </w:r>
    </w:p>
    <w:p w:rsidR="0098266A" w:rsidRPr="00B90DFE" w:rsidRDefault="0098266A" w:rsidP="0098266A">
      <w:pPr>
        <w:pStyle w:val="NormalHanging12a"/>
      </w:pPr>
      <w:r w:rsidRPr="00B90DFE">
        <w:t>–</w:t>
      </w:r>
      <w:r w:rsidRPr="00B90DFE">
        <w:tab/>
        <w:t>uwzględniając pismo Komisji Prawnej z</w:t>
      </w:r>
      <w:r w:rsidR="008910BA">
        <w:t xml:space="preserve"> dnia</w:t>
      </w:r>
      <w:r w:rsidRPr="00B90DFE">
        <w:t xml:space="preserve"> 8 listopada 2022 r. skierowane do Komisji Spraw Konstytucyjnych zgodnie z art. 113 ust. 3 Regulaminu,</w:t>
      </w:r>
    </w:p>
    <w:p w:rsidR="0098266A" w:rsidRPr="00B90DFE" w:rsidRDefault="0098266A" w:rsidP="0098266A">
      <w:pPr>
        <w:pStyle w:val="NormalHanging12a"/>
      </w:pPr>
      <w:r w:rsidRPr="00B90DFE">
        <w:t>–</w:t>
      </w:r>
      <w:r w:rsidRPr="00B90DFE">
        <w:tab/>
        <w:t>uwzględniając art. 113</w:t>
      </w:r>
      <w:r w:rsidR="009A752E">
        <w:t xml:space="preserve">, </w:t>
      </w:r>
      <w:r w:rsidRPr="00B90DFE">
        <w:t>84</w:t>
      </w:r>
      <w:r w:rsidR="009A752E">
        <w:t xml:space="preserve"> i 86</w:t>
      </w:r>
      <w:r w:rsidRPr="00B90DFE">
        <w:t xml:space="preserve"> Regulaminu,</w:t>
      </w:r>
    </w:p>
    <w:p w:rsidR="0098266A" w:rsidRPr="00B90DFE" w:rsidRDefault="0098266A">
      <w:pPr>
        <w:pStyle w:val="NormalHanging12a"/>
      </w:pPr>
      <w:r w:rsidRPr="00B90DFE">
        <w:t>–</w:t>
      </w:r>
      <w:r w:rsidRPr="00B90DFE">
        <w:tab/>
        <w:t xml:space="preserve">uwzględniając pismo </w:t>
      </w:r>
      <w:r w:rsidR="008910BA">
        <w:t>Komisji</w:t>
      </w:r>
      <w:r w:rsidRPr="00B90DFE">
        <w:t xml:space="preserve"> Wolności Obywatelskich, Sprawiedliwości i Spraw </w:t>
      </w:r>
      <w:r w:rsidRPr="00B90DFE">
        <w:lastRenderedPageBreak/>
        <w:t>Wewnętrznych,</w:t>
      </w:r>
    </w:p>
    <w:p w:rsidR="0098266A" w:rsidRPr="00B90DFE" w:rsidRDefault="0098266A" w:rsidP="0098266A">
      <w:pPr>
        <w:pStyle w:val="NormalHanging12a"/>
      </w:pPr>
      <w:r w:rsidRPr="00B90DFE">
        <w:t>–</w:t>
      </w:r>
      <w:r w:rsidRPr="00B90DFE">
        <w:tab/>
        <w:t>uwzględniając sprawozdanie Komisji Spraw Konstytucyjnych (A10-0090/2025),</w:t>
      </w:r>
    </w:p>
    <w:p w:rsidR="0098266A" w:rsidRPr="00B90DFE" w:rsidRDefault="0098266A" w:rsidP="0098266A">
      <w:pPr>
        <w:pStyle w:val="NormalHanging12a"/>
      </w:pPr>
      <w:r w:rsidRPr="00B90DFE">
        <w:t>A.</w:t>
      </w:r>
      <w:r w:rsidRPr="00B90DFE">
        <w:tab/>
      </w:r>
      <w:proofErr w:type="gramStart"/>
      <w:r w:rsidRPr="00B90DFE">
        <w:t>mając</w:t>
      </w:r>
      <w:proofErr w:type="gramEnd"/>
      <w:r w:rsidRPr="00B90DFE">
        <w:t xml:space="preserve"> na uwadze, że konsultacyjna grupa robocza służb prawnych Parlamentu Europejskiego, Rady i Komisji stwierdziła, że wniosek Komisji nie zawiera żadnych zmian merytorycznych innych niż te określone jako takie we wniosku, oraz mając na uwadze, że w odniesieniu do ujednolicenia niezmienionych przepisów wcześniejszych aktów z tymi zmianami wniosek ogranicza się do zwykłego ujednolicenia istniejących tekstów, bez zmiany co do istoty;</w:t>
      </w:r>
    </w:p>
    <w:p w:rsidR="0098266A" w:rsidRPr="00B90DFE" w:rsidRDefault="0098266A">
      <w:pPr>
        <w:pStyle w:val="NormalHanging12a"/>
      </w:pPr>
      <w:r w:rsidRPr="00B90DFE">
        <w:t>1.</w:t>
      </w:r>
      <w:r w:rsidRPr="00B90DFE">
        <w:tab/>
      </w:r>
      <w:proofErr w:type="gramStart"/>
      <w:r w:rsidRPr="00B90DFE">
        <w:t>zatwierdza</w:t>
      </w:r>
      <w:proofErr w:type="gramEnd"/>
      <w:r w:rsidRPr="00B90DFE">
        <w:t xml:space="preserve"> projekt Rady w brzmieniu uwzględniającym zalecenia konsultacyjnej </w:t>
      </w:r>
      <w:r w:rsidR="008910BA" w:rsidRPr="00B90DFE">
        <w:t xml:space="preserve">grupy </w:t>
      </w:r>
      <w:r w:rsidR="008910BA">
        <w:t xml:space="preserve">roboczej </w:t>
      </w:r>
      <w:r w:rsidRPr="00B90DFE">
        <w:t>służb prawnych Parlamentu Europejskiego, Rady i Komisji;</w:t>
      </w:r>
    </w:p>
    <w:p w:rsidR="0098266A" w:rsidRPr="00B90DFE" w:rsidRDefault="0098266A" w:rsidP="0098266A">
      <w:pPr>
        <w:pStyle w:val="NormalHanging12a"/>
      </w:pPr>
      <w:r w:rsidRPr="00B90DFE">
        <w:t>2.</w:t>
      </w:r>
      <w:r w:rsidRPr="00B90DFE">
        <w:tab/>
      </w:r>
      <w:proofErr w:type="gramStart"/>
      <w:r w:rsidRPr="00B90DFE">
        <w:t>głęboko</w:t>
      </w:r>
      <w:proofErr w:type="gramEnd"/>
      <w:r w:rsidRPr="00B90DFE">
        <w:t xml:space="preserve"> ubolewa, że chociaż Rada formalnie wywiązała się z art. 22 ust. 2 TFUE, to w żaden znaczący sposób nie odniosła się do meritum opinii Parlamentu; zwraca uwagę, że praktyka ta jest odzwierciedleniem szerszej tendencji widocznej w ostatnich latach, polegającej na tym, że w szeregu toczących się specjalnych procedur ustawodawczych Rada i Rada Europejska odmawiają konstruktywnej współpracy w dobrej wierze; przypomina o zaleceniach zawartych w</w:t>
      </w:r>
      <w:r w:rsidR="005C3646">
        <w:t xml:space="preserve"> swoim</w:t>
      </w:r>
      <w:r w:rsidRPr="00B90DFE">
        <w:t xml:space="preserve"> sprawozdaniu z </w:t>
      </w:r>
      <w:r w:rsidR="005C3646">
        <w:t xml:space="preserve">dnia </w:t>
      </w:r>
      <w:r w:rsidRPr="00B90DFE">
        <w:t>13 grudnia 2023 r. i ponawia apel do Rady i Rady Europejskiej o konstruktywną współpracę w poszukiwaniu rozwiązań politycznych w interesie obywateli europejskich;</w:t>
      </w:r>
    </w:p>
    <w:p w:rsidR="0098266A" w:rsidRPr="00B90DFE" w:rsidRDefault="0098266A" w:rsidP="0098266A">
      <w:pPr>
        <w:pStyle w:val="NormalHanging12a"/>
      </w:pPr>
      <w:r w:rsidRPr="00B90DFE">
        <w:t>3.</w:t>
      </w:r>
      <w:r w:rsidRPr="00B90DFE">
        <w:tab/>
      </w:r>
      <w:proofErr w:type="gramStart"/>
      <w:r w:rsidRPr="00B90DFE">
        <w:t>zwraca</w:t>
      </w:r>
      <w:proofErr w:type="gramEnd"/>
      <w:r w:rsidRPr="00B90DFE">
        <w:t xml:space="preserve"> się do Rady o poinformowanie go, jeśli uzna ona za stosowne odejście od tekstu przyjętego przez Parlament;</w:t>
      </w:r>
    </w:p>
    <w:p w:rsidR="0098266A" w:rsidRPr="00B90DFE" w:rsidRDefault="0098266A">
      <w:pPr>
        <w:pStyle w:val="NormalHanging12a"/>
      </w:pPr>
      <w:r w:rsidRPr="00B90DFE">
        <w:t>4.</w:t>
      </w:r>
      <w:r w:rsidRPr="00B90DFE">
        <w:tab/>
      </w:r>
      <w:proofErr w:type="gramStart"/>
      <w:r w:rsidRPr="00B90DFE">
        <w:t>zwraca</w:t>
      </w:r>
      <w:proofErr w:type="gramEnd"/>
      <w:r w:rsidRPr="00B90DFE">
        <w:t xml:space="preserve"> się do Rady o ponowne skonsultowanie się z Parlamentem, jeśli uzna ona za stosowne wprowadzenie znaczących zmian do </w:t>
      </w:r>
      <w:r w:rsidR="005C3646">
        <w:t>jej projektu</w:t>
      </w:r>
      <w:r w:rsidRPr="00B90DFE">
        <w:t>;</w:t>
      </w:r>
    </w:p>
    <w:p w:rsidR="00B90DFE" w:rsidRPr="00B90DFE" w:rsidRDefault="0098266A">
      <w:pPr>
        <w:pStyle w:val="NormalHanging12a"/>
      </w:pPr>
      <w:r w:rsidRPr="00B90DFE">
        <w:t>5.</w:t>
      </w:r>
      <w:r w:rsidRPr="00B90DFE">
        <w:tab/>
      </w:r>
      <w:proofErr w:type="gramStart"/>
      <w:r w:rsidRPr="00B90DFE">
        <w:t>zobowiązuje</w:t>
      </w:r>
      <w:proofErr w:type="gramEnd"/>
      <w:r w:rsidRPr="00B90DFE">
        <w:t xml:space="preserve"> swoją przewodniczącą do przekazania stanowiska Parlamentu Radzie i Komisji</w:t>
      </w:r>
      <w:r w:rsidR="005C3646">
        <w:t xml:space="preserve"> oraz</w:t>
      </w:r>
      <w:r w:rsidRPr="00B90DFE">
        <w:t xml:space="preserve"> parlamentom narodowym.</w:t>
      </w:r>
    </w:p>
    <w:p w:rsidR="00E365E1" w:rsidRPr="00B90DFE" w:rsidRDefault="00E365E1" w:rsidP="000E2D5D"/>
    <w:sectPr w:rsidR="00E365E1" w:rsidRPr="00B90DFE" w:rsidSect="00B90DF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2D5D" w:rsidRPr="00B90DFE" w:rsidRDefault="000E2D5D">
      <w:r w:rsidRPr="00B90DFE">
        <w:separator/>
      </w:r>
    </w:p>
  </w:endnote>
  <w:endnote w:type="continuationSeparator" w:id="0">
    <w:p w:rsidR="000E2D5D" w:rsidRPr="00B90DFE" w:rsidRDefault="000E2D5D">
      <w:r w:rsidRPr="00B90DF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90DF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90DF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90DF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2D5D" w:rsidRPr="00B90DFE" w:rsidRDefault="000E2D5D">
      <w:r w:rsidRPr="00B90DFE">
        <w:separator/>
      </w:r>
    </w:p>
  </w:footnote>
  <w:footnote w:type="continuationSeparator" w:id="0">
    <w:p w:rsidR="000E2D5D" w:rsidRPr="00B90DFE" w:rsidRDefault="000E2D5D">
      <w:r w:rsidRPr="00B90DFE">
        <w:continuationSeparator/>
      </w:r>
    </w:p>
  </w:footnote>
  <w:footnote w:id="1">
    <w:p w:rsidR="00405408" w:rsidRPr="0013349C" w:rsidRDefault="00405408" w:rsidP="0013349C">
      <w:pPr>
        <w:pStyle w:val="FootnoteText"/>
        <w:ind w:left="567" w:hanging="567"/>
        <w:rPr>
          <w:sz w:val="24"/>
          <w:szCs w:val="24"/>
          <w:lang w:val="pl-PL"/>
        </w:rPr>
      </w:pPr>
      <w:r w:rsidRPr="0013349C">
        <w:rPr>
          <w:rStyle w:val="FootnoteReference"/>
          <w:sz w:val="24"/>
          <w:szCs w:val="24"/>
        </w:rPr>
        <w:footnoteRef/>
      </w:r>
      <w:r w:rsidRPr="0013349C">
        <w:rPr>
          <w:sz w:val="24"/>
          <w:szCs w:val="24"/>
          <w:lang w:val="pl-PL"/>
        </w:rPr>
        <w:t xml:space="preserve"> </w:t>
      </w:r>
      <w:r w:rsidRPr="0013349C">
        <w:rPr>
          <w:sz w:val="24"/>
          <w:szCs w:val="24"/>
          <w:lang w:val="pl-PL"/>
        </w:rPr>
        <w:tab/>
        <w:t>Dz.U. C 283 z 11.8.2023, s. 76.</w:t>
      </w:r>
    </w:p>
  </w:footnote>
  <w:footnote w:id="2">
    <w:p w:rsidR="0098266A" w:rsidRPr="00B90DFE" w:rsidRDefault="0098266A" w:rsidP="00B90DFE">
      <w:pPr>
        <w:pStyle w:val="FootnoteText"/>
        <w:ind w:left="567" w:hanging="567"/>
        <w:rPr>
          <w:sz w:val="24"/>
          <w:lang w:val="pl-PL"/>
        </w:rPr>
      </w:pPr>
      <w:r w:rsidRPr="00B90DFE">
        <w:rPr>
          <w:rStyle w:val="FootnoteReference"/>
          <w:sz w:val="24"/>
          <w:lang w:val="pl-PL"/>
        </w:rPr>
        <w:footnoteRef/>
      </w:r>
      <w:r w:rsidR="00B90DFE" w:rsidRPr="00B90DFE">
        <w:rPr>
          <w:sz w:val="24"/>
          <w:lang w:val="pl-PL"/>
        </w:rPr>
        <w:t xml:space="preserve"> </w:t>
      </w:r>
      <w:r w:rsidR="00B90DFE" w:rsidRPr="00B90DFE">
        <w:rPr>
          <w:sz w:val="24"/>
          <w:lang w:val="pl-PL"/>
        </w:rPr>
        <w:tab/>
      </w:r>
      <w:r w:rsidRPr="00B90DFE">
        <w:rPr>
          <w:sz w:val="24"/>
          <w:lang w:val="pl-PL"/>
        </w:rPr>
        <w:t xml:space="preserve">Dz.U. C 77 z 28.3.2002, </w:t>
      </w:r>
      <w:proofErr w:type="gramStart"/>
      <w:r w:rsidRPr="00B90DFE">
        <w:rPr>
          <w:sz w:val="24"/>
          <w:lang w:val="pl-PL"/>
        </w:rPr>
        <w:t>s</w:t>
      </w:r>
      <w:proofErr w:type="gramEnd"/>
      <w:r w:rsidRPr="00B90DFE">
        <w:rPr>
          <w:sz w:val="24"/>
          <w:lang w:val="pl-PL"/>
        </w:rPr>
        <w:t>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90DF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90DF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90DF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90/2025"/>
    <w:docVar w:name="dvlangue" w:val="PL"/>
    <w:docVar w:name="dvnumam" w:val="0"/>
    <w:docVar w:name="dvpe" w:val="767.903"/>
    <w:docVar w:name="dvrapporteur" w:val="Sprawozdawca: "/>
    <w:docVar w:name="dvstar" w:val="*"/>
    <w:docVar w:name="dvtitre" w:val="Rezolucja ustawodawcza Parlamentu Europejskiego z dnia  2025 r. w sprawie wniosku dotyczącego dyrektywy Rady ustanawiającej szczegółowe warunki wykonywania prawa głosowania i kandydowania w wyborach do Parlamentu Europejskiego przez obywateli Unii mających miejsce zamieszkania w państwie członkowskim, którego nie są obywatelami (wersja przekształcona)(09789/2024 – C10-0001/2024– 2021/0372(CNS))"/>
  </w:docVars>
  <w:rsids>
    <w:rsidRoot w:val="000E2D5D"/>
    <w:rsid w:val="00002272"/>
    <w:rsid w:val="00064002"/>
    <w:rsid w:val="000677B9"/>
    <w:rsid w:val="000831BA"/>
    <w:rsid w:val="000A42CC"/>
    <w:rsid w:val="000E2D5D"/>
    <w:rsid w:val="000E7DD9"/>
    <w:rsid w:val="0010095E"/>
    <w:rsid w:val="00125B37"/>
    <w:rsid w:val="0013349C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05408"/>
    <w:rsid w:val="00411CCE"/>
    <w:rsid w:val="0041666E"/>
    <w:rsid w:val="00421060"/>
    <w:rsid w:val="00471C19"/>
    <w:rsid w:val="004867E3"/>
    <w:rsid w:val="00486C28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3646"/>
    <w:rsid w:val="005F1502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10BA"/>
    <w:rsid w:val="008C2AC6"/>
    <w:rsid w:val="00930C23"/>
    <w:rsid w:val="0093193B"/>
    <w:rsid w:val="009509D8"/>
    <w:rsid w:val="00950B64"/>
    <w:rsid w:val="00981893"/>
    <w:rsid w:val="0098266A"/>
    <w:rsid w:val="009A752E"/>
    <w:rsid w:val="00A1687D"/>
    <w:rsid w:val="00A43E52"/>
    <w:rsid w:val="00A4678D"/>
    <w:rsid w:val="00A5302B"/>
    <w:rsid w:val="00A778C7"/>
    <w:rsid w:val="00AB441E"/>
    <w:rsid w:val="00AB6293"/>
    <w:rsid w:val="00AE0928"/>
    <w:rsid w:val="00AF3B82"/>
    <w:rsid w:val="00B12E95"/>
    <w:rsid w:val="00B22876"/>
    <w:rsid w:val="00B558F0"/>
    <w:rsid w:val="00B90DF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A5A367"/>
  <w15:chartTrackingRefBased/>
  <w15:docId w15:val="{807E3266-E865-4404-9AF3-17ECBDB31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98266A"/>
    <w:rPr>
      <w:b/>
    </w:rPr>
  </w:style>
  <w:style w:type="paragraph" w:customStyle="1" w:styleId="NormalHanging12a">
    <w:name w:val="NormalHanging12a"/>
    <w:basedOn w:val="Normal"/>
    <w:link w:val="NormalHanging12aChar"/>
    <w:rsid w:val="0098266A"/>
    <w:pPr>
      <w:spacing w:after="240"/>
      <w:ind w:left="567" w:hanging="567"/>
    </w:pPr>
  </w:style>
  <w:style w:type="paragraph" w:customStyle="1" w:styleId="EPComma">
    <w:name w:val="EPComma"/>
    <w:basedOn w:val="Normal"/>
    <w:rsid w:val="0098266A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98266A"/>
    <w:rPr>
      <w:sz w:val="24"/>
      <w:lang w:val="pl-PL"/>
    </w:rPr>
  </w:style>
  <w:style w:type="paragraph" w:styleId="BalloonText">
    <w:name w:val="Balloon Text"/>
    <w:basedOn w:val="Normal"/>
    <w:link w:val="BalloonTextChar"/>
    <w:rsid w:val="009A752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A752E"/>
    <w:rPr>
      <w:rFonts w:ascii="Segoe UI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20624D-A8DC-4A66-8DC5-C8DCA2B0C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2025-06-17T12:44:00Z</dcterms:created>
  <dcterms:modified xsi:type="dcterms:W3CDTF">2025-06-17T12:44:00Z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A10-0090/2025</vt:lpwstr>
  </property>
  <property fmtid="{D5CDD505-2E9C-101B-9397-08002B2CF9AE}" pid="4" name="&lt;Type&gt;">
    <vt:lpwstr>RR</vt:lpwstr>
  </property>
</Properties>
</file>