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7403" w14:paraId="191D63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77AE00" w14:textId="77777777" w:rsidR="00751A4A" w:rsidRPr="00AC7403" w:rsidRDefault="00EB5A8C" w:rsidP="0010095E">
            <w:pPr>
              <w:pStyle w:val="EPName"/>
            </w:pPr>
            <w:r w:rsidRPr="00AC7403">
              <w:t>Európsky parlament</w:t>
            </w:r>
          </w:p>
          <w:p w14:paraId="405AF6F7" w14:textId="77777777" w:rsidR="00751A4A" w:rsidRPr="00AC74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7403">
              <w:t>2024</w:t>
            </w:r>
            <w:r w:rsidR="00817416" w:rsidRPr="00AC7403">
              <w:t>-202</w:t>
            </w:r>
            <w:r w:rsidRPr="00AC7403">
              <w:t>9</w:t>
            </w:r>
          </w:p>
        </w:tc>
        <w:tc>
          <w:tcPr>
            <w:tcW w:w="2268" w:type="dxa"/>
            <w:shd w:val="clear" w:color="auto" w:fill="auto"/>
          </w:tcPr>
          <w:p w14:paraId="7CC127B6" w14:textId="77777777" w:rsidR="00751A4A" w:rsidRPr="00AC7403" w:rsidRDefault="00187494" w:rsidP="0010095E">
            <w:pPr>
              <w:pStyle w:val="EPLogo"/>
            </w:pPr>
            <w:r w:rsidRPr="00AC7403">
              <w:rPr>
                <w:noProof/>
              </w:rPr>
              <w:drawing>
                <wp:inline distT="0" distB="0" distL="0" distR="0" wp14:anchorId="56B480D5" wp14:editId="65BF45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917F8F" w14:textId="77777777" w:rsidR="00D058B8" w:rsidRPr="00AC7403" w:rsidRDefault="00D058B8" w:rsidP="004C5D52">
      <w:pPr>
        <w:pStyle w:val="LineTop"/>
      </w:pPr>
    </w:p>
    <w:p w14:paraId="43D74F97" w14:textId="77777777" w:rsidR="00680577" w:rsidRPr="00AC7403" w:rsidRDefault="00EB5A8C" w:rsidP="00680577">
      <w:pPr>
        <w:pStyle w:val="EPBodyTA1"/>
      </w:pPr>
      <w:r w:rsidRPr="00AC7403">
        <w:t>PRIJATÉ TEXTY</w:t>
      </w:r>
    </w:p>
    <w:p w14:paraId="36152800" w14:textId="77777777" w:rsidR="00D058B8" w:rsidRPr="00AC7403" w:rsidRDefault="00D058B8" w:rsidP="00D058B8">
      <w:pPr>
        <w:pStyle w:val="LineBottom"/>
      </w:pPr>
    </w:p>
    <w:p w14:paraId="64AC612A" w14:textId="39D8B25F" w:rsidR="00EB5A8C" w:rsidRPr="00AC7403" w:rsidRDefault="00EB5A8C" w:rsidP="00EB5A8C">
      <w:pPr>
        <w:pStyle w:val="ATHeading1"/>
      </w:pPr>
      <w:bookmarkStart w:id="0" w:name="TANumber"/>
      <w:r w:rsidRPr="00AC7403">
        <w:t>P10_TA(2025)0</w:t>
      </w:r>
      <w:r w:rsidR="00AC7403" w:rsidRPr="00AC7403">
        <w:t>120</w:t>
      </w:r>
      <w:bookmarkEnd w:id="0"/>
    </w:p>
    <w:p w14:paraId="441867F1" w14:textId="77777777" w:rsidR="00EB5A8C" w:rsidRPr="00AC7403" w:rsidRDefault="00EB5A8C" w:rsidP="00EB5A8C">
      <w:pPr>
        <w:pStyle w:val="ATHeading2"/>
      </w:pPr>
      <w:bookmarkStart w:id="1" w:name="title"/>
      <w:r w:rsidRPr="00AC7403">
        <w:t>Volebné práva migrujúcich občanov Únie vo voľbách do Európskeho parlamentu</w:t>
      </w:r>
      <w:bookmarkEnd w:id="1"/>
    </w:p>
    <w:p w14:paraId="775860AA" w14:textId="77777777" w:rsidR="00EB5A8C" w:rsidRPr="00AC7403" w:rsidRDefault="00EB5A8C" w:rsidP="00EB5A8C">
      <w:pPr>
        <w:rPr>
          <w:i/>
          <w:vanish/>
        </w:rPr>
      </w:pPr>
      <w:r w:rsidRPr="00AC7403">
        <w:rPr>
          <w:i/>
        </w:rPr>
        <w:fldChar w:fldCharType="begin"/>
      </w:r>
      <w:r w:rsidRPr="00AC7403">
        <w:rPr>
          <w:i/>
        </w:rPr>
        <w:instrText xml:space="preserve"> TC"(</w:instrText>
      </w:r>
      <w:bookmarkStart w:id="2" w:name="DocNumber"/>
      <w:r w:rsidRPr="00AC7403">
        <w:rPr>
          <w:i/>
        </w:rPr>
        <w:instrText>A10-0090/2025</w:instrText>
      </w:r>
      <w:bookmarkEnd w:id="2"/>
      <w:r w:rsidRPr="00AC7403">
        <w:rPr>
          <w:i/>
        </w:rPr>
        <w:instrText xml:space="preserve"> - Spravodajca: </w:instrText>
      </w:r>
      <w:proofErr w:type="spellStart"/>
      <w:r w:rsidRPr="00AC7403">
        <w:rPr>
          <w:i/>
        </w:rPr>
        <w:instrText>Sven</w:instrText>
      </w:r>
      <w:proofErr w:type="spellEnd"/>
      <w:r w:rsidRPr="00AC7403">
        <w:rPr>
          <w:i/>
        </w:rPr>
        <w:instrText xml:space="preserve"> </w:instrText>
      </w:r>
      <w:proofErr w:type="spellStart"/>
      <w:r w:rsidRPr="00AC7403">
        <w:rPr>
          <w:i/>
        </w:rPr>
        <w:instrText>Simon</w:instrText>
      </w:r>
      <w:proofErr w:type="spellEnd"/>
      <w:r w:rsidRPr="00AC7403">
        <w:rPr>
          <w:i/>
        </w:rPr>
        <w:instrText xml:space="preserve">)"\l3 \n&gt; \* MERGEFORMAT </w:instrText>
      </w:r>
      <w:r w:rsidRPr="00AC7403">
        <w:rPr>
          <w:i/>
        </w:rPr>
        <w:fldChar w:fldCharType="end"/>
      </w:r>
    </w:p>
    <w:p w14:paraId="14814AFA" w14:textId="77777777" w:rsidR="00EB5A8C" w:rsidRPr="00AC7403" w:rsidRDefault="00EB5A8C" w:rsidP="00EB5A8C">
      <w:pPr>
        <w:rPr>
          <w:vanish/>
        </w:rPr>
      </w:pPr>
      <w:bookmarkStart w:id="3" w:name="Commission"/>
      <w:r w:rsidRPr="00AC7403">
        <w:rPr>
          <w:vanish/>
        </w:rPr>
        <w:t>Výbor pre ústavné veci</w:t>
      </w:r>
      <w:bookmarkEnd w:id="3"/>
    </w:p>
    <w:p w14:paraId="3F261DFB" w14:textId="77777777" w:rsidR="00EB5A8C" w:rsidRPr="00AC7403" w:rsidRDefault="00EB5A8C" w:rsidP="00EB5A8C">
      <w:pPr>
        <w:rPr>
          <w:vanish/>
        </w:rPr>
      </w:pPr>
      <w:bookmarkStart w:id="4" w:name="PE"/>
      <w:r w:rsidRPr="00AC7403">
        <w:rPr>
          <w:vanish/>
        </w:rPr>
        <w:t>PE767.903</w:t>
      </w:r>
      <w:bookmarkEnd w:id="4"/>
    </w:p>
    <w:p w14:paraId="3458F2C3" w14:textId="4A5F1CF0" w:rsidR="00EB5A8C" w:rsidRPr="00AC7403" w:rsidRDefault="00EB5A8C" w:rsidP="00EB5A8C">
      <w:pPr>
        <w:pStyle w:val="ATHeading3"/>
      </w:pPr>
      <w:bookmarkStart w:id="5" w:name="Sujet"/>
      <w:r w:rsidRPr="00AC7403">
        <w:t>Legislatívne uznesenie Európskeho parlamentu z</w:t>
      </w:r>
      <w:r w:rsidR="00A46DFC" w:rsidRPr="00AC7403">
        <w:t>o</w:t>
      </w:r>
      <w:r w:rsidRPr="00AC7403">
        <w:t xml:space="preserve"> </w:t>
      </w:r>
      <w:r w:rsidR="00A46DFC" w:rsidRPr="00AC7403">
        <w:t>17</w:t>
      </w:r>
      <w:r w:rsidRPr="00AC7403">
        <w:t>. júna 2025 o návrhu smernice Rady, ktorou sa stanovujú podrobnosti uplatňovania práva voliť a byť volený vo voľbách do Európskeho parlamentu pre občanov Únie s bydliskom v členskom štáte, ktorého nie sú štátnymi príslušníkmi (prepracované znenie)</w:t>
      </w:r>
      <w:bookmarkEnd w:id="5"/>
      <w:r w:rsidRPr="00AC7403">
        <w:t xml:space="preserve"> </w:t>
      </w:r>
      <w:bookmarkStart w:id="6" w:name="References"/>
      <w:r w:rsidRPr="00AC7403">
        <w:t>(</w:t>
      </w:r>
      <w:r w:rsidR="00A46DFC" w:rsidRPr="00AC7403">
        <w:t>09789/2024</w:t>
      </w:r>
      <w:r w:rsidRPr="00AC7403">
        <w:t xml:space="preserve"> – C</w:t>
      </w:r>
      <w:r w:rsidR="00A46DFC" w:rsidRPr="00AC7403">
        <w:t>10</w:t>
      </w:r>
      <w:r w:rsidRPr="00AC7403">
        <w:t>-00</w:t>
      </w:r>
      <w:r w:rsidR="00A46DFC" w:rsidRPr="00AC7403">
        <w:t>01</w:t>
      </w:r>
      <w:r w:rsidRPr="00AC7403">
        <w:t>/202</w:t>
      </w:r>
      <w:r w:rsidR="00A46DFC" w:rsidRPr="00AC7403">
        <w:t>4</w:t>
      </w:r>
      <w:r w:rsidRPr="00AC7403">
        <w:t xml:space="preserve"> – 2021/0372(CNS))</w:t>
      </w:r>
      <w:bookmarkEnd w:id="6"/>
    </w:p>
    <w:p w14:paraId="5365EEBE" w14:textId="1E4CEEF1" w:rsidR="006C4578" w:rsidRPr="00AC7403" w:rsidRDefault="006C4578" w:rsidP="006C4578">
      <w:pPr>
        <w:pStyle w:val="NormalBold"/>
      </w:pPr>
      <w:r w:rsidRPr="00AC7403">
        <w:t xml:space="preserve">(Mimoriadny legislatívny postup – </w:t>
      </w:r>
      <w:r w:rsidR="00A46DFC" w:rsidRPr="00AC7403">
        <w:t xml:space="preserve">opätovná </w:t>
      </w:r>
      <w:r w:rsidRPr="00AC7403">
        <w:t>konzultácia – prepracovanie)</w:t>
      </w:r>
    </w:p>
    <w:p w14:paraId="0884C8F1" w14:textId="77777777" w:rsidR="006C4578" w:rsidRPr="00AC7403" w:rsidRDefault="006C4578" w:rsidP="006C4578">
      <w:pPr>
        <w:pStyle w:val="EPComma"/>
      </w:pPr>
      <w:r w:rsidRPr="00AC7403">
        <w:rPr>
          <w:i/>
        </w:rPr>
        <w:t>Európsky parlament</w:t>
      </w:r>
      <w:r w:rsidRPr="00AC7403">
        <w:t>,</w:t>
      </w:r>
    </w:p>
    <w:p w14:paraId="691D77D3" w14:textId="77777777" w:rsidR="006C4578" w:rsidRPr="00AC7403" w:rsidRDefault="006C4578" w:rsidP="006C4578">
      <w:pPr>
        <w:pStyle w:val="NormalHanging12a"/>
      </w:pPr>
      <w:r w:rsidRPr="00AC7403">
        <w:t>–</w:t>
      </w:r>
      <w:r w:rsidRPr="00AC7403">
        <w:tab/>
        <w:t>so zreteľom na návrh Rady (09789/2024),</w:t>
      </w:r>
    </w:p>
    <w:p w14:paraId="2A8AD549" w14:textId="77777777" w:rsidR="006C4578" w:rsidRPr="00AC7403" w:rsidRDefault="006C4578" w:rsidP="006C4578">
      <w:pPr>
        <w:pStyle w:val="NormalHanging12a"/>
      </w:pPr>
      <w:r w:rsidRPr="00AC7403">
        <w:t>–</w:t>
      </w:r>
      <w:r w:rsidRPr="00AC7403">
        <w:tab/>
        <w:t>so zreteľom na návrh Komisie pre Radu (COM(2021)0732),</w:t>
      </w:r>
    </w:p>
    <w:p w14:paraId="7E9CC50F" w14:textId="22B6826F" w:rsidR="00A46DFC" w:rsidRPr="00AC7403" w:rsidRDefault="00A46DFC" w:rsidP="006C4578">
      <w:pPr>
        <w:pStyle w:val="NormalHanging12a"/>
      </w:pPr>
      <w:r w:rsidRPr="00AC7403">
        <w:t>–</w:t>
      </w:r>
      <w:r w:rsidRPr="00AC7403">
        <w:tab/>
        <w:t>so zreteľom na svoju pozíciu zo 14. februára 2023</w:t>
      </w:r>
      <w:r w:rsidRPr="00AC7403">
        <w:rPr>
          <w:rStyle w:val="FootnoteReference"/>
        </w:rPr>
        <w:footnoteReference w:id="1"/>
      </w:r>
      <w:r w:rsidRPr="00AC7403">
        <w:t>,</w:t>
      </w:r>
    </w:p>
    <w:p w14:paraId="2B25201F" w14:textId="37768843" w:rsidR="006C4578" w:rsidRPr="00AC7403" w:rsidRDefault="006C4578" w:rsidP="006C4578">
      <w:pPr>
        <w:pStyle w:val="NormalHanging12a"/>
      </w:pPr>
      <w:r w:rsidRPr="00AC7403">
        <w:t>–</w:t>
      </w:r>
      <w:r w:rsidRPr="00AC7403">
        <w:tab/>
        <w:t xml:space="preserve">so zreteľom na článok 22 ods. 2 Zmluvy o fungovaní Európskej únie, v súlade s ktorým Rada </w:t>
      </w:r>
      <w:r w:rsidR="00A46DFC" w:rsidRPr="00AC7403">
        <w:t xml:space="preserve">opätovne </w:t>
      </w:r>
      <w:r w:rsidRPr="00AC7403">
        <w:t>konzultovala s Európskym parlamentom (C10-0001/2024),</w:t>
      </w:r>
    </w:p>
    <w:p w14:paraId="4A4E0D7E" w14:textId="77777777" w:rsidR="006C4578" w:rsidRPr="00AC7403" w:rsidRDefault="006C4578" w:rsidP="006C4578">
      <w:pPr>
        <w:pStyle w:val="NormalHanging12a"/>
      </w:pPr>
      <w:r w:rsidRPr="00AC7403">
        <w:t>–</w:t>
      </w:r>
      <w:r w:rsidRPr="00AC7403">
        <w:tab/>
        <w:t xml:space="preserve">so zreteľom na </w:t>
      </w:r>
      <w:proofErr w:type="spellStart"/>
      <w:r w:rsidRPr="00AC7403">
        <w:t>Medziinštitucionálnu</w:t>
      </w:r>
      <w:proofErr w:type="spellEnd"/>
      <w:r w:rsidRPr="00AC7403">
        <w:t xml:space="preserve"> dohodu z 28. novembra 2001 o systematickejšom používaní techniky prepracovania právnych aktov</w:t>
      </w:r>
      <w:r w:rsidRPr="00AC7403">
        <w:rPr>
          <w:rStyle w:val="FootnoteReference"/>
        </w:rPr>
        <w:footnoteReference w:id="2"/>
      </w:r>
      <w:r w:rsidRPr="00AC7403">
        <w:t>,</w:t>
      </w:r>
    </w:p>
    <w:p w14:paraId="2F687883" w14:textId="77777777" w:rsidR="006C4578" w:rsidRPr="00AC7403" w:rsidRDefault="006C4578" w:rsidP="006C4578">
      <w:pPr>
        <w:pStyle w:val="NormalHanging12a"/>
      </w:pPr>
      <w:r w:rsidRPr="00AC7403">
        <w:t>–</w:t>
      </w:r>
      <w:r w:rsidRPr="00AC7403">
        <w:tab/>
        <w:t>so zreteľom na list Výboru pre právne veci z 8. novembra 2022 adresovaný Výboru pre ústavné veci v súlade s článkom 113 ods. 3 rokovacieho poriadku,</w:t>
      </w:r>
    </w:p>
    <w:p w14:paraId="55E3F5FB" w14:textId="3A603E43" w:rsidR="006C4578" w:rsidRPr="00AC7403" w:rsidRDefault="006C4578" w:rsidP="006C4578">
      <w:pPr>
        <w:pStyle w:val="NormalHanging12a"/>
      </w:pPr>
      <w:r w:rsidRPr="00AC7403">
        <w:t>–</w:t>
      </w:r>
      <w:r w:rsidRPr="00AC7403">
        <w:tab/>
        <w:t>so zreteľom na články 113</w:t>
      </w:r>
      <w:r w:rsidR="00A46DFC" w:rsidRPr="00AC7403">
        <w:t>, 84</w:t>
      </w:r>
      <w:r w:rsidRPr="00AC7403">
        <w:t xml:space="preserve"> a 8</w:t>
      </w:r>
      <w:r w:rsidR="00A46DFC" w:rsidRPr="00AC7403">
        <w:t>6</w:t>
      </w:r>
      <w:r w:rsidRPr="00AC7403">
        <w:t xml:space="preserve"> rokovacieho poriadku,</w:t>
      </w:r>
    </w:p>
    <w:p w14:paraId="25608776" w14:textId="77777777" w:rsidR="006C4578" w:rsidRPr="00AC7403" w:rsidRDefault="006C4578" w:rsidP="006C4578">
      <w:pPr>
        <w:pStyle w:val="NormalHanging12a"/>
      </w:pPr>
      <w:r w:rsidRPr="00AC7403">
        <w:t>–</w:t>
      </w:r>
      <w:r w:rsidRPr="00AC7403">
        <w:tab/>
        <w:t>so zreteľom na list Výboru pre občianske slobody, spravodlivosť a vnútorné veci,</w:t>
      </w:r>
    </w:p>
    <w:p w14:paraId="03397537" w14:textId="77777777" w:rsidR="006C4578" w:rsidRPr="00AC7403" w:rsidRDefault="006C4578" w:rsidP="006C4578">
      <w:pPr>
        <w:pStyle w:val="NormalHanging12a"/>
      </w:pPr>
      <w:r w:rsidRPr="00AC7403">
        <w:t>–</w:t>
      </w:r>
      <w:r w:rsidRPr="00AC7403">
        <w:tab/>
        <w:t>so zreteľom na správu Výboru pre ústavné veci (A10-0090/2025),</w:t>
      </w:r>
    </w:p>
    <w:p w14:paraId="4E526D10" w14:textId="77777777" w:rsidR="006C4578" w:rsidRPr="00AC7403" w:rsidRDefault="006C4578" w:rsidP="006C4578">
      <w:pPr>
        <w:pStyle w:val="NormalHanging12a"/>
      </w:pPr>
      <w:r w:rsidRPr="00AC7403">
        <w:lastRenderedPageBreak/>
        <w:t>A.</w:t>
      </w:r>
      <w:r w:rsidRPr="00AC7403">
        <w:tab/>
        <w:t>keďže podľa stanoviska konzultačnej pracovnej skupiny právnych služieb Európskeho parlamentu, Rady a Komisie návrh Komisie neobsahuje žiadne zásadné zmeny okrem tých, ktoré sú ako také označené v návrhu, a keďže, pokiaľ ide o kodifikáciu nezmenených ustanovení skorších aktov spolu s uvedenými zmenami, predmetom návrhu je iba jasná a jednoduchá kodifikácia platných aktov bez zmeny ich podstaty;</w:t>
      </w:r>
    </w:p>
    <w:p w14:paraId="4B2ECD7D" w14:textId="77777777" w:rsidR="006C4578" w:rsidRPr="00AC7403" w:rsidRDefault="006C4578" w:rsidP="006C4578">
      <w:pPr>
        <w:pStyle w:val="NormalHanging12a"/>
      </w:pPr>
      <w:r w:rsidRPr="00AC7403">
        <w:t>1.</w:t>
      </w:r>
      <w:r w:rsidRPr="00AC7403">
        <w:tab/>
        <w:t>schvaľuje návrh Rady upravený v súlade s odporúčaniami konzultačnej pracovnej skupiny právnych služieb Európskeho parlamentu, Rady a Komisie;</w:t>
      </w:r>
    </w:p>
    <w:p w14:paraId="5D8E1A9C" w14:textId="77777777" w:rsidR="006C4578" w:rsidRPr="00AC7403" w:rsidRDefault="006C4578" w:rsidP="006C4578">
      <w:pPr>
        <w:pStyle w:val="NormalHanging12a"/>
      </w:pPr>
      <w:r w:rsidRPr="00AC7403">
        <w:t>2.</w:t>
      </w:r>
      <w:r w:rsidRPr="00AC7403">
        <w:tab/>
        <w:t>vyjadruje hlboké poľutovanie nad tým, že hoci Rada formálne dodržala článok 22 ods. 2 ZFEÚ, žiadnym zmysluplným spôsobom sa nezaoberala podstatou stanoviska Parlamentu; poukazuje na to, že táto prax svedčí o širšom trende posledných rokov, keď Rada a Európska rada odmietajú konštruktívne a v dobrej viere spolupracovať na viacerých otvorených mimoriadnych legislatívnych postupoch; pripomína odporúčania uvedené vo svojej správe z 13. decembra 2023 a opakuje svoju výzvu Rade a Európskej rade, aby konštruktívne spolupracovali pri hľadaní politických riešení, ktoré budú v záujme európskych občanov;</w:t>
      </w:r>
    </w:p>
    <w:p w14:paraId="2F9FC996" w14:textId="77777777" w:rsidR="006C4578" w:rsidRPr="00AC7403" w:rsidRDefault="006C4578" w:rsidP="006C4578">
      <w:pPr>
        <w:pStyle w:val="NormalHanging12a"/>
      </w:pPr>
      <w:r w:rsidRPr="00AC7403">
        <w:t>3.</w:t>
      </w:r>
      <w:r w:rsidRPr="00AC7403">
        <w:tab/>
        <w:t>vyzýva Radu, aby oznámila Európskemu parlamentu, ak má v úmysle odchýliť sa od ním schváleného textu;</w:t>
      </w:r>
    </w:p>
    <w:p w14:paraId="20053D16" w14:textId="19415726" w:rsidR="006C4578" w:rsidRPr="00AC7403" w:rsidRDefault="006C4578" w:rsidP="006C4578">
      <w:pPr>
        <w:pStyle w:val="NormalHanging12a"/>
      </w:pPr>
      <w:r w:rsidRPr="00AC7403">
        <w:t>4.</w:t>
      </w:r>
      <w:r w:rsidRPr="00AC7403">
        <w:tab/>
        <w:t xml:space="preserve">žiada Radu o opätovnú konzultáciu, ak má v úmysle podstatne zmeniť </w:t>
      </w:r>
      <w:r w:rsidR="00A46DFC" w:rsidRPr="00AC7403">
        <w:t>svoj návrh</w:t>
      </w:r>
      <w:r w:rsidRPr="00AC7403">
        <w:t>;</w:t>
      </w:r>
    </w:p>
    <w:p w14:paraId="04053450" w14:textId="77777777" w:rsidR="00E365E1" w:rsidRPr="00AC7403" w:rsidRDefault="006C4578" w:rsidP="00C07D81">
      <w:pPr>
        <w:pStyle w:val="NormalHanging12a"/>
      </w:pPr>
      <w:r w:rsidRPr="00AC7403">
        <w:t>5.</w:t>
      </w:r>
      <w:r w:rsidRPr="00AC7403">
        <w:tab/>
        <w:t>poveruje svoju predsedníčku, aby postúpila túto pozíciu Rade, Komisii a národným parlamentom.</w:t>
      </w:r>
    </w:p>
    <w:sectPr w:rsidR="00E365E1" w:rsidRPr="00AC7403" w:rsidSect="000855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B61E8" w14:textId="77777777" w:rsidR="00EB5A8C" w:rsidRPr="00085594" w:rsidRDefault="00EB5A8C">
      <w:r w:rsidRPr="00085594">
        <w:separator/>
      </w:r>
    </w:p>
  </w:endnote>
  <w:endnote w:type="continuationSeparator" w:id="0">
    <w:p w14:paraId="3F8738A1" w14:textId="77777777" w:rsidR="00EB5A8C" w:rsidRPr="00085594" w:rsidRDefault="00EB5A8C">
      <w:r w:rsidRPr="000855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37ED" w14:textId="77777777" w:rsidR="00064002" w:rsidRPr="000855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911C9" w14:textId="77777777" w:rsidR="00064002" w:rsidRPr="000855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7AD23" w14:textId="77777777" w:rsidR="00064002" w:rsidRPr="000855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7D765" w14:textId="77777777" w:rsidR="00EB5A8C" w:rsidRPr="00085594" w:rsidRDefault="00EB5A8C">
      <w:r w:rsidRPr="00085594">
        <w:separator/>
      </w:r>
    </w:p>
  </w:footnote>
  <w:footnote w:type="continuationSeparator" w:id="0">
    <w:p w14:paraId="7BCCAAFD" w14:textId="77777777" w:rsidR="00EB5A8C" w:rsidRPr="00085594" w:rsidRDefault="00EB5A8C">
      <w:r w:rsidRPr="00085594">
        <w:continuationSeparator/>
      </w:r>
    </w:p>
  </w:footnote>
  <w:footnote w:id="1">
    <w:p w14:paraId="4EB6AF45" w14:textId="7BAD9889" w:rsidR="00A46DFC" w:rsidRPr="00AC7403" w:rsidRDefault="00A46DFC" w:rsidP="00A46DFC">
      <w:pPr>
        <w:pStyle w:val="FootnoteText"/>
        <w:ind w:left="567" w:hanging="567"/>
        <w:rPr>
          <w:sz w:val="24"/>
          <w:lang w:val="es-ES"/>
        </w:rPr>
      </w:pPr>
      <w:r w:rsidRPr="00302E76">
        <w:rPr>
          <w:rStyle w:val="FootnoteReference"/>
          <w:sz w:val="24"/>
        </w:rPr>
        <w:footnoteRef/>
      </w:r>
      <w:r w:rsidRPr="00AC7403">
        <w:rPr>
          <w:sz w:val="24"/>
          <w:lang w:val="es-ES"/>
        </w:rPr>
        <w:tab/>
      </w:r>
      <w:r w:rsidRPr="00085594">
        <w:rPr>
          <w:sz w:val="24"/>
          <w:lang w:val="sk-SK"/>
        </w:rPr>
        <w:t xml:space="preserve">Ú. v. </w:t>
      </w:r>
      <w:r>
        <w:rPr>
          <w:sz w:val="24"/>
          <w:lang w:val="sk-SK"/>
        </w:rPr>
        <w:t xml:space="preserve">EÚ </w:t>
      </w:r>
      <w:r w:rsidRPr="00AC7403">
        <w:rPr>
          <w:sz w:val="24"/>
          <w:lang w:val="es-ES"/>
        </w:rPr>
        <w:t xml:space="preserve">C 283, 11.8.2023, </w:t>
      </w:r>
      <w:r>
        <w:rPr>
          <w:sz w:val="24"/>
          <w:lang w:val="es-ES"/>
        </w:rPr>
        <w:t>s</w:t>
      </w:r>
      <w:r w:rsidRPr="00AC7403">
        <w:rPr>
          <w:sz w:val="24"/>
          <w:lang w:val="es-ES"/>
        </w:rPr>
        <w:t>. 76.</w:t>
      </w:r>
    </w:p>
  </w:footnote>
  <w:footnote w:id="2">
    <w:p w14:paraId="3C8DF1C6" w14:textId="77777777" w:rsidR="006C4578" w:rsidRPr="00085594" w:rsidRDefault="006C4578" w:rsidP="00085594">
      <w:pPr>
        <w:pStyle w:val="FootnoteText"/>
        <w:ind w:left="567" w:hanging="567"/>
        <w:rPr>
          <w:sz w:val="24"/>
          <w:lang w:val="sk-SK"/>
        </w:rPr>
      </w:pPr>
      <w:r w:rsidRPr="00085594">
        <w:rPr>
          <w:rStyle w:val="FootnoteReference"/>
          <w:sz w:val="24"/>
          <w:lang w:val="sk-SK"/>
        </w:rPr>
        <w:footnoteRef/>
      </w:r>
      <w:r w:rsidR="00085594" w:rsidRPr="00085594">
        <w:rPr>
          <w:sz w:val="24"/>
          <w:lang w:val="sk-SK"/>
        </w:rPr>
        <w:t xml:space="preserve"> </w:t>
      </w:r>
      <w:r w:rsidR="00085594" w:rsidRPr="00085594">
        <w:rPr>
          <w:sz w:val="24"/>
          <w:lang w:val="sk-SK"/>
        </w:rPr>
        <w:tab/>
      </w:r>
      <w:r w:rsidRPr="00085594">
        <w:rPr>
          <w:sz w:val="24"/>
          <w:lang w:val="sk-SK"/>
        </w:rPr>
        <w:t>Ú. v. ES C 77, 28.3.2002, s.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6EBB8" w14:textId="77777777" w:rsidR="00064002" w:rsidRPr="000855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2174" w14:textId="77777777" w:rsidR="00064002" w:rsidRPr="000855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8219" w14:textId="77777777" w:rsidR="00064002" w:rsidRPr="000855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2701877">
    <w:abstractNumId w:val="9"/>
  </w:num>
  <w:num w:numId="2" w16cid:durableId="955525905">
    <w:abstractNumId w:val="9"/>
  </w:num>
  <w:num w:numId="3" w16cid:durableId="1415396784">
    <w:abstractNumId w:val="7"/>
  </w:num>
  <w:num w:numId="4" w16cid:durableId="969359707">
    <w:abstractNumId w:val="7"/>
  </w:num>
  <w:num w:numId="5" w16cid:durableId="1973558106">
    <w:abstractNumId w:val="6"/>
  </w:num>
  <w:num w:numId="6" w16cid:durableId="1703241978">
    <w:abstractNumId w:val="6"/>
  </w:num>
  <w:num w:numId="7" w16cid:durableId="894972861">
    <w:abstractNumId w:val="5"/>
  </w:num>
  <w:num w:numId="8" w16cid:durableId="1624072073">
    <w:abstractNumId w:val="5"/>
  </w:num>
  <w:num w:numId="9" w16cid:durableId="1443259166">
    <w:abstractNumId w:val="4"/>
  </w:num>
  <w:num w:numId="10" w16cid:durableId="1292397396">
    <w:abstractNumId w:val="4"/>
  </w:num>
  <w:num w:numId="11" w16cid:durableId="722875652">
    <w:abstractNumId w:val="8"/>
  </w:num>
  <w:num w:numId="12" w16cid:durableId="214701876">
    <w:abstractNumId w:val="8"/>
  </w:num>
  <w:num w:numId="13" w16cid:durableId="1825127455">
    <w:abstractNumId w:val="3"/>
  </w:num>
  <w:num w:numId="14" w16cid:durableId="1175073408">
    <w:abstractNumId w:val="3"/>
  </w:num>
  <w:num w:numId="15" w16cid:durableId="1263227255">
    <w:abstractNumId w:val="2"/>
  </w:num>
  <w:num w:numId="16" w16cid:durableId="38600735">
    <w:abstractNumId w:val="2"/>
  </w:num>
  <w:num w:numId="17" w16cid:durableId="248853840">
    <w:abstractNumId w:val="1"/>
  </w:num>
  <w:num w:numId="18" w16cid:durableId="1625312770">
    <w:abstractNumId w:val="1"/>
  </w:num>
  <w:num w:numId="19" w16cid:durableId="2019110570">
    <w:abstractNumId w:val="0"/>
  </w:num>
  <w:num w:numId="20" w16cid:durableId="786317223">
    <w:abstractNumId w:val="0"/>
  </w:num>
  <w:num w:numId="21" w16cid:durableId="1711228291">
    <w:abstractNumId w:val="9"/>
  </w:num>
  <w:num w:numId="22" w16cid:durableId="905533457">
    <w:abstractNumId w:val="7"/>
  </w:num>
  <w:num w:numId="23" w16cid:durableId="538854415">
    <w:abstractNumId w:val="6"/>
  </w:num>
  <w:num w:numId="24" w16cid:durableId="1371759158">
    <w:abstractNumId w:val="5"/>
  </w:num>
  <w:num w:numId="25" w16cid:durableId="143160959">
    <w:abstractNumId w:val="4"/>
  </w:num>
  <w:num w:numId="26" w16cid:durableId="386800320">
    <w:abstractNumId w:val="8"/>
  </w:num>
  <w:num w:numId="27" w16cid:durableId="1602254047">
    <w:abstractNumId w:val="3"/>
  </w:num>
  <w:num w:numId="28" w16cid:durableId="787744114">
    <w:abstractNumId w:val="2"/>
  </w:num>
  <w:num w:numId="29" w16cid:durableId="1764184876">
    <w:abstractNumId w:val="1"/>
  </w:num>
  <w:num w:numId="30" w16cid:durableId="2022733578">
    <w:abstractNumId w:val="0"/>
  </w:num>
  <w:num w:numId="31" w16cid:durableId="1711614481">
    <w:abstractNumId w:val="9"/>
  </w:num>
  <w:num w:numId="32" w16cid:durableId="925842762">
    <w:abstractNumId w:val="7"/>
  </w:num>
  <w:num w:numId="33" w16cid:durableId="462892358">
    <w:abstractNumId w:val="6"/>
  </w:num>
  <w:num w:numId="34" w16cid:durableId="1006634523">
    <w:abstractNumId w:val="5"/>
  </w:num>
  <w:num w:numId="35" w16cid:durableId="1455708935">
    <w:abstractNumId w:val="4"/>
  </w:num>
  <w:num w:numId="36" w16cid:durableId="1330326511">
    <w:abstractNumId w:val="8"/>
  </w:num>
  <w:num w:numId="37" w16cid:durableId="1040205878">
    <w:abstractNumId w:val="3"/>
  </w:num>
  <w:num w:numId="38" w16cid:durableId="506020260">
    <w:abstractNumId w:val="2"/>
  </w:num>
  <w:num w:numId="39" w16cid:durableId="1074620246">
    <w:abstractNumId w:val="1"/>
  </w:num>
  <w:num w:numId="40" w16cid:durableId="1780182139">
    <w:abstractNumId w:val="0"/>
  </w:num>
  <w:num w:numId="41" w16cid:durableId="841547784">
    <w:abstractNumId w:val="10"/>
  </w:num>
  <w:num w:numId="42" w16cid:durableId="1129861203">
    <w:abstractNumId w:val="10"/>
  </w:num>
  <w:num w:numId="43" w16cid:durableId="1536768368">
    <w:abstractNumId w:val="10"/>
  </w:num>
  <w:num w:numId="44" w16cid:durableId="343676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0/2025"/>
    <w:docVar w:name="dvlangue" w:val="SK"/>
    <w:docVar w:name="dvnumam" w:val="0"/>
    <w:docVar w:name="dvpe" w:val="767.903"/>
    <w:docVar w:name="dvrapporteur" w:val="Spravodajca: "/>
    <w:docVar w:name="dvstar" w:val="*"/>
    <w:docVar w:name="dvtitre" w:val="Legislatívne uznesenie Európskeho parlamentu z xx. júna 2025 o návrhu smernice Rady, ktorou sa stanovujú podrobnosti uplatňovania práva voliť a byť volený vo voľbách do Európskeho parlamentu pre občanov Únie s bydliskom v členskom štáte, ktorého nie sú štátnymi príslušníkmi (prepracované znenie)(COM(2021)0732 – C9-0021/2022 – 2021/0372(CNS))"/>
  </w:docVars>
  <w:rsids>
    <w:rsidRoot w:val="00EB5A8C"/>
    <w:rsid w:val="00002272"/>
    <w:rsid w:val="00064002"/>
    <w:rsid w:val="000677B9"/>
    <w:rsid w:val="000831BA"/>
    <w:rsid w:val="00085594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18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4578"/>
    <w:rsid w:val="006F74FA"/>
    <w:rsid w:val="00731ADD"/>
    <w:rsid w:val="00734777"/>
    <w:rsid w:val="00747932"/>
    <w:rsid w:val="00747A25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675"/>
    <w:rsid w:val="00A1687D"/>
    <w:rsid w:val="00A43E52"/>
    <w:rsid w:val="00A4678D"/>
    <w:rsid w:val="00A46DFC"/>
    <w:rsid w:val="00A778C7"/>
    <w:rsid w:val="00AB441E"/>
    <w:rsid w:val="00AB6293"/>
    <w:rsid w:val="00AC740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D8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A8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C7BB7"/>
  <w15:chartTrackingRefBased/>
  <w15:docId w15:val="{AD9F201F-D81C-4D65-9203-0617FC24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C4578"/>
    <w:rPr>
      <w:b/>
    </w:rPr>
  </w:style>
  <w:style w:type="paragraph" w:customStyle="1" w:styleId="NormalHanging12a">
    <w:name w:val="NormalHanging12a"/>
    <w:basedOn w:val="Normal"/>
    <w:link w:val="NormalHanging12aChar"/>
    <w:rsid w:val="006C4578"/>
    <w:pPr>
      <w:spacing w:after="240"/>
      <w:ind w:left="567" w:hanging="567"/>
    </w:pPr>
  </w:style>
  <w:style w:type="paragraph" w:customStyle="1" w:styleId="EPComma">
    <w:name w:val="EPComma"/>
    <w:basedOn w:val="Normal"/>
    <w:rsid w:val="006C457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6C4578"/>
    <w:rPr>
      <w:sz w:val="24"/>
      <w:lang w:val="sk-SK"/>
    </w:rPr>
  </w:style>
  <w:style w:type="paragraph" w:styleId="Revision">
    <w:name w:val="Revision"/>
    <w:hidden/>
    <w:uiPriority w:val="99"/>
    <w:semiHidden/>
    <w:rsid w:val="00A46DF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E0277-151F-44D7-96D9-6DBB8C5BC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2519</Characters>
  <Application>Microsoft Office Word</Application>
  <DocSecurity>0</DocSecurity>
  <Lines>109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2025-06-17T10:35:00Z</dcterms:created>
  <dcterms:modified xsi:type="dcterms:W3CDTF">2025-06-17T10:35:00Z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