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4A4E" w14:paraId="03BF3013" w14:textId="77777777" w:rsidTr="0010095E">
        <w:trPr>
          <w:trHeight w:hRule="exact" w:val="1418"/>
        </w:trPr>
        <w:tc>
          <w:tcPr>
            <w:tcW w:w="6804" w:type="dxa"/>
            <w:shd w:val="clear" w:color="auto" w:fill="auto"/>
            <w:vAlign w:val="center"/>
          </w:tcPr>
          <w:p w14:paraId="73601938" w14:textId="77777777" w:rsidR="00751A4A" w:rsidRPr="00E64A4E" w:rsidRDefault="00DE48C5" w:rsidP="0010095E">
            <w:pPr>
              <w:pStyle w:val="EPName"/>
            </w:pPr>
            <w:r w:rsidRPr="00E64A4E">
              <w:t>Europa-Parlamentet</w:t>
            </w:r>
          </w:p>
          <w:p w14:paraId="48B45C66" w14:textId="77777777" w:rsidR="00751A4A" w:rsidRPr="00E64A4E" w:rsidRDefault="005F1B17" w:rsidP="005F1B17">
            <w:pPr>
              <w:pStyle w:val="EPTerm"/>
              <w:rPr>
                <w:rStyle w:val="HideTWBExt"/>
                <w:noProof w:val="0"/>
                <w:vanish w:val="0"/>
                <w:color w:val="auto"/>
              </w:rPr>
            </w:pPr>
            <w:r w:rsidRPr="00E64A4E">
              <w:t>2024</w:t>
            </w:r>
            <w:r w:rsidR="00817416" w:rsidRPr="00E64A4E">
              <w:t>-202</w:t>
            </w:r>
            <w:r w:rsidRPr="00E64A4E">
              <w:t>9</w:t>
            </w:r>
          </w:p>
        </w:tc>
        <w:tc>
          <w:tcPr>
            <w:tcW w:w="2268" w:type="dxa"/>
            <w:shd w:val="clear" w:color="auto" w:fill="auto"/>
          </w:tcPr>
          <w:p w14:paraId="4A4993FD" w14:textId="77777777" w:rsidR="00751A4A" w:rsidRPr="00E64A4E" w:rsidRDefault="00187494" w:rsidP="0010095E">
            <w:pPr>
              <w:pStyle w:val="EPLogo"/>
            </w:pPr>
            <w:r w:rsidRPr="00E64A4E">
              <w:rPr>
                <w:noProof/>
                <w:lang w:val="en-GB"/>
              </w:rPr>
              <w:drawing>
                <wp:inline distT="0" distB="0" distL="0" distR="0" wp14:anchorId="5C366EB8" wp14:editId="2F4266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A3F03D" w14:textId="77777777" w:rsidR="00D058B8" w:rsidRPr="00E64A4E" w:rsidRDefault="00D058B8" w:rsidP="004C5D52">
      <w:pPr>
        <w:pStyle w:val="LineTop"/>
      </w:pPr>
    </w:p>
    <w:p w14:paraId="24443BDD" w14:textId="77777777" w:rsidR="00680577" w:rsidRPr="00E64A4E" w:rsidRDefault="00DE48C5" w:rsidP="00680577">
      <w:pPr>
        <w:pStyle w:val="EPBodyTA1"/>
      </w:pPr>
      <w:r w:rsidRPr="00E64A4E">
        <w:t>VEDTAGNE TEKSTER</w:t>
      </w:r>
    </w:p>
    <w:p w14:paraId="68B94FBF" w14:textId="77777777" w:rsidR="00D058B8" w:rsidRPr="00E64A4E" w:rsidRDefault="00D058B8" w:rsidP="00D058B8">
      <w:pPr>
        <w:pStyle w:val="LineBottom"/>
      </w:pPr>
    </w:p>
    <w:p w14:paraId="283530A6" w14:textId="77777777" w:rsidR="00DE48C5" w:rsidRPr="00D1505E" w:rsidRDefault="00DE48C5" w:rsidP="00DE48C5">
      <w:pPr>
        <w:pStyle w:val="ATHeading1"/>
      </w:pPr>
      <w:bookmarkStart w:id="0" w:name="TANumber"/>
      <w:r w:rsidRPr="00D1505E">
        <w:t>P10_TA(2025)0</w:t>
      </w:r>
      <w:r w:rsidR="000442A0">
        <w:t>122</w:t>
      </w:r>
      <w:bookmarkEnd w:id="0"/>
    </w:p>
    <w:p w14:paraId="1B98171D" w14:textId="77777777" w:rsidR="00DE48C5" w:rsidRPr="00D1505E" w:rsidRDefault="00DE48C5" w:rsidP="00DE48C5">
      <w:pPr>
        <w:pStyle w:val="ATHeading2"/>
      </w:pPr>
      <w:bookmarkStart w:id="1" w:name="title"/>
      <w:r w:rsidRPr="00D1505E">
        <w:t>Styrkelse af landdistrikter i EU gennem samhørighedspolitikken</w:t>
      </w:r>
      <w:bookmarkEnd w:id="1"/>
    </w:p>
    <w:p w14:paraId="34BB7FF7" w14:textId="77777777" w:rsidR="00DE48C5" w:rsidRPr="00E64A4E" w:rsidRDefault="00DE48C5" w:rsidP="00DE48C5">
      <w:pPr>
        <w:rPr>
          <w:i/>
          <w:vanish/>
        </w:rPr>
      </w:pPr>
      <w:r w:rsidRPr="00E64A4E">
        <w:rPr>
          <w:i/>
        </w:rPr>
        <w:fldChar w:fldCharType="begin"/>
      </w:r>
      <w:r w:rsidRPr="00E64A4E">
        <w:rPr>
          <w:i/>
        </w:rPr>
        <w:instrText xml:space="preserve"> TC"(</w:instrText>
      </w:r>
      <w:bookmarkStart w:id="2" w:name="DocNumber"/>
      <w:r w:rsidRPr="00E64A4E">
        <w:rPr>
          <w:i/>
        </w:rPr>
        <w:instrText>A</w:instrText>
      </w:r>
      <w:r w:rsidRPr="00A163DA">
        <w:rPr>
          <w:i/>
        </w:rPr>
        <w:instrText>10</w:instrText>
      </w:r>
      <w:r w:rsidRPr="00D1505E">
        <w:rPr>
          <w:i/>
        </w:rPr>
        <w:instrText>-0092/2025</w:instrText>
      </w:r>
      <w:bookmarkEnd w:id="2"/>
      <w:r w:rsidRPr="00D1505E">
        <w:rPr>
          <w:i/>
        </w:rPr>
        <w:instrText xml:space="preserve"> - Ordfører: Denis </w:instrText>
      </w:r>
      <w:proofErr w:type="spellStart"/>
      <w:r w:rsidRPr="00D1505E">
        <w:rPr>
          <w:i/>
        </w:rPr>
        <w:instrText>Nesci</w:instrText>
      </w:r>
      <w:proofErr w:type="spellEnd"/>
      <w:r w:rsidRPr="00D1505E">
        <w:rPr>
          <w:i/>
        </w:rPr>
        <w:instrText xml:space="preserve">)"\l3 \n&gt; \* MERGEFORMAT </w:instrText>
      </w:r>
      <w:r w:rsidRPr="00E64A4E">
        <w:rPr>
          <w:i/>
        </w:rPr>
        <w:fldChar w:fldCharType="end"/>
      </w:r>
    </w:p>
    <w:p w14:paraId="1828E4B3" w14:textId="77777777" w:rsidR="00DE48C5" w:rsidRPr="00D1505E" w:rsidRDefault="00DE48C5" w:rsidP="00DE48C5">
      <w:pPr>
        <w:rPr>
          <w:vanish/>
        </w:rPr>
      </w:pPr>
      <w:bookmarkStart w:id="3" w:name="Commission"/>
      <w:r w:rsidRPr="00A163DA">
        <w:rPr>
          <w:vanish/>
        </w:rPr>
        <w:t>Regionaludviklingsudvalget</w:t>
      </w:r>
      <w:bookmarkEnd w:id="3"/>
    </w:p>
    <w:p w14:paraId="73DA62D1" w14:textId="77777777" w:rsidR="00DE48C5" w:rsidRPr="00D1505E" w:rsidRDefault="00DE48C5" w:rsidP="00DE48C5">
      <w:pPr>
        <w:rPr>
          <w:vanish/>
        </w:rPr>
      </w:pPr>
      <w:bookmarkStart w:id="4" w:name="PE"/>
      <w:r w:rsidRPr="00D1505E">
        <w:rPr>
          <w:vanish/>
        </w:rPr>
        <w:t>PE766.660</w:t>
      </w:r>
      <w:bookmarkEnd w:id="4"/>
    </w:p>
    <w:p w14:paraId="1C0DEA2F" w14:textId="77777777" w:rsidR="00DE48C5" w:rsidRPr="00D1505E" w:rsidRDefault="00DE48C5" w:rsidP="00DE48C5">
      <w:pPr>
        <w:pStyle w:val="ATHeading3"/>
      </w:pPr>
      <w:bookmarkStart w:id="5" w:name="Sujet"/>
      <w:r w:rsidRPr="00D1505E">
        <w:t xml:space="preserve">Europa-Parlamentets beslutning af </w:t>
      </w:r>
      <w:r w:rsidR="00D875A4" w:rsidRPr="00D1505E">
        <w:t>17</w:t>
      </w:r>
      <w:r w:rsidRPr="00D1505E">
        <w:t>. juni 2025 om styrkelse af landdistrikter i EU gennem samhørighedspolitikken</w:t>
      </w:r>
      <w:bookmarkEnd w:id="5"/>
      <w:r w:rsidRPr="00D1505E">
        <w:t xml:space="preserve"> </w:t>
      </w:r>
      <w:bookmarkStart w:id="6" w:name="References"/>
      <w:r w:rsidRPr="00D1505E">
        <w:t>(2024/2105(INI))</w:t>
      </w:r>
      <w:bookmarkEnd w:id="6"/>
    </w:p>
    <w:p w14:paraId="5CDDC319" w14:textId="77777777" w:rsidR="00E14121" w:rsidRPr="00D1505E" w:rsidRDefault="00E14121" w:rsidP="00E14121">
      <w:pPr>
        <w:pStyle w:val="EPComma"/>
      </w:pPr>
      <w:r w:rsidRPr="00E64A4E">
        <w:rPr>
          <w:rStyle w:val="Italic"/>
        </w:rPr>
        <w:t>Europa-Parlamentet</w:t>
      </w:r>
      <w:r w:rsidRPr="00A163DA">
        <w:t>,</w:t>
      </w:r>
    </w:p>
    <w:p w14:paraId="42926E7F" w14:textId="77777777" w:rsidR="00E14121" w:rsidRPr="00D1505E" w:rsidRDefault="00E14121" w:rsidP="00E14121">
      <w:pPr>
        <w:pStyle w:val="NormalHanging12a"/>
      </w:pPr>
      <w:r w:rsidRPr="00D1505E">
        <w:t>–</w:t>
      </w:r>
      <w:r w:rsidRPr="00D1505E">
        <w:tab/>
        <w:t>der henviser til Kommissionens rapport af 27. marts 2024 med titlen "Den langsigtede vision for EU's landdistrikter: de vigtigste resultater og vejen frem" (</w:t>
      </w:r>
      <w:proofErr w:type="gramStart"/>
      <w:r w:rsidRPr="00D1505E">
        <w:t>COM(</w:t>
      </w:r>
      <w:proofErr w:type="gramEnd"/>
      <w:r w:rsidRPr="00D1505E">
        <w:t>2024)0450),</w:t>
      </w:r>
    </w:p>
    <w:p w14:paraId="06A5E4DE" w14:textId="77777777" w:rsidR="00E14121" w:rsidRPr="00A163DA" w:rsidRDefault="00E14121" w:rsidP="00E14121">
      <w:pPr>
        <w:pStyle w:val="NormalHanging12a"/>
      </w:pPr>
      <w:r w:rsidRPr="00D1505E">
        <w:t>–</w:t>
      </w:r>
      <w:r w:rsidRPr="00D1505E">
        <w:tab/>
        <w:t>der henviser til sin beslutning af 15. september 2022 om EU's grænseregioner: levende laboratorier for europæisk integration</w:t>
      </w:r>
      <w:r w:rsidRPr="00E64A4E">
        <w:rPr>
          <w:rStyle w:val="FootnoteReference"/>
        </w:rPr>
        <w:footnoteReference w:id="1"/>
      </w:r>
      <w:r w:rsidRPr="00E64A4E">
        <w:t>,</w:t>
      </w:r>
    </w:p>
    <w:p w14:paraId="2549CD40" w14:textId="77777777" w:rsidR="00E14121" w:rsidRPr="00A163DA" w:rsidRDefault="00E14121" w:rsidP="00E14121">
      <w:pPr>
        <w:pStyle w:val="NormalHanging12a"/>
      </w:pPr>
      <w:r w:rsidRPr="00D1505E">
        <w:t>–</w:t>
      </w:r>
      <w:r w:rsidRPr="00D1505E">
        <w:tab/>
        <w:t>der henviser til sin beslutning af 8. maj 2025 om den 9. rapport om økonomisk og social samhørighed</w:t>
      </w:r>
      <w:r w:rsidRPr="00E64A4E">
        <w:rPr>
          <w:rStyle w:val="FootnoteReference"/>
        </w:rPr>
        <w:footnoteReference w:id="2"/>
      </w:r>
      <w:r w:rsidR="00323F49" w:rsidRPr="00E64A4E">
        <w:t>,</w:t>
      </w:r>
    </w:p>
    <w:p w14:paraId="1B53D75C" w14:textId="77777777" w:rsidR="00E14121" w:rsidRPr="00A163DA" w:rsidRDefault="00E14121" w:rsidP="00E14121">
      <w:pPr>
        <w:pStyle w:val="NormalHanging12a"/>
      </w:pPr>
      <w:r w:rsidRPr="00D1505E">
        <w:t>–</w:t>
      </w:r>
      <w:r w:rsidRPr="00D1505E">
        <w:tab/>
        <w:t>der henviser til Det Europæiske Regionsudvalgs udtalelse af 15. marts 2023 om mål og redskaber til fremme af intelligente landdistrikter i Europa</w:t>
      </w:r>
      <w:r w:rsidRPr="00E64A4E">
        <w:rPr>
          <w:rStyle w:val="FootnoteReference"/>
        </w:rPr>
        <w:footnoteReference w:id="3"/>
      </w:r>
      <w:r w:rsidRPr="00E64A4E">
        <w:t>,</w:t>
      </w:r>
    </w:p>
    <w:p w14:paraId="7A79A65B" w14:textId="77777777" w:rsidR="00E14121" w:rsidRPr="00A163DA" w:rsidRDefault="00E14121" w:rsidP="00E14121">
      <w:pPr>
        <w:pStyle w:val="NormalHanging12a"/>
        <w:rPr>
          <w:szCs w:val="24"/>
        </w:rPr>
      </w:pPr>
      <w:r w:rsidRPr="00D1505E">
        <w:t>–</w:t>
      </w:r>
      <w:r w:rsidRPr="00D1505E">
        <w:tab/>
        <w:t>der henviser til Det Europæiske Regionsudvalgs udtalelse af 1. december 2022 om øget støtte under samhørighedspolitikken til regioner med geografiske og demografiske ulemper (artikel 174 i TEUF)</w:t>
      </w:r>
      <w:r w:rsidRPr="00E64A4E">
        <w:rPr>
          <w:rStyle w:val="FootnoteReference"/>
        </w:rPr>
        <w:footnoteReference w:id="4"/>
      </w:r>
      <w:r w:rsidRPr="00E64A4E">
        <w:t>,</w:t>
      </w:r>
    </w:p>
    <w:p w14:paraId="27EFEB45" w14:textId="77777777" w:rsidR="00E14121" w:rsidRPr="00D1505E" w:rsidRDefault="00E14121" w:rsidP="00E14121">
      <w:pPr>
        <w:pStyle w:val="NormalHanging12a"/>
        <w:rPr>
          <w:szCs w:val="24"/>
        </w:rPr>
      </w:pPr>
      <w:r w:rsidRPr="00D1505E">
        <w:t>–</w:t>
      </w:r>
      <w:r w:rsidRPr="00D1505E">
        <w:tab/>
        <w:t>der henviser til artikel 39, 174, 175 og 349 i traktaten om Den Europæiske Unions funktionsmåde (TEUF),</w:t>
      </w:r>
    </w:p>
    <w:p w14:paraId="3A21736F" w14:textId="77777777" w:rsidR="00E14121" w:rsidRPr="00A163DA" w:rsidRDefault="00E14121" w:rsidP="00E14121">
      <w:pPr>
        <w:pStyle w:val="NormalHanging12a"/>
      </w:pPr>
      <w:r w:rsidRPr="00D1505E">
        <w:t>–</w:t>
      </w:r>
      <w:r w:rsidRPr="00D1505E">
        <w:tab/>
        <w:t xml:space="preserve">der henviser til Rådets forordning (EU, </w:t>
      </w:r>
      <w:proofErr w:type="spellStart"/>
      <w:r w:rsidRPr="00D1505E">
        <w:t>Euratom</w:t>
      </w:r>
      <w:proofErr w:type="spellEnd"/>
      <w:r w:rsidRPr="00D1505E">
        <w:t>) 2020/2093 af 17. december 2020 om fastlæggelse af den flerårige finansielle ramme for årene 2021-2027</w:t>
      </w:r>
      <w:r w:rsidRPr="00E64A4E">
        <w:rPr>
          <w:rStyle w:val="FootnoteReference"/>
        </w:rPr>
        <w:footnoteReference w:id="5"/>
      </w:r>
      <w:r w:rsidRPr="00E64A4E">
        <w:t>,</w:t>
      </w:r>
    </w:p>
    <w:p w14:paraId="30563A19" w14:textId="77777777" w:rsidR="00E14121" w:rsidRPr="00E64A4E" w:rsidRDefault="00E14121" w:rsidP="00E14121">
      <w:pPr>
        <w:pStyle w:val="NormalHanging12a"/>
      </w:pPr>
      <w:r w:rsidRPr="00D1505E">
        <w:lastRenderedPageBreak/>
        <w:t>–</w:t>
      </w:r>
      <w:r w:rsidRPr="00D1505E">
        <w:tab/>
        <w:t>der henviser til Europa-Parlamentets og Rådets forordning (EU) 2021/1119 af 30. juni 2021 om fastlæggelse af rammerne for at opnå klimaneutralitet og om ændring af forordning (EF) nr. 401/2009 og (EU) 2018/1999 ("den europæiske klimalov")</w:t>
      </w:r>
      <w:r w:rsidRPr="00E64A4E">
        <w:rPr>
          <w:rStyle w:val="FootnoteReference"/>
        </w:rPr>
        <w:footnoteReference w:id="6"/>
      </w:r>
      <w:r w:rsidRPr="00E64A4E">
        <w:t>,</w:t>
      </w:r>
    </w:p>
    <w:p w14:paraId="76FFA393" w14:textId="77777777" w:rsidR="00E14121" w:rsidRPr="00E64A4E" w:rsidRDefault="00E14121" w:rsidP="00E14121">
      <w:pPr>
        <w:pStyle w:val="NormalHanging12a"/>
      </w:pPr>
      <w:r w:rsidRPr="00D1505E">
        <w:t>–</w:t>
      </w:r>
      <w:r w:rsidRPr="00D1505E">
        <w:tab/>
        <w:t>der henviser til 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w:t>
      </w:r>
      <w:r w:rsidRPr="00E64A4E">
        <w:rPr>
          <w:rStyle w:val="FootnoteReference"/>
        </w:rPr>
        <w:footnoteReference w:id="7"/>
      </w:r>
      <w:r w:rsidRPr="00E64A4E">
        <w:t>,</w:t>
      </w:r>
    </w:p>
    <w:p w14:paraId="48333E14" w14:textId="77777777" w:rsidR="00E14121" w:rsidRPr="00E64A4E" w:rsidRDefault="00E14121" w:rsidP="00E14121">
      <w:pPr>
        <w:pStyle w:val="NormalHanging12a"/>
      </w:pPr>
      <w:r w:rsidRPr="00D1505E">
        <w:t>–</w:t>
      </w:r>
      <w:r w:rsidRPr="00D1505E">
        <w:tab/>
        <w:t>der henviser til Europa-Parlamentets og Rådets forordning (EU) 2021/2116 af 2. december 2021 om finansiering, forvaltning og overvågning af den fælles landbrugspolitik og om ophævelse af forordning (EU) nr. 1306/2013</w:t>
      </w:r>
      <w:r w:rsidRPr="00E64A4E">
        <w:rPr>
          <w:rStyle w:val="FootnoteReference"/>
        </w:rPr>
        <w:footnoteReference w:id="8"/>
      </w:r>
      <w:r w:rsidRPr="00E64A4E">
        <w:t>,</w:t>
      </w:r>
    </w:p>
    <w:p w14:paraId="70E172E2" w14:textId="77777777" w:rsidR="00E14121" w:rsidRPr="00E64A4E" w:rsidRDefault="00E14121" w:rsidP="00E14121">
      <w:pPr>
        <w:pStyle w:val="NormalHanging12a"/>
      </w:pPr>
      <w:r w:rsidRPr="00D1505E">
        <w:t>–</w:t>
      </w:r>
      <w:r w:rsidRPr="00D1505E">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w:t>
      </w:r>
      <w:r w:rsidRPr="00E64A4E">
        <w:rPr>
          <w:rStyle w:val="FootnoteReference"/>
        </w:rPr>
        <w:footnoteReference w:id="9"/>
      </w:r>
      <w:r w:rsidRPr="00E64A4E">
        <w:t>,</w:t>
      </w:r>
    </w:p>
    <w:p w14:paraId="14013E57" w14:textId="77777777" w:rsidR="00E14121" w:rsidRPr="00E64A4E" w:rsidRDefault="00E14121" w:rsidP="00E14121">
      <w:pPr>
        <w:pStyle w:val="NormalHanging12a"/>
      </w:pPr>
      <w:r w:rsidRPr="00D1505E">
        <w:t>–</w:t>
      </w:r>
      <w:r w:rsidRPr="00D1505E">
        <w:tab/>
        <w:t>der henviser til Europa-Parlamentets og Rådets forordning (EU) 2021/694 af 29. april 2021 om programmet for et digitalt Europa og om ophævelse af afgørelse (EU) 2015/2240</w:t>
      </w:r>
      <w:r w:rsidRPr="00E64A4E">
        <w:rPr>
          <w:rStyle w:val="FootnoteReference"/>
        </w:rPr>
        <w:footnoteReference w:id="10"/>
      </w:r>
      <w:r w:rsidRPr="00E64A4E">
        <w:t>,</w:t>
      </w:r>
    </w:p>
    <w:p w14:paraId="0EC15B5C" w14:textId="77777777" w:rsidR="00E14121" w:rsidRPr="00E64A4E" w:rsidRDefault="00E14121" w:rsidP="00E14121">
      <w:pPr>
        <w:pStyle w:val="NormalHanging12a"/>
      </w:pPr>
      <w:r w:rsidRPr="00D1505E">
        <w:t>–</w:t>
      </w:r>
      <w:r w:rsidRPr="00D1505E">
        <w:tab/>
        <w:t>der henviser til Kommissionens delegerede forordning (EU) nr. 240/2014 af 7. januar 2014 om den europæiske adfærdskodeks for partnerskab inden for rammerne af de europæiske struktur- og investeringsfonde</w:t>
      </w:r>
      <w:r w:rsidRPr="00E64A4E">
        <w:rPr>
          <w:rStyle w:val="FootnoteReference"/>
        </w:rPr>
        <w:footnoteReference w:id="11"/>
      </w:r>
      <w:r w:rsidRPr="00E64A4E">
        <w:t>,</w:t>
      </w:r>
    </w:p>
    <w:p w14:paraId="2ADAA467" w14:textId="77777777" w:rsidR="00E14121" w:rsidRPr="00D1505E" w:rsidRDefault="00E14121" w:rsidP="00E14121">
      <w:pPr>
        <w:pStyle w:val="NormalHanging12a"/>
        <w:rPr>
          <w:szCs w:val="24"/>
        </w:rPr>
      </w:pPr>
      <w:r w:rsidRPr="00D1505E">
        <w:t>–</w:t>
      </w:r>
      <w:r w:rsidRPr="00D1505E">
        <w:tab/>
        <w:t>der henviser til princip 20 i den europæiske søjle for sociale rettigheder om adgang til basale rettigheder,</w:t>
      </w:r>
    </w:p>
    <w:p w14:paraId="20E1BDF0" w14:textId="77777777" w:rsidR="00E14121" w:rsidRPr="00E64A4E" w:rsidRDefault="00E14121" w:rsidP="00E14121">
      <w:pPr>
        <w:pStyle w:val="NormalHanging12a"/>
      </w:pPr>
      <w:r w:rsidRPr="00D1505E">
        <w:t>–</w:t>
      </w:r>
      <w:r w:rsidRPr="00D1505E">
        <w:tab/>
        <w:t>der henviser til sin beslutning af 4. april 2017 om kvinder og deres rolle i landdistrikterne</w:t>
      </w:r>
      <w:r w:rsidRPr="00E64A4E">
        <w:rPr>
          <w:rStyle w:val="FootnoteReference"/>
        </w:rPr>
        <w:footnoteReference w:id="12"/>
      </w:r>
      <w:r w:rsidRPr="00E64A4E">
        <w:t>,</w:t>
      </w:r>
    </w:p>
    <w:p w14:paraId="0F4074B6" w14:textId="77777777" w:rsidR="00E14121" w:rsidRPr="00E64A4E" w:rsidRDefault="00E14121" w:rsidP="00E14121">
      <w:pPr>
        <w:pStyle w:val="NormalHanging12a"/>
      </w:pPr>
      <w:r w:rsidRPr="00D1505E">
        <w:t>–</w:t>
      </w:r>
      <w:r w:rsidRPr="00D1505E">
        <w:tab/>
        <w:t>der henviser til sin beslutning af 8. marts 2022 om samhørighedspolitikkens rolle med hensyn til at fremme innovativ og intelligent omstilling og regional IKT-</w:t>
      </w:r>
      <w:proofErr w:type="spellStart"/>
      <w:r w:rsidRPr="00D1505E">
        <w:t>konnektivitet</w:t>
      </w:r>
      <w:proofErr w:type="spellEnd"/>
      <w:r w:rsidRPr="00E64A4E">
        <w:rPr>
          <w:rStyle w:val="FootnoteReference"/>
        </w:rPr>
        <w:footnoteReference w:id="13"/>
      </w:r>
      <w:r w:rsidRPr="00E64A4E">
        <w:t>,</w:t>
      </w:r>
    </w:p>
    <w:p w14:paraId="36CA1966" w14:textId="77777777" w:rsidR="00E14121" w:rsidRPr="00E64A4E" w:rsidRDefault="00E14121" w:rsidP="00E14121">
      <w:pPr>
        <w:pStyle w:val="NormalHanging12a"/>
      </w:pPr>
      <w:r w:rsidRPr="00D1505E">
        <w:lastRenderedPageBreak/>
        <w:t>–</w:t>
      </w:r>
      <w:r w:rsidRPr="00D1505E">
        <w:tab/>
        <w:t>der henviser til sin beslutning af 13. december 2022 om en langsigtet vision for EU's landdistrikter – hen imod stærke, forbundne, modstandsdygtige og fremgangsrige landdistrikter i 2040</w:t>
      </w:r>
      <w:r w:rsidRPr="00E64A4E">
        <w:rPr>
          <w:rStyle w:val="FootnoteReference"/>
        </w:rPr>
        <w:footnoteReference w:id="14"/>
      </w:r>
      <w:r w:rsidRPr="00E64A4E">
        <w:t>,</w:t>
      </w:r>
    </w:p>
    <w:p w14:paraId="023D2923" w14:textId="77777777" w:rsidR="00E14121" w:rsidRPr="00E64A4E" w:rsidRDefault="00E14121" w:rsidP="00E14121">
      <w:pPr>
        <w:pStyle w:val="NormalHanging12a"/>
      </w:pPr>
      <w:r w:rsidRPr="00D1505E">
        <w:t>–</w:t>
      </w:r>
      <w:r w:rsidRPr="00D1505E">
        <w:tab/>
        <w:t>der henviser til sin beslutning af 23. november 2023 om udnyttelse af talent i Europas regioner</w:t>
      </w:r>
      <w:r w:rsidRPr="00E64A4E">
        <w:rPr>
          <w:rStyle w:val="FootnoteReference"/>
        </w:rPr>
        <w:footnoteReference w:id="15"/>
      </w:r>
      <w:r w:rsidRPr="00E64A4E">
        <w:t>,</w:t>
      </w:r>
    </w:p>
    <w:p w14:paraId="7F5FD756" w14:textId="77777777" w:rsidR="00E14121" w:rsidRPr="00D1505E" w:rsidRDefault="00E14121" w:rsidP="00E14121">
      <w:pPr>
        <w:pStyle w:val="NormalHanging12a"/>
      </w:pPr>
      <w:r w:rsidRPr="00D1505E">
        <w:t>–</w:t>
      </w:r>
      <w:r w:rsidRPr="00D1505E">
        <w:tab/>
        <w:t>der henviser til Kommissionens meddelelse af 27. marts 2024 om den 9. samhørighedsrapport (</w:t>
      </w:r>
      <w:proofErr w:type="gramStart"/>
      <w:r w:rsidRPr="00D1505E">
        <w:t>COM(</w:t>
      </w:r>
      <w:proofErr w:type="gramEnd"/>
      <w:r w:rsidRPr="00D1505E">
        <w:t>2024)0149),</w:t>
      </w:r>
    </w:p>
    <w:p w14:paraId="1AD50438" w14:textId="77777777" w:rsidR="00E14121" w:rsidRPr="00D1505E" w:rsidRDefault="00E14121" w:rsidP="00E14121">
      <w:pPr>
        <w:pStyle w:val="NormalHanging12a"/>
      </w:pPr>
      <w:r w:rsidRPr="00D1505E">
        <w:t>–</w:t>
      </w:r>
      <w:r w:rsidRPr="00D1505E">
        <w:tab/>
        <w:t>der henviser til Kommissionens meddelelse af 30. juni 2021 med titlen "En langsigtet vision for EU's landdistrikter – Hen imod stærke, forbundne, modstandsdygtige og fremgangsrige landdistrikter i 2040" (</w:t>
      </w:r>
      <w:proofErr w:type="gramStart"/>
      <w:r w:rsidRPr="00D1505E">
        <w:t>COM(</w:t>
      </w:r>
      <w:proofErr w:type="gramEnd"/>
      <w:r w:rsidRPr="00D1505E">
        <w:t>2021)0345),</w:t>
      </w:r>
    </w:p>
    <w:p w14:paraId="790F9A34" w14:textId="77777777" w:rsidR="00E14121" w:rsidRPr="00D1505E" w:rsidRDefault="00E14121" w:rsidP="00E14121">
      <w:pPr>
        <w:pStyle w:val="NormalHanging12a"/>
      </w:pPr>
      <w:r w:rsidRPr="00D1505E">
        <w:t>–</w:t>
      </w:r>
      <w:r w:rsidRPr="00D1505E">
        <w:tab/>
        <w:t>der henviser til Kommissionens meddelelse af 19. februar 2025 med titlen "En vision for landbrug og fødevarer – Sammen skaber vi en attraktiv landbrugs- og fødevaresektor i EU for de kommende generationer" (</w:t>
      </w:r>
      <w:proofErr w:type="gramStart"/>
      <w:r w:rsidRPr="00D1505E">
        <w:t>COM(</w:t>
      </w:r>
      <w:proofErr w:type="gramEnd"/>
      <w:r w:rsidRPr="00D1505E">
        <w:t>2025)0075),</w:t>
      </w:r>
    </w:p>
    <w:p w14:paraId="669BB021" w14:textId="77777777" w:rsidR="00E14121" w:rsidRPr="00D1505E" w:rsidRDefault="00E14121" w:rsidP="00E14121">
      <w:pPr>
        <w:pStyle w:val="NormalHanging12a"/>
      </w:pPr>
      <w:r w:rsidRPr="00D1505E">
        <w:t>–</w:t>
      </w:r>
      <w:r w:rsidRPr="00D1505E">
        <w:tab/>
        <w:t>der henviser til Kommissionens meddelelse af 3. maj 2022 med titlen "Mennesket i centrum, sikring af bæredygtig og inklusiv vækst og udnyttelse af potentialet i EU's regioner i den yderste periferi" (</w:t>
      </w:r>
      <w:proofErr w:type="gramStart"/>
      <w:r w:rsidRPr="00D1505E">
        <w:t>COM(</w:t>
      </w:r>
      <w:proofErr w:type="gramEnd"/>
      <w:r w:rsidRPr="00D1505E">
        <w:t>2022)0198),</w:t>
      </w:r>
    </w:p>
    <w:p w14:paraId="7DC0C9E9" w14:textId="77777777" w:rsidR="00E14121" w:rsidRPr="00D1505E" w:rsidRDefault="00E14121" w:rsidP="00E14121">
      <w:pPr>
        <w:pStyle w:val="NormalHanging12a"/>
        <w:rPr>
          <w:szCs w:val="24"/>
        </w:rPr>
      </w:pPr>
      <w:r w:rsidRPr="00D1505E">
        <w:t>–</w:t>
      </w:r>
      <w:r w:rsidRPr="00D1505E">
        <w:tab/>
        <w:t>der henviser til Kommissionens meddelelse af 25. marts 2021 om en handlingsplan for udviklingen af økologisk produktion (</w:t>
      </w:r>
      <w:proofErr w:type="gramStart"/>
      <w:r w:rsidRPr="00D1505E">
        <w:t>COM(</w:t>
      </w:r>
      <w:proofErr w:type="gramEnd"/>
      <w:r w:rsidRPr="00D1505E">
        <w:t>2021)0141),</w:t>
      </w:r>
    </w:p>
    <w:p w14:paraId="680EED5F" w14:textId="77777777" w:rsidR="00E14121" w:rsidRPr="00D1505E" w:rsidRDefault="00E14121" w:rsidP="00E14121">
      <w:pPr>
        <w:pStyle w:val="NormalHanging12a"/>
      </w:pPr>
      <w:r w:rsidRPr="00D1505E">
        <w:t>–</w:t>
      </w:r>
      <w:r w:rsidRPr="00D1505E">
        <w:tab/>
        <w:t>der henviser til Kommissionens rapport af 17. juni 2020 om konsekvenserne af de demografiske forandringer (</w:t>
      </w:r>
      <w:proofErr w:type="gramStart"/>
      <w:r w:rsidRPr="00D1505E">
        <w:t>COM(</w:t>
      </w:r>
      <w:proofErr w:type="gramEnd"/>
      <w:r w:rsidRPr="00D1505E">
        <w:t>2020)0241),</w:t>
      </w:r>
    </w:p>
    <w:p w14:paraId="1FB54DEC" w14:textId="77777777" w:rsidR="00E14121" w:rsidRPr="00D1505E" w:rsidRDefault="00E14121" w:rsidP="00E14121">
      <w:pPr>
        <w:pStyle w:val="NormalHanging12a"/>
      </w:pPr>
      <w:r w:rsidRPr="00D1505E">
        <w:t>–</w:t>
      </w:r>
      <w:r w:rsidRPr="00D1505E">
        <w:tab/>
        <w:t>der henviser til Kommissionens grønbog af 27. januar 2021 om aldring – fremme af solidaritet og ansvar mellem generationerne (</w:t>
      </w:r>
      <w:proofErr w:type="gramStart"/>
      <w:r w:rsidRPr="00D1505E">
        <w:t>COM(</w:t>
      </w:r>
      <w:proofErr w:type="gramEnd"/>
      <w:r w:rsidRPr="00D1505E">
        <w:t>2021)0050),</w:t>
      </w:r>
    </w:p>
    <w:p w14:paraId="097B2C9B" w14:textId="77777777" w:rsidR="00E14121" w:rsidRPr="00D1505E" w:rsidRDefault="00E14121" w:rsidP="00E14121">
      <w:pPr>
        <w:pStyle w:val="NormalHanging12a"/>
      </w:pPr>
      <w:r w:rsidRPr="00D1505E">
        <w:t>–</w:t>
      </w:r>
      <w:r w:rsidRPr="00D1505E">
        <w:tab/>
        <w:t>der henviser til Kommissionens meddelelse af 20. maj 2020 med titlen "En jord til bord-strategi for et fair, sundt og miljøvenligt fødevaresystem" (</w:t>
      </w:r>
      <w:proofErr w:type="gramStart"/>
      <w:r w:rsidRPr="00D1505E">
        <w:t>COM(</w:t>
      </w:r>
      <w:proofErr w:type="gramEnd"/>
      <w:r w:rsidRPr="00D1505E">
        <w:t>2020)0381),</w:t>
      </w:r>
    </w:p>
    <w:p w14:paraId="556AEFED" w14:textId="77777777" w:rsidR="00E14121" w:rsidRPr="00D1505E" w:rsidRDefault="00E14121" w:rsidP="00E14121">
      <w:pPr>
        <w:pStyle w:val="NormalHanging12a"/>
      </w:pPr>
      <w:r w:rsidRPr="00D1505E">
        <w:t>–</w:t>
      </w:r>
      <w:r w:rsidRPr="00D1505E">
        <w:tab/>
        <w:t>der henviser til Kommissionens meddelelse af 20. maj 2020 med titlen "EU's biodiversitetsstrategi for 2030: Naturen skal bringes tilbage i vores liv" (</w:t>
      </w:r>
      <w:proofErr w:type="gramStart"/>
      <w:r w:rsidRPr="00D1505E">
        <w:t>COM(</w:t>
      </w:r>
      <w:proofErr w:type="gramEnd"/>
      <w:r w:rsidRPr="00D1505E">
        <w:t>2020)0380),</w:t>
      </w:r>
    </w:p>
    <w:p w14:paraId="02834B17" w14:textId="77777777" w:rsidR="00E14121" w:rsidRPr="00D1505E" w:rsidRDefault="00E14121" w:rsidP="00E14121">
      <w:pPr>
        <w:pStyle w:val="NormalHanging12a"/>
      </w:pPr>
      <w:r w:rsidRPr="00D1505E">
        <w:t>–</w:t>
      </w:r>
      <w:r w:rsidRPr="00D1505E">
        <w:tab/>
        <w:t>der henviser til Kommissionens meddelelse af 17. november 2021 med titlen "EU's jordbundsstrategi for 2030 – Udnyttelse af fordelene ved en sund jordbund for mennesker, fødevarer, natur og klima" (</w:t>
      </w:r>
      <w:proofErr w:type="gramStart"/>
      <w:r w:rsidRPr="00D1505E">
        <w:t>COM(</w:t>
      </w:r>
      <w:proofErr w:type="gramEnd"/>
      <w:r w:rsidRPr="00D1505E">
        <w:t>2021)0699),</w:t>
      </w:r>
    </w:p>
    <w:p w14:paraId="01E46BBB" w14:textId="77777777" w:rsidR="00E14121" w:rsidRPr="00D1505E" w:rsidRDefault="00E14121" w:rsidP="00E14121">
      <w:pPr>
        <w:pStyle w:val="NormalHanging12a"/>
      </w:pPr>
      <w:r w:rsidRPr="00D1505E">
        <w:t>–</w:t>
      </w:r>
      <w:r w:rsidRPr="00D1505E">
        <w:tab/>
        <w:t>der henviser til FN's erklæring om rettigheder for landbrugere og andre mennesker, der arbejder i landdistrikter, som Menneskerettighedsrådet vedtog den 28. september 2018,</w:t>
      </w:r>
    </w:p>
    <w:p w14:paraId="33058528" w14:textId="77777777" w:rsidR="00E14121" w:rsidRPr="00D1505E" w:rsidRDefault="00E14121" w:rsidP="00E14121">
      <w:pPr>
        <w:pStyle w:val="NormalHanging12a"/>
        <w:rPr>
          <w:szCs w:val="24"/>
        </w:rPr>
      </w:pPr>
      <w:r w:rsidRPr="00D1505E">
        <w:t>–</w:t>
      </w:r>
      <w:r w:rsidRPr="00D1505E">
        <w:tab/>
        <w:t>der henviser til den generelle henstilling nr. 34 (2016) fra FN's Komité for Afskaffelse af Diskrimination mod Kvinder om rettigheder for kvinder i landdistrikterne, som blev vedtaget den 7. marts 2016,</w:t>
      </w:r>
    </w:p>
    <w:p w14:paraId="75D21E0C" w14:textId="77777777" w:rsidR="00E14121" w:rsidRPr="00E64A4E" w:rsidRDefault="00E14121" w:rsidP="00E14121">
      <w:pPr>
        <w:pStyle w:val="NormalHanging12a"/>
      </w:pPr>
      <w:r w:rsidRPr="00D1505E">
        <w:lastRenderedPageBreak/>
        <w:t>–</w:t>
      </w:r>
      <w:r w:rsidRPr="00D1505E">
        <w:tab/>
        <w:t>der henviser til sin beslutning af 3. maj 2022 om en EU-handlingsplan for økologisk landbrug</w:t>
      </w:r>
      <w:r w:rsidRPr="00E64A4E">
        <w:rPr>
          <w:rStyle w:val="FootnoteReference"/>
        </w:rPr>
        <w:footnoteReference w:id="16"/>
      </w:r>
      <w:r w:rsidRPr="00E64A4E">
        <w:t>,</w:t>
      </w:r>
    </w:p>
    <w:p w14:paraId="18D7B8B5" w14:textId="77777777" w:rsidR="00E14121" w:rsidRPr="00D1505E" w:rsidRDefault="00E14121" w:rsidP="00E14121">
      <w:pPr>
        <w:pStyle w:val="NormalHanging12a"/>
      </w:pPr>
      <w:r w:rsidRPr="00D1505E">
        <w:t>–</w:t>
      </w:r>
      <w:r w:rsidRPr="00D1505E">
        <w:tab/>
        <w:t xml:space="preserve">der henviser til undersøgelsen bestilt af Europa-Parlamentets Udvalg om Landbrug og Udvikling af Landdistrikter med titlen "The future of the European </w:t>
      </w:r>
      <w:proofErr w:type="spellStart"/>
      <w:r w:rsidRPr="00D1505E">
        <w:t>Farming</w:t>
      </w:r>
      <w:proofErr w:type="spellEnd"/>
      <w:r w:rsidRPr="00D1505E">
        <w:t xml:space="preserve"> Model: </w:t>
      </w:r>
      <w:proofErr w:type="spellStart"/>
      <w:r w:rsidRPr="00D1505E">
        <w:t>Socio-economic</w:t>
      </w:r>
      <w:proofErr w:type="spellEnd"/>
      <w:r w:rsidRPr="00D1505E">
        <w:t xml:space="preserve"> and territorial </w:t>
      </w:r>
      <w:proofErr w:type="spellStart"/>
      <w:r w:rsidRPr="00D1505E">
        <w:t>implications</w:t>
      </w:r>
      <w:proofErr w:type="spellEnd"/>
      <w:r w:rsidRPr="00D1505E">
        <w:t xml:space="preserve"> of the </w:t>
      </w:r>
      <w:proofErr w:type="spellStart"/>
      <w:r w:rsidRPr="00D1505E">
        <w:t>decline</w:t>
      </w:r>
      <w:proofErr w:type="spellEnd"/>
      <w:r w:rsidRPr="00D1505E">
        <w:t xml:space="preserve"> in the </w:t>
      </w:r>
      <w:proofErr w:type="spellStart"/>
      <w:r w:rsidRPr="00D1505E">
        <w:t>number</w:t>
      </w:r>
      <w:proofErr w:type="spellEnd"/>
      <w:r w:rsidRPr="00D1505E">
        <w:t xml:space="preserve"> of farms and farmers in the EU" (Fremtiden for den europæiske landbrugsmodel: socioøkonomiske og territoriale konsekvenser af faldet i antallet af bedrifter og landbrugere i EU), som blev offentliggjort af Temaafdelingen for Struktur- og Samhørighedspolitik i april 2022,</w:t>
      </w:r>
    </w:p>
    <w:p w14:paraId="26D5C575" w14:textId="77777777" w:rsidR="00E14121" w:rsidRPr="00E64A4E" w:rsidRDefault="00E14121" w:rsidP="00E14121">
      <w:pPr>
        <w:pStyle w:val="NormalHanging12a"/>
      </w:pPr>
      <w:r w:rsidRPr="00D1505E">
        <w:t>–</w:t>
      </w:r>
      <w:r w:rsidRPr="00D1505E">
        <w:tab/>
        <w:t>der henviser til sin beslutning af 24. marts 2022 om behovet for en hurtig EU-handlingsplan for at sikre fødevaresikkerheden i og uden for EU i lyset af den russiske invasion af Ukraine</w:t>
      </w:r>
      <w:r w:rsidRPr="00E64A4E">
        <w:rPr>
          <w:rStyle w:val="FootnoteReference"/>
        </w:rPr>
        <w:footnoteReference w:id="17"/>
      </w:r>
      <w:r w:rsidRPr="00E64A4E">
        <w:t>,</w:t>
      </w:r>
    </w:p>
    <w:p w14:paraId="7204DAD7" w14:textId="77777777" w:rsidR="00E14121" w:rsidRPr="00E64A4E" w:rsidRDefault="00E14121" w:rsidP="00E14121">
      <w:pPr>
        <w:pStyle w:val="NormalHanging12a"/>
      </w:pPr>
      <w:r w:rsidRPr="00D1505E">
        <w:t>–</w:t>
      </w:r>
      <w:r w:rsidRPr="00D1505E">
        <w:tab/>
        <w:t>der henviser til sin beslutning af 3. oktober 2018 om opfyldelse af de særlige behov i landdistrikter, bjergområder og fjerntliggende områder</w:t>
      </w:r>
      <w:r w:rsidRPr="00E64A4E">
        <w:rPr>
          <w:rStyle w:val="FootnoteReference"/>
        </w:rPr>
        <w:footnoteReference w:id="18"/>
      </w:r>
      <w:r w:rsidRPr="00E64A4E">
        <w:t>,</w:t>
      </w:r>
    </w:p>
    <w:p w14:paraId="3F4C52EE" w14:textId="77777777" w:rsidR="00E14121" w:rsidRPr="00E64A4E" w:rsidRDefault="00E14121" w:rsidP="00E14121">
      <w:pPr>
        <w:pStyle w:val="NormalHanging12a"/>
        <w:rPr>
          <w:szCs w:val="24"/>
        </w:rPr>
      </w:pPr>
      <w:r w:rsidRPr="00D1505E">
        <w:t>–</w:t>
      </w:r>
      <w:r w:rsidRPr="00D1505E">
        <w:tab/>
        <w:t>der henviser til sin beslutning af 9. juni 2021 om EU's biodiversitetsstrategi for 2030: Naturen skal bringes tilbage i vores liv</w:t>
      </w:r>
      <w:r w:rsidRPr="00E64A4E">
        <w:rPr>
          <w:rStyle w:val="FootnoteReference"/>
        </w:rPr>
        <w:footnoteReference w:id="19"/>
      </w:r>
      <w:r w:rsidRPr="00E64A4E">
        <w:t>,</w:t>
      </w:r>
    </w:p>
    <w:p w14:paraId="6E1652CB" w14:textId="77777777" w:rsidR="00E14121" w:rsidRPr="00E64A4E" w:rsidRDefault="00E14121" w:rsidP="00E14121">
      <w:pPr>
        <w:pStyle w:val="NormalHanging12a"/>
      </w:pPr>
      <w:r w:rsidRPr="00D1505E">
        <w:t>–</w:t>
      </w:r>
      <w:r w:rsidRPr="00D1505E">
        <w:tab/>
        <w:t xml:space="preserve">der henviser til Kommissionens rapport fra august 2019 med titlen "Evaluation of the </w:t>
      </w:r>
      <w:proofErr w:type="spellStart"/>
      <w:r w:rsidRPr="00D1505E">
        <w:t>impact</w:t>
      </w:r>
      <w:proofErr w:type="spellEnd"/>
      <w:r w:rsidRPr="00D1505E">
        <w:t xml:space="preserve"> of the CAP on generational </w:t>
      </w:r>
      <w:proofErr w:type="spellStart"/>
      <w:r w:rsidRPr="00D1505E">
        <w:t>renewal</w:t>
      </w:r>
      <w:proofErr w:type="spellEnd"/>
      <w:r w:rsidRPr="00D1505E">
        <w:t xml:space="preserve">, </w:t>
      </w:r>
      <w:proofErr w:type="spellStart"/>
      <w:r w:rsidRPr="00D1505E">
        <w:t>local</w:t>
      </w:r>
      <w:proofErr w:type="spellEnd"/>
      <w:r w:rsidRPr="00D1505E">
        <w:t xml:space="preserve"> </w:t>
      </w:r>
      <w:proofErr w:type="spellStart"/>
      <w:r w:rsidRPr="00D1505E">
        <w:t>development</w:t>
      </w:r>
      <w:proofErr w:type="spellEnd"/>
      <w:r w:rsidRPr="00D1505E">
        <w:t xml:space="preserve"> and jobs in rural </w:t>
      </w:r>
      <w:proofErr w:type="spellStart"/>
      <w:r w:rsidRPr="00D1505E">
        <w:t>areas</w:t>
      </w:r>
      <w:proofErr w:type="spellEnd"/>
      <w:r w:rsidRPr="00D1505E">
        <w:t>" (Evaluering af den fælles landbrugspolitiks indvirkning på generationsskiftet, lokaludviklingen og beskæftigelsen i landdistrikterne)</w:t>
      </w:r>
      <w:r w:rsidRPr="00E64A4E">
        <w:rPr>
          <w:rStyle w:val="FootnoteReference"/>
        </w:rPr>
        <w:footnoteReference w:id="20"/>
      </w:r>
      <w:r w:rsidRPr="00E64A4E">
        <w:t>,</w:t>
      </w:r>
    </w:p>
    <w:p w14:paraId="697329E2" w14:textId="77777777" w:rsidR="00E14121" w:rsidRPr="00E64A4E" w:rsidRDefault="00E14121" w:rsidP="00E14121">
      <w:pPr>
        <w:pStyle w:val="NormalHanging12a"/>
      </w:pPr>
      <w:r w:rsidRPr="00D1505E">
        <w:t>–</w:t>
      </w:r>
      <w:r w:rsidRPr="00D1505E">
        <w:tab/>
        <w:t>der henviser til Det Europæiske Regionsudvalgs udtalelse af 26. januar 2022 med titlen "En langsigtet vision for EU's landdistrikter"</w:t>
      </w:r>
      <w:r w:rsidRPr="00E64A4E">
        <w:rPr>
          <w:rStyle w:val="FootnoteReference"/>
        </w:rPr>
        <w:footnoteReference w:id="21"/>
      </w:r>
      <w:r w:rsidRPr="00E64A4E">
        <w:t>,</w:t>
      </w:r>
    </w:p>
    <w:p w14:paraId="021AB1ED" w14:textId="77777777" w:rsidR="00E14121" w:rsidRPr="00E64A4E" w:rsidRDefault="00E14121" w:rsidP="00E14121">
      <w:pPr>
        <w:pStyle w:val="NormalHanging12a"/>
        <w:rPr>
          <w:szCs w:val="24"/>
        </w:rPr>
      </w:pPr>
      <w:r w:rsidRPr="00D1505E">
        <w:t>–</w:t>
      </w:r>
      <w:r w:rsidRPr="00D1505E">
        <w:tab/>
        <w:t>der henviser til Regionsudvalgets udtalelse af 19. februar 2025 "Hvordan en programmering, der integrerer LEADER-tilgange og lokaludvikling styret af lokalsamfundet efter 2027, kan bidrage til en bedre gennemførelse af den langsigtede vision for EU's landdistrikter"</w:t>
      </w:r>
      <w:r w:rsidRPr="00E64A4E">
        <w:rPr>
          <w:rStyle w:val="FootnoteReference"/>
        </w:rPr>
        <w:footnoteReference w:id="22"/>
      </w:r>
      <w:r w:rsidRPr="00E64A4E">
        <w:t>,</w:t>
      </w:r>
    </w:p>
    <w:p w14:paraId="55287703" w14:textId="77777777" w:rsidR="00E14121" w:rsidRPr="00E64A4E" w:rsidRDefault="00E14121" w:rsidP="00E14121">
      <w:pPr>
        <w:pStyle w:val="NormalHanging12a"/>
      </w:pPr>
      <w:r w:rsidRPr="00D1505E">
        <w:t>–</w:t>
      </w:r>
      <w:r w:rsidRPr="00D1505E">
        <w:tab/>
        <w:t>der henviser til udtalelsen fra Det Europæiske Økonomiske og Sociale Udvalg af 23. marts 2022 om en langsigtet vision for EU's landdistrikter</w:t>
      </w:r>
      <w:r w:rsidRPr="00E64A4E">
        <w:rPr>
          <w:rStyle w:val="FootnoteReference"/>
        </w:rPr>
        <w:footnoteReference w:id="23"/>
      </w:r>
      <w:r w:rsidRPr="00E64A4E">
        <w:t>,</w:t>
      </w:r>
    </w:p>
    <w:p w14:paraId="0C6A847D" w14:textId="77777777" w:rsidR="00E14121" w:rsidRPr="00E64A4E" w:rsidRDefault="00E14121" w:rsidP="00E14121">
      <w:pPr>
        <w:pStyle w:val="NormalHanging12a"/>
        <w:rPr>
          <w:szCs w:val="24"/>
        </w:rPr>
      </w:pPr>
      <w:r w:rsidRPr="00D1505E">
        <w:t>–</w:t>
      </w:r>
      <w:r w:rsidRPr="00D1505E">
        <w:tab/>
        <w:t>der henviser til sin beslutning af 19. oktober 2023 om generationsskifte på fremtidens landbrugsbedrifter i EU</w:t>
      </w:r>
      <w:r w:rsidRPr="00E64A4E">
        <w:rPr>
          <w:rStyle w:val="FootnoteReference"/>
        </w:rPr>
        <w:footnoteReference w:id="24"/>
      </w:r>
      <w:r w:rsidRPr="00E64A4E">
        <w:t>,</w:t>
      </w:r>
    </w:p>
    <w:p w14:paraId="6D696415" w14:textId="77777777" w:rsidR="00E14121" w:rsidRPr="00D1505E" w:rsidRDefault="00E14121" w:rsidP="00E14121">
      <w:pPr>
        <w:pStyle w:val="NormalHanging12a"/>
      </w:pPr>
      <w:r w:rsidRPr="00D1505E">
        <w:lastRenderedPageBreak/>
        <w:t>–</w:t>
      </w:r>
      <w:r w:rsidRPr="00D1505E">
        <w:tab/>
        <w:t xml:space="preserve">der henviser til Enrico </w:t>
      </w:r>
      <w:proofErr w:type="spellStart"/>
      <w:r w:rsidRPr="00D1505E">
        <w:t>Lettas</w:t>
      </w:r>
      <w:proofErr w:type="spellEnd"/>
      <w:r w:rsidRPr="00D1505E">
        <w:t xml:space="preserve"> rapport om det indre markeds fremtid, som blev offentliggjort i april 2024,</w:t>
      </w:r>
    </w:p>
    <w:p w14:paraId="7F316E10" w14:textId="77777777" w:rsidR="00E14121" w:rsidRPr="00D1505E" w:rsidRDefault="00E14121" w:rsidP="00E14121">
      <w:pPr>
        <w:pStyle w:val="NormalHanging12a"/>
      </w:pPr>
      <w:r w:rsidRPr="00D1505E">
        <w:t>–</w:t>
      </w:r>
      <w:r w:rsidRPr="00D1505E">
        <w:tab/>
        <w:t xml:space="preserve">der henviser til undersøgelsen bestilt af Europa-Parlamentets Regionaludviklingsudvalg med titlen "EU </w:t>
      </w:r>
      <w:proofErr w:type="spellStart"/>
      <w:r w:rsidRPr="00D1505E">
        <w:t>Cohesion</w:t>
      </w:r>
      <w:proofErr w:type="spellEnd"/>
      <w:r w:rsidRPr="00D1505E">
        <w:t xml:space="preserve"> Policy in non-urban </w:t>
      </w:r>
      <w:proofErr w:type="spellStart"/>
      <w:r w:rsidRPr="00D1505E">
        <w:t>areas</w:t>
      </w:r>
      <w:proofErr w:type="spellEnd"/>
      <w:r w:rsidRPr="00D1505E">
        <w:t>" (EU's samhørighedspolitik i ikkebymæssige områder), som blev offentliggjort af Temaafdelingen for Struktur- og Samhørighedspolitik i september 2020,</w:t>
      </w:r>
    </w:p>
    <w:p w14:paraId="26586682" w14:textId="77777777" w:rsidR="00E14121" w:rsidRPr="00D1505E" w:rsidRDefault="00E14121" w:rsidP="00E14121">
      <w:pPr>
        <w:pStyle w:val="NormalHanging12a"/>
      </w:pPr>
      <w:r w:rsidRPr="00D1505E">
        <w:t>–</w:t>
      </w:r>
      <w:r w:rsidRPr="00D1505E">
        <w:tab/>
        <w:t>der henviser til erklæringen om fremtiden for landdistrikterne og politikken for udvikling af landdistrikterne i Den Europæiske Union, som blev vedtaget af koordinationsgruppen for pagten for landdistrikterne den 12. december 2024,</w:t>
      </w:r>
    </w:p>
    <w:p w14:paraId="28614519" w14:textId="77777777" w:rsidR="00E14121" w:rsidRPr="00D1505E" w:rsidRDefault="00E14121" w:rsidP="00E14121">
      <w:pPr>
        <w:pStyle w:val="NormalHanging12a"/>
      </w:pPr>
      <w:r w:rsidRPr="00D1505E">
        <w:t>–</w:t>
      </w:r>
      <w:r w:rsidRPr="00D1505E">
        <w:tab/>
        <w:t>der henviser til forretningsordenens artikel 55,</w:t>
      </w:r>
    </w:p>
    <w:p w14:paraId="36A48894" w14:textId="77777777" w:rsidR="00E14121" w:rsidRPr="00D1505E" w:rsidRDefault="00E14121" w:rsidP="00E14121">
      <w:pPr>
        <w:pStyle w:val="NormalHanging12a"/>
      </w:pPr>
      <w:r w:rsidRPr="00D1505E">
        <w:t>–</w:t>
      </w:r>
      <w:r w:rsidRPr="00D1505E">
        <w:tab/>
        <w:t>der henviser til udtalelse fra Udvalget om Landbrug og Udvikling af Landdistrikter,</w:t>
      </w:r>
    </w:p>
    <w:p w14:paraId="61186DF4" w14:textId="77777777" w:rsidR="00E14121" w:rsidRPr="00D1505E" w:rsidRDefault="00E14121" w:rsidP="00E14121">
      <w:pPr>
        <w:pStyle w:val="NormalHanging12a"/>
      </w:pPr>
      <w:r w:rsidRPr="00D1505E">
        <w:t>–</w:t>
      </w:r>
      <w:r w:rsidRPr="00D1505E">
        <w:tab/>
        <w:t>der henviser til betænkning fra Regionaludviklingsudvalget (A10-0092/2025),</w:t>
      </w:r>
    </w:p>
    <w:p w14:paraId="013F21D4" w14:textId="77777777" w:rsidR="00E14121" w:rsidRPr="00D1505E" w:rsidRDefault="00E14121" w:rsidP="00E14121">
      <w:pPr>
        <w:pStyle w:val="NormalHanging12a"/>
      </w:pPr>
      <w:r w:rsidRPr="00D1505E">
        <w:t>A.</w:t>
      </w:r>
      <w:r w:rsidRPr="00D1505E">
        <w:tab/>
        <w:t>der henviser til, at 137 millioner EU-borgere – næsten hver tredje EU-borger– på nuværende tidspunkt bor i landdistrikter, og at disse udgør ca. 83 % af EU's område; der henviser til, at en tredjedel af befolkningen i landdistrikterne bor i en grænseregion; der henviser til, at 77 % af det landareal, der anvendes til landbrug, (134 mio. ha) og 79 % af skoven (148 mio. ha) er beliggende i landdistrikter;</w:t>
      </w:r>
    </w:p>
    <w:p w14:paraId="6E0182FA" w14:textId="77777777" w:rsidR="00E14121" w:rsidRPr="00D1505E" w:rsidRDefault="00E14121" w:rsidP="00E14121">
      <w:pPr>
        <w:pStyle w:val="NormalHanging12a"/>
      </w:pPr>
      <w:r w:rsidRPr="00D1505E">
        <w:t>B.</w:t>
      </w:r>
      <w:r w:rsidRPr="00D1505E">
        <w:tab/>
        <w:t>der henviser til, at gennemsnitsindkomsten i landdistrikter er 87,5 % af gennemsnitsindkomsten i byområder;</w:t>
      </w:r>
    </w:p>
    <w:p w14:paraId="4B0A9D2B" w14:textId="77777777" w:rsidR="00E14121" w:rsidRPr="00E64A4E" w:rsidRDefault="00E14121" w:rsidP="00E14121">
      <w:pPr>
        <w:pStyle w:val="NormalHanging12a"/>
      </w:pPr>
      <w:r w:rsidRPr="00D1505E">
        <w:t>C.</w:t>
      </w:r>
      <w:r w:rsidRPr="00D1505E">
        <w:tab/>
        <w:t>der henviser til, at der stadig er forskelle i finansieringen af samhørighedspolitikken mellem byområder og landdistrikter, idet byområder modtager tre gange flere samhørighedsmidler end landdistrikter</w:t>
      </w:r>
      <w:r w:rsidRPr="00E64A4E">
        <w:rPr>
          <w:vertAlign w:val="superscript"/>
        </w:rPr>
        <w:footnoteReference w:id="25"/>
      </w:r>
      <w:r w:rsidRPr="00E64A4E">
        <w:t>;</w:t>
      </w:r>
    </w:p>
    <w:p w14:paraId="713C52A9" w14:textId="77777777" w:rsidR="00E14121" w:rsidRPr="00D1505E" w:rsidRDefault="00E14121" w:rsidP="00E14121">
      <w:pPr>
        <w:pStyle w:val="NormalHanging12a"/>
        <w:rPr>
          <w:szCs w:val="24"/>
        </w:rPr>
      </w:pPr>
      <w:r w:rsidRPr="00D1505E">
        <w:t>D.</w:t>
      </w:r>
      <w:r w:rsidRPr="00D1505E">
        <w:tab/>
        <w:t>der henviser til, at LEADER-tilgangen, som efterfølgende blev omfattet af det politiske instrument for lokaludvikling styret af lokalsamfundet (CLLD) igennem lokale aktionsgrupper, i landdistrikter siden 1991 har vist, at den kan samle og styrke lokale aktører omkring nytænkende og målrettede strategier;</w:t>
      </w:r>
    </w:p>
    <w:p w14:paraId="323C07A5" w14:textId="77777777" w:rsidR="00E14121" w:rsidRPr="00D1505E" w:rsidRDefault="00E14121" w:rsidP="00E14121">
      <w:pPr>
        <w:pStyle w:val="NormalHanging12a"/>
      </w:pPr>
      <w:r w:rsidRPr="00D1505E">
        <w:t>E.</w:t>
      </w:r>
      <w:r w:rsidRPr="00D1505E">
        <w:tab/>
        <w:t>der henviser til, at landdistrikterne er en hjørnesten i den europæiske økonomi og hjemsted for mange "skjulte frontløbervirksomheder", og at de er en integreret del af Europas kulturelle mangfoldighed; der henviser til, at de er afgørende for fødevareproduktionen og fødevaresikringen og fungerer som vogtere for vores landskaber, levende kulturarv i landdistrikterne og sociale og kulturelle traditioner; der henviser til, at de spiller en central rolle med hensyn til at fremme EU's strategiske autonomi gennem landbrugssektoren, som fortsat er en strategisk prioritet for EU; der henviser til, at landdistrikterne symboliserer mange af de aspekter, der gør Europa attraktivt og godt at bo i;</w:t>
      </w:r>
    </w:p>
    <w:p w14:paraId="43FE0E4C" w14:textId="77777777" w:rsidR="00E14121" w:rsidRPr="00D1505E" w:rsidRDefault="00E14121" w:rsidP="00E14121">
      <w:pPr>
        <w:pStyle w:val="NormalHanging12a"/>
      </w:pPr>
      <w:r w:rsidRPr="00D1505E">
        <w:lastRenderedPageBreak/>
        <w:t>F.</w:t>
      </w:r>
      <w:r w:rsidRPr="00D1505E">
        <w:tab/>
        <w:t>der henviser til, at fremme af mindretals sprog kan øge kendskabet til særlige lokale forhold, gøre det mere attraktivt for turisme og tilvejebringe økonomiske aktiviteter koblet sammen med kultur, uddannelse, håndværk og traditionelle produkter;</w:t>
      </w:r>
    </w:p>
    <w:p w14:paraId="04774CC9" w14:textId="77777777" w:rsidR="00E14121" w:rsidRPr="00D1505E" w:rsidRDefault="00E14121" w:rsidP="00E14121">
      <w:pPr>
        <w:pStyle w:val="NormalHanging12a"/>
      </w:pPr>
      <w:r w:rsidRPr="00D1505E">
        <w:t>G.</w:t>
      </w:r>
      <w:r w:rsidRPr="00D1505E">
        <w:tab/>
        <w:t>der henviser til, at covid-19-pandemien fremhævede en ændret opfattelse i befolkningen, der har anerkendt landdistrikters potentiale som en løsning på de udfordringer, der opstår på grund af kriser, for så vidt angår at tilvejebringe sikrere, mere bæredygtige og stabile livsbetingelser;</w:t>
      </w:r>
    </w:p>
    <w:p w14:paraId="6FC95FF5" w14:textId="77777777" w:rsidR="00E14121" w:rsidRPr="00D1505E" w:rsidRDefault="00E14121" w:rsidP="00E14121">
      <w:pPr>
        <w:pStyle w:val="NormalHanging12a"/>
      </w:pPr>
      <w:r w:rsidRPr="00D1505E">
        <w:t>H.</w:t>
      </w:r>
      <w:r w:rsidRPr="00D1505E">
        <w:tab/>
        <w:t>der henviser til, at midler fra samhørighedspolitikken alene ikke er løsningen på alle de behov og udfordringer, som landdistrikterne i EU står over for; der henviser til, at der skal sikres større synergi og komplementaritet med andre EU-politikker, navnlig med den fælles landbrugspolitik, for at maksimere virkningen af investeringer i landdistrikterne, fremme moderniseringen af landbruget og udviklingen af væsentlige tjenester og infrastruktur;</w:t>
      </w:r>
    </w:p>
    <w:p w14:paraId="1B7328E6" w14:textId="77777777" w:rsidR="00E14121" w:rsidRPr="00D1505E" w:rsidRDefault="00E14121" w:rsidP="00E14121">
      <w:pPr>
        <w:pStyle w:val="NormalHanging12a"/>
      </w:pPr>
      <w:r w:rsidRPr="00D1505E">
        <w:t>I.</w:t>
      </w:r>
      <w:r w:rsidRPr="00D1505E">
        <w:tab/>
        <w:t>der henviser til, at over 40 % af landdistrikternes areal bruges til landbrug, men at landbrugets, skovbrugets og fiskeriets bidrag til landdistrikterne desværre er faldet både for så vidt angår økonomi og beskæftigelse til 12 % af alle job og 4 % af bruttoværditilvæksten;</w:t>
      </w:r>
    </w:p>
    <w:p w14:paraId="2BF4D2CD" w14:textId="77777777" w:rsidR="00E14121" w:rsidRPr="00D1505E" w:rsidRDefault="00E14121" w:rsidP="00E14121">
      <w:pPr>
        <w:pStyle w:val="NormalHanging12a"/>
        <w:rPr>
          <w:szCs w:val="24"/>
        </w:rPr>
      </w:pPr>
      <w:r w:rsidRPr="00D1505E">
        <w:t>J.</w:t>
      </w:r>
      <w:r w:rsidRPr="00D1505E">
        <w:tab/>
        <w:t>der henviser til, at Parlamentets undersøgelse om fremtiden for den europæiske landbrugsmodel konstaterer, at EU kan have mistet 6,4 millioner bedrifter i 2040, et fald fra 10,3 millioner i 2016 til 3,9 millioner;</w:t>
      </w:r>
    </w:p>
    <w:p w14:paraId="6A47D4BE" w14:textId="77777777" w:rsidR="00E14121" w:rsidRPr="00D1505E" w:rsidRDefault="00E14121" w:rsidP="00E14121">
      <w:pPr>
        <w:pStyle w:val="NormalHanging12a"/>
      </w:pPr>
      <w:r w:rsidRPr="00D1505E">
        <w:t>K.</w:t>
      </w:r>
      <w:r w:rsidRPr="00D1505E">
        <w:tab/>
        <w:t>der henviser til, at EU i henhold til artikel 174, 175 og 349 i TEUF tilstræber at formindske forskellene mellem de forskellige områders udviklingsniveauer og koordinere sine politikker, herunder at anvende de europæiske struktur- og investeringsfonde til at indfri målsætningerne om økonomisk, social og territorial samhørighed med særlig fokus på landdistrikter;</w:t>
      </w:r>
    </w:p>
    <w:p w14:paraId="60B967CB" w14:textId="77777777" w:rsidR="00E14121" w:rsidRPr="00D1505E" w:rsidRDefault="00E14121" w:rsidP="00E14121">
      <w:pPr>
        <w:pStyle w:val="NormalHanging12a"/>
      </w:pPr>
      <w:r w:rsidRPr="00D1505E">
        <w:t>L.</w:t>
      </w:r>
      <w:r w:rsidRPr="00D1505E">
        <w:tab/>
        <w:t>der henviser til, at alle regioner fortsat skal være berettiget til finansiering i den fremtidige samhørighedspolitik, selv stærke regioner, der står over for betydelige udfordringer i forbindelse med omstilling;</w:t>
      </w:r>
    </w:p>
    <w:p w14:paraId="43CFD0BB" w14:textId="77777777" w:rsidR="00E14121" w:rsidRPr="00D1505E" w:rsidRDefault="00E14121" w:rsidP="00E14121">
      <w:pPr>
        <w:pStyle w:val="NormalHanging12a"/>
      </w:pPr>
      <w:r w:rsidRPr="00D1505E">
        <w:t>M.</w:t>
      </w:r>
      <w:r w:rsidRPr="00D1505E">
        <w:tab/>
        <w:t>der henviser til, at regionale aktører har en større forståelse af, hvilke projekter der bør prioriteres til støtte gennem samhørighedsfonde, for at sikre, at ressourcer tildeles, så de opfylder konkrete behov i deres territorier bedst muligt;</w:t>
      </w:r>
    </w:p>
    <w:p w14:paraId="168764B0" w14:textId="77777777" w:rsidR="00E14121" w:rsidRPr="00D1505E" w:rsidRDefault="00E14121" w:rsidP="00E14121">
      <w:pPr>
        <w:pStyle w:val="NormalHanging12a"/>
        <w:rPr>
          <w:szCs w:val="24"/>
        </w:rPr>
      </w:pPr>
      <w:r w:rsidRPr="00D1505E">
        <w:t>N.</w:t>
      </w:r>
      <w:r w:rsidRPr="00D1505E">
        <w:tab/>
        <w:t xml:space="preserve">der henviser til, at tildeling af samhørighedspolitiske midler til landdistrikter bør forenkles yderligere med det mål at mindske administrative byrder, ikke blot for de endelig støttemodtager, men også for de relevante myndigheder, og samtidig bidrage til en øget udnyttelsesgrad; </w:t>
      </w:r>
    </w:p>
    <w:p w14:paraId="632E63BD" w14:textId="77777777" w:rsidR="00E14121" w:rsidRPr="00D1505E" w:rsidRDefault="00E14121" w:rsidP="00E14121">
      <w:pPr>
        <w:pStyle w:val="NormalHanging12a"/>
      </w:pPr>
      <w:r w:rsidRPr="00D1505E">
        <w:t>O.</w:t>
      </w:r>
      <w:r w:rsidRPr="00D1505E">
        <w:tab/>
        <w:t xml:space="preserve">der henviser til, at navnlig landdistrikterne står over for demografiske og strukturelle udfordringer såsom aldring, befolkningsnedgang, hjerneflugt, voksende uligheder mellem mænd og kvinder, uligheder i forhold til byområder, strukturelle ændringer i landbrugs- og skovbrugssektoren, konsekvenserne af naturkatastrofer, stigende energi- og transportpriser, mangel på tjenester og infrastruktur, navnlig for sårbare personer og personer med handicap, disse udfordringers indvirkning på indkomstniveauet og på </w:t>
      </w:r>
      <w:r w:rsidRPr="00D1505E">
        <w:lastRenderedPageBreak/>
        <w:t>arbejdsmarkedet med en deraf følgende højere arbejdsløshed og en vedvarende stor digital kløft;</w:t>
      </w:r>
    </w:p>
    <w:p w14:paraId="05B54585" w14:textId="77777777" w:rsidR="00E14121" w:rsidRPr="00D1505E" w:rsidRDefault="00E14121" w:rsidP="00E14121">
      <w:pPr>
        <w:pStyle w:val="NormalHanging12a"/>
      </w:pPr>
      <w:r w:rsidRPr="00D1505E">
        <w:t>P.</w:t>
      </w:r>
      <w:r w:rsidRPr="00D1505E">
        <w:tab/>
        <w:t>der henviser til, at de demografiske udfordringer er særlig akutte i EU's landbrugsbefolkning, idet størstedelen af landbrugerne er over 50 år;</w:t>
      </w:r>
    </w:p>
    <w:p w14:paraId="1638BC76" w14:textId="77777777" w:rsidR="00E14121" w:rsidRPr="00D1505E" w:rsidRDefault="00E14121" w:rsidP="00E14121">
      <w:pPr>
        <w:pStyle w:val="NormalHanging12a"/>
        <w:rPr>
          <w:szCs w:val="24"/>
        </w:rPr>
      </w:pPr>
      <w:r w:rsidRPr="00D1505E">
        <w:t>Q.</w:t>
      </w:r>
      <w:r w:rsidRPr="00D1505E">
        <w:tab/>
        <w:t>der henviser til, at en styrkelse af samhørigheden i landdistrikterne kræver, at der vedtages foranstaltninger og initiativer, der har til formål at støtte familier, også ved at hjælpe unge og forældre med at skabe balance mellem familie- og arbejdsliv og dermed bidrage til en bæredygtig udvikling af disse samfund;</w:t>
      </w:r>
    </w:p>
    <w:p w14:paraId="19A2B6BD" w14:textId="77777777" w:rsidR="00E14121" w:rsidRPr="00D1505E" w:rsidRDefault="00E14121" w:rsidP="00E14121">
      <w:pPr>
        <w:pStyle w:val="NormalHanging12a"/>
        <w:rPr>
          <w:szCs w:val="24"/>
        </w:rPr>
      </w:pPr>
      <w:r w:rsidRPr="00D1505E">
        <w:t>R.</w:t>
      </w:r>
      <w:r w:rsidRPr="00D1505E">
        <w:tab/>
        <w:t>der henviser til, at Europas landdistrikter og de europæiske landbrugere allerede spiller en afgørende rolle i klimaomstillingen, da de er dem, der påvirkes mest af klimaændringer, både økonomisk og socialt, og at det er takket være deres indsats, at nogle af landbrugets negative aftryk på miljøet er blevet markant mindre gennem årene; der henviser til, at EU's landbrugssektor reducerede sine drivhusgasemissioner betydeligt med 24 % mellem 1990 og 2021, og at den er ansvarlig for 72 % af produktionen af vedvarende energi og besidder 78 % af det uudnyttede potentiale;</w:t>
      </w:r>
    </w:p>
    <w:p w14:paraId="12492929" w14:textId="77777777" w:rsidR="00E14121" w:rsidRPr="00D1505E" w:rsidRDefault="00E14121" w:rsidP="00E14121">
      <w:pPr>
        <w:pStyle w:val="NormalHanging12a"/>
        <w:rPr>
          <w:szCs w:val="24"/>
        </w:rPr>
      </w:pPr>
      <w:r w:rsidRPr="00D1505E">
        <w:t>S.</w:t>
      </w:r>
      <w:r w:rsidRPr="00D1505E">
        <w:tab/>
        <w:t>der henviser til, at demografiske forandringer ikke har en ensartet indvirkning på alle lande og regioner, men har en større indvirkning på mindre udviklede regioner, da de forværrer eksisterende territoriale og sociale uligheder; der henviser til, at der skal findes løsninger på regionale ubalancer og på det ujævne tempo i konvergensen mellem regioner, hvoraf nogle hænger fast i en udviklingsfælde; der henviser til, at mindre udviklede regioner kræver særlig opmærksomhed og støtte, som det er tilfældet med EU's landdistrikter og regionerne i den yderste periferi på grund af deres særlige karakteristika;</w:t>
      </w:r>
    </w:p>
    <w:p w14:paraId="1BBCBBB9" w14:textId="77777777" w:rsidR="00E14121" w:rsidRPr="00D1505E" w:rsidRDefault="00E14121" w:rsidP="00E14121">
      <w:pPr>
        <w:pStyle w:val="NormalHanging12a"/>
      </w:pPr>
      <w:r w:rsidRPr="00D1505E">
        <w:t>T.</w:t>
      </w:r>
      <w:r w:rsidRPr="00D1505E">
        <w:tab/>
        <w:t>der henviser til, at den procentdel af den samlede befolkning, der bor i landdistrikterne, er faldet væsentligt på EU-plan i de sidste 50 år, især som følge af aldring og fraflytning; der henviser til, at landdistrikterne har den højeste andel af mennesker over 65 år</w:t>
      </w:r>
      <w:r w:rsidRPr="00E64A4E">
        <w:rPr>
          <w:rStyle w:val="FootnoteReference"/>
        </w:rPr>
        <w:footnoteReference w:id="26"/>
      </w:r>
      <w:r w:rsidRPr="00E64A4E">
        <w:t>; der henviser til, at befolkningstallet i Europas landdistrikter i 2033</w:t>
      </w:r>
      <w:r w:rsidRPr="00A163DA">
        <w:t xml:space="preserve"> ifølge skøn vil være faldet med </w:t>
      </w:r>
      <w:r w:rsidRPr="00D1505E">
        <w:t>30 millioner sammenlignet med 1993;</w:t>
      </w:r>
    </w:p>
    <w:p w14:paraId="327A7A08" w14:textId="77777777" w:rsidR="00E14121" w:rsidRPr="00D1505E" w:rsidRDefault="00E14121" w:rsidP="00E14121">
      <w:pPr>
        <w:pStyle w:val="NormalHanging12a"/>
      </w:pPr>
      <w:r w:rsidRPr="00D1505E">
        <w:t>U.</w:t>
      </w:r>
      <w:r w:rsidRPr="00D1505E">
        <w:tab/>
        <w:t xml:space="preserve">der henviser til, at manglende eller begrænset adgang til sundhedsbehandling, vandforsyning, økonomisk overkommelige boliger, transport, digital infrastruktur, uddannelse, finansielle tjenesteydelser samt fritidsaktiviteter og kulturelle aktiviteter forværrer den negative opfattelse af regioner, navnlig landlige regioner, grænseregioner, indre regioner, regioner på tværs af grænserne, bjergregioner, </w:t>
      </w:r>
      <w:proofErr w:type="spellStart"/>
      <w:r w:rsidRPr="00D1505E">
        <w:t>øregioner</w:t>
      </w:r>
      <w:proofErr w:type="spellEnd"/>
      <w:r w:rsidRPr="00D1505E">
        <w:t xml:space="preserve"> og regioner i den yderste periferi, som områder, hvor man kan leve og arbejde, især for kvinder, unge, aldrende befolkningsgrupper og minoriteter; der henviser til, at områder på tværs af grænserne er særlig hårdt ramt af mangel på regional </w:t>
      </w:r>
      <w:proofErr w:type="spellStart"/>
      <w:r w:rsidRPr="00D1505E">
        <w:t>konnektivitet</w:t>
      </w:r>
      <w:proofErr w:type="spellEnd"/>
      <w:r w:rsidRPr="00D1505E">
        <w:t xml:space="preserve"> med hensyn til transportinfrastruktur og digital infrastruktur; der henviser til, at landdistrikter er hårdt ramt af mangel på varige beskæftigelsesmuligheder, hvilket tvinger unge, særligt kvinder, til at flytte;</w:t>
      </w:r>
    </w:p>
    <w:p w14:paraId="1FA845DF" w14:textId="77777777" w:rsidR="00E14121" w:rsidRPr="00D1505E" w:rsidRDefault="00E14121" w:rsidP="00E14121">
      <w:pPr>
        <w:pStyle w:val="NormalHanging12a"/>
      </w:pPr>
      <w:r w:rsidRPr="00D1505E">
        <w:lastRenderedPageBreak/>
        <w:t>V.</w:t>
      </w:r>
      <w:r w:rsidRPr="00D1505E">
        <w:tab/>
        <w:t>der henviser til, at tilgængeligheden og kvaliteten af vand spiller en afgørende rolle med hensyn til at sikre et retfærdigt, bæredygtigt og produktivt eksistensgrundlag i landdistrikterne;</w:t>
      </w:r>
    </w:p>
    <w:p w14:paraId="158D41FF" w14:textId="77777777" w:rsidR="00E14121" w:rsidRPr="00D1505E" w:rsidRDefault="00E14121" w:rsidP="00E14121">
      <w:pPr>
        <w:pStyle w:val="NormalHanging12a"/>
      </w:pPr>
      <w:r w:rsidRPr="00D1505E">
        <w:t>W.</w:t>
      </w:r>
      <w:r w:rsidRPr="00D1505E">
        <w:tab/>
        <w:t>der henviser til, at der i fremtiden skal fokuseres mere på forebyggende foranstaltninger for at øge Europas landdistrikters modstandsdygtighed over for naturkatastrofer; der henviser til, at en integreret tilgang til forvaltning af vandressourcer er afgørende både for at forebygge oversvømmelser og håndtere tørker, navnlig gennem en sammenhængende anvendelse af EU-midler;</w:t>
      </w:r>
    </w:p>
    <w:p w14:paraId="6729A023" w14:textId="77777777" w:rsidR="00E14121" w:rsidRPr="00D1505E" w:rsidRDefault="00E14121" w:rsidP="00E14121">
      <w:pPr>
        <w:pStyle w:val="NormalHanging12a"/>
      </w:pPr>
      <w:r w:rsidRPr="00D1505E">
        <w:t>X.</w:t>
      </w:r>
      <w:r w:rsidRPr="00D1505E">
        <w:tab/>
        <w:t>der henviser til, at landdistrikterne, navnlig i Øst- og Sydeuropa samt i Middelhavsområdet, er mest direkte berørt af energifattigdom og kæmper med specifikke udfordringer relateret til ørkendannelse, skovbrande, klimaændringer og de dermed forbundne asymmetriske risici, knaphed på vandressourcer og svag infrastruktur, hvilket kræver en målrettet tilgang inden for samhørighedspolitikken;</w:t>
      </w:r>
    </w:p>
    <w:p w14:paraId="42F14A03" w14:textId="77777777" w:rsidR="00E14121" w:rsidRPr="00D1505E" w:rsidRDefault="00E14121" w:rsidP="00E14121">
      <w:pPr>
        <w:pStyle w:val="NormalHanging12a"/>
      </w:pPr>
      <w:r w:rsidRPr="00D1505E">
        <w:t>Y.</w:t>
      </w:r>
      <w:r w:rsidRPr="00D1505E">
        <w:tab/>
        <w:t>der henviser til, at landdistrikterne er hjemsted for størstedelen af EU's biodiversitet, men at status for bevaring af beskyttede levesteder og arter fortsat er ringe og fortsætter med at falde på grund af klimaændringer og forringelse af jordbunds- og vandkvaliteten, hvilket har negative indvirkninger på naturressourcerne; der henviser til, at tab af biodiversitet har alvorlige økonomiske konsekvenser for landbrugssektoren og har en negativ indvirkning på det attraktive ved turisme i landdistrikter;</w:t>
      </w:r>
    </w:p>
    <w:p w14:paraId="3DB13320" w14:textId="77777777" w:rsidR="00E14121" w:rsidRPr="00D1505E" w:rsidRDefault="00E14121" w:rsidP="00E14121">
      <w:pPr>
        <w:pStyle w:val="NormalHanging12a"/>
        <w:rPr>
          <w:szCs w:val="24"/>
        </w:rPr>
      </w:pPr>
      <w:r w:rsidRPr="00D1505E">
        <w:t>Z.</w:t>
      </w:r>
      <w:r w:rsidRPr="00D1505E">
        <w:tab/>
        <w:t>der henviser til, at en omstilling til ren energi, diversificering af økonomien og udvidelse af vedvarende energikilder udgør betydelige muligheder for landdistrikter og mindre udviklede regioner, som giver dem mulighed for at få mere ud af deres naturressourcer og geografiske fordele og udnytte deres fulde potentiale for fremtidig produktion af vedvarende energi;</w:t>
      </w:r>
    </w:p>
    <w:p w14:paraId="52032AE4" w14:textId="77777777" w:rsidR="00E14121" w:rsidRPr="00D1505E" w:rsidRDefault="00E14121" w:rsidP="00E14121">
      <w:pPr>
        <w:pStyle w:val="NormalHanging12a"/>
      </w:pPr>
      <w:r w:rsidRPr="00D1505E">
        <w:t>AA.</w:t>
      </w:r>
      <w:r w:rsidRPr="00D1505E">
        <w:tab/>
        <w:t>der henviser til, at sådanne regioner er værst ramt af affolkning, og at især unge forlader disse områder på grund af manglende job- og karrieremuligheder, hvilket forstærker afvandringen fra landdistrikterne og medfører en stigning i andelen af ældre og en større risiko for social isolation;</w:t>
      </w:r>
    </w:p>
    <w:p w14:paraId="5E91459E" w14:textId="77777777" w:rsidR="00E14121" w:rsidRPr="00A163DA" w:rsidRDefault="00E14121" w:rsidP="00E14121">
      <w:pPr>
        <w:pStyle w:val="NormalHanging12a"/>
      </w:pPr>
      <w:r w:rsidRPr="00D1505E">
        <w:t>AB.</w:t>
      </w:r>
      <w:r w:rsidRPr="00D1505E">
        <w:tab/>
        <w:t>der henviser til, at landdistrikter har den højeste andel (12,6 %) af unge i alderen 15-29 år</w:t>
      </w:r>
      <w:r w:rsidRPr="00E64A4E">
        <w:rPr>
          <w:vertAlign w:val="superscript"/>
        </w:rPr>
        <w:footnoteReference w:id="27"/>
      </w:r>
      <w:r w:rsidRPr="00E64A4E">
        <w:t>, som ikke er i beskæftigelse eller under uddannelse (</w:t>
      </w:r>
      <w:proofErr w:type="spellStart"/>
      <w:r w:rsidRPr="00E64A4E">
        <w:t>NEET'er</w:t>
      </w:r>
      <w:proofErr w:type="spellEnd"/>
      <w:r w:rsidRPr="00E64A4E">
        <w:t>);</w:t>
      </w:r>
    </w:p>
    <w:p w14:paraId="0628A19B" w14:textId="77777777" w:rsidR="00E14121" w:rsidRPr="00D1505E" w:rsidRDefault="00E14121" w:rsidP="00E14121">
      <w:pPr>
        <w:pStyle w:val="NormalHanging12a"/>
      </w:pPr>
      <w:r w:rsidRPr="00D1505E">
        <w:t>AC.</w:t>
      </w:r>
      <w:r w:rsidRPr="00D1505E">
        <w:tab/>
        <w:t>der henviser til, at generationsskifte er et af de ni centrale mål for den fælles landbrugspolitik;</w:t>
      </w:r>
    </w:p>
    <w:p w14:paraId="5FCC7DAA" w14:textId="77777777" w:rsidR="00E14121" w:rsidRPr="00D1505E" w:rsidRDefault="00E14121" w:rsidP="00E14121">
      <w:pPr>
        <w:pStyle w:val="NormalHanging12a"/>
      </w:pPr>
      <w:r w:rsidRPr="00D1505E">
        <w:t>AD.</w:t>
      </w:r>
      <w:r w:rsidRPr="00D1505E">
        <w:tab/>
        <w:t>der henviser til, at der hver dag rundt om i Europa er landbrugsbedrifter, malkekvægbedrifter, vindyrkere og olivenolieproducenter, som ophører med deres virksomhed, og at kun få bedrifter af denne type drives af landbrugere på under 35 år; der henviser til, at de ambitiøse mål for den grønne omstilling indebærer muligheder, men også risici for den økonomiske, sociale og territoriale samhørighed samt for det europæiske landbrug;</w:t>
      </w:r>
    </w:p>
    <w:p w14:paraId="42FDD21A" w14:textId="77777777" w:rsidR="00E14121" w:rsidRPr="00D1505E" w:rsidRDefault="00E14121" w:rsidP="00E14121">
      <w:pPr>
        <w:pStyle w:val="NormalHanging12a"/>
      </w:pPr>
      <w:r w:rsidRPr="00D1505E">
        <w:t>AE.</w:t>
      </w:r>
      <w:r w:rsidRPr="00D1505E">
        <w:tab/>
        <w:t xml:space="preserve">der henviser til, at den måde, hvorpå vi producerer fødevarer, har formet de landskaber, der er kendetegnende for Europa; der henviser til, at dynamiske landdistrikter fremmer </w:t>
      </w:r>
      <w:r w:rsidRPr="00D1505E">
        <w:lastRenderedPageBreak/>
        <w:t>produktion af fødevarer af høj kvalitet, hvilket til gengæld understøtter deres økonomi; der henviser til, at det vil være afgørende for det europæiske landbrugs fremtid at puste nyt liv i disse forbindelser mellem fødevarer og områder og skabe ny dynamik i landdistrikterne;</w:t>
      </w:r>
    </w:p>
    <w:p w14:paraId="1E720624" w14:textId="77777777" w:rsidR="00E14121" w:rsidRPr="00D1505E" w:rsidRDefault="00E14121" w:rsidP="00E14121">
      <w:pPr>
        <w:pStyle w:val="NormalHanging12a"/>
        <w:rPr>
          <w:szCs w:val="24"/>
        </w:rPr>
      </w:pPr>
      <w:r w:rsidRPr="00D1505E">
        <w:t>AF.</w:t>
      </w:r>
      <w:r w:rsidRPr="00D1505E">
        <w:tab/>
        <w:t>der henviser til, at en robust samhørighedspolitik er afgørende for at sikre en effektiv anvendelse af princippet om "retten til at blive boende" i landdistrikterne, hvilket kræver handling på mange niveauer, herunder ved at fremme økonomisk stabilitet og forhindre affolkning; understreger, at det er afgørende nødvendigt at sikre adgang til en række basale offentlige goder og tjenesteydelser for alle borgere, navnlig unge, uanset hvor de bor; der henviser til, at det med henblik herpå er nødvendigt at fremme målrettede investeringer i infrastruktur, tjenesteydelser, uddannelse og innovation;</w:t>
      </w:r>
    </w:p>
    <w:p w14:paraId="17624CA0" w14:textId="77777777" w:rsidR="00E14121" w:rsidRPr="00D1505E" w:rsidRDefault="00E14121" w:rsidP="00E14121">
      <w:pPr>
        <w:pStyle w:val="NormalHanging12a"/>
      </w:pPr>
      <w:r w:rsidRPr="00D1505E">
        <w:t>1.</w:t>
      </w:r>
      <w:r w:rsidRPr="00D1505E">
        <w:tab/>
        <w:t>glæder sig over Kommissionens rapport af 27. marts 2024 "Den langsigtede vision for EU's landdistrikter – de vigtigste resultater og vejen frem" og tilslutter sig de overordnede mål;</w:t>
      </w:r>
    </w:p>
    <w:p w14:paraId="31225CC9" w14:textId="77777777" w:rsidR="00E14121" w:rsidRPr="00D1505E" w:rsidRDefault="00E14121" w:rsidP="00E14121">
      <w:pPr>
        <w:pStyle w:val="NormalHanging12a"/>
        <w:rPr>
          <w:szCs w:val="24"/>
        </w:rPr>
      </w:pPr>
      <w:r w:rsidRPr="00D1505E">
        <w:t>2.</w:t>
      </w:r>
      <w:r w:rsidRPr="00D1505E">
        <w:tab/>
        <w:t xml:space="preserve">noterer sig de fire indsatsområder, der ligger til grund for visionen for landdistrikterne, og de 30 tiltag, som udgør EU's handlingsplan for landdistrikterne; opfordrer Kommissionen og medlemsstaterne til at sætte gennemførelsen af visionen øverst på dagsordenen; </w:t>
      </w:r>
    </w:p>
    <w:p w14:paraId="0E4E4983" w14:textId="77777777" w:rsidR="00E14121" w:rsidRPr="00D1505E" w:rsidRDefault="00E14121" w:rsidP="00E14121">
      <w:pPr>
        <w:pStyle w:val="NormalHanging12a"/>
      </w:pPr>
      <w:r w:rsidRPr="00D1505E">
        <w:t>3.</w:t>
      </w:r>
      <w:r w:rsidRPr="00D1505E">
        <w:tab/>
        <w:t>understreger landdistrikternes vigtighed for orienteringen af de enkelte medlemsstaters økonomiske modeller og sociale og territoriale organisering, især som kilde til landbrugs- og fødevareproduktion, men også som forvaltere af en uerstattelig kultur- og landskabsarv; bemærker imidlertid, at deres betydning fortsat er undervurderet og utilstrækkeligt finansieret; mener, at EU har pligt til at skubbe på for en reel revitalisering og genopretning af disse områder og gøre en ekstra indsats for at udstyre vores landdistrikter med de rigtige redskaber til at overvinde de betydelige langsigtede udfordringer, som de står over for, og som i stadig stigende grad indvirker på den regionale konkurrenceevne og sociale samhørighed, med henblik på at bevare den europæiske diversitet og sikre, at udviklingen i EU ikke sker på bekostning af landdistrikterne og deres befolkninger;</w:t>
      </w:r>
    </w:p>
    <w:p w14:paraId="6C66ECCC" w14:textId="77777777" w:rsidR="00E14121" w:rsidRPr="00D1505E" w:rsidRDefault="00E14121" w:rsidP="00E14121">
      <w:pPr>
        <w:pStyle w:val="NormalHanging12a"/>
      </w:pPr>
      <w:r w:rsidRPr="00D1505E">
        <w:t>4.</w:t>
      </w:r>
      <w:r w:rsidRPr="00D1505E">
        <w:tab/>
        <w:t>anser det for vigtigt at udvikle korte forsyningskæder og fremme anvendelsen af mærkningsordninger til at anerkende kvaliteten og variationen af traditionelle produkter fra landdistrikter; understreger, at offentlige kantiner såsom skole- og hospitalskantiner kan spille en betydelig rolle i udviklingen af korte landbrugsfødevareforsyningskæder;</w:t>
      </w:r>
    </w:p>
    <w:p w14:paraId="43972F84" w14:textId="77777777" w:rsidR="00E14121" w:rsidRPr="00D1505E" w:rsidRDefault="00E14121" w:rsidP="00E14121">
      <w:pPr>
        <w:pStyle w:val="NormalHanging12a"/>
      </w:pPr>
      <w:r w:rsidRPr="00D1505E">
        <w:t>5.</w:t>
      </w:r>
      <w:r w:rsidRPr="00D1505E">
        <w:tab/>
        <w:t>anerkender den centrale rolle, der spilles af små og mellemstore byer som udviklingscentre i landdistrikter, og opfordrer Kommissionen og medlemsstaterne til specifikt at styrke deres økonomiske, sociale og infrastrukturelle funktioner, skabe nyt liv i bycentre, udnytte synergier mellem landdistrikter og storbyregioner bedre og sikre en mere afbalanceret territorial udvikling;</w:t>
      </w:r>
    </w:p>
    <w:p w14:paraId="1A06B9E4" w14:textId="77777777" w:rsidR="00E14121" w:rsidRPr="00D1505E" w:rsidRDefault="00E14121" w:rsidP="00E14121">
      <w:pPr>
        <w:pStyle w:val="NormalHanging12a"/>
      </w:pPr>
      <w:r w:rsidRPr="00D1505E">
        <w:t>6.</w:t>
      </w:r>
      <w:r w:rsidRPr="00D1505E">
        <w:tab/>
        <w:t>fremhæver, at der er akut behov for foranstaltninger til at bekæmpe fattigdom i landdistrikter ved at udarbejde målrettede strategier til at forbedre social sikring, skabe økonomiske muligheder og støtte navnlig dårligt stillede befolkningsgrupper for at bryde fattigdomscirklen;</w:t>
      </w:r>
    </w:p>
    <w:p w14:paraId="0F1618A1" w14:textId="77777777" w:rsidR="00E14121" w:rsidRPr="00D1505E" w:rsidRDefault="00E14121" w:rsidP="00E14121">
      <w:pPr>
        <w:pStyle w:val="NormalHanging12a"/>
      </w:pPr>
      <w:r w:rsidRPr="00D1505E">
        <w:lastRenderedPageBreak/>
        <w:t>7.</w:t>
      </w:r>
      <w:r w:rsidRPr="00D1505E">
        <w:tab/>
        <w:t>understreger, at landdistrikterne er centrale aktører med hensyn til at afbøde virkningerne af klimaændringerne; betoner, at der er behov for større investeringer i forskning og innovation i landdistrikter, navnlig inden for bæredygtigt landbrug, vedvarende energi, digital omstilling og innovative mobilitetsløsninger, for at øge landdistrikters konkurrenceevne og robusthed og skabe selvforsyning med energi og nye beskæftigelsesmuligheder; tilskynder til bæredygtig forvaltning af skove og forebyggelse af skovbrande, også ved at fremme anvendelsen af biomasse, der indsamles uden at skade skovøkosystemerne;</w:t>
      </w:r>
    </w:p>
    <w:p w14:paraId="5DBB7FD3" w14:textId="77777777" w:rsidR="00E14121" w:rsidRPr="00D1505E" w:rsidRDefault="00E14121" w:rsidP="00E14121">
      <w:pPr>
        <w:pStyle w:val="NormalHanging12a"/>
      </w:pPr>
      <w:r w:rsidRPr="00D1505E">
        <w:t>8.</w:t>
      </w:r>
      <w:r w:rsidRPr="00D1505E">
        <w:tab/>
        <w:t>opfordrer til en udbygning af vedvarende energi i landdistrikter, baseret på deres potentiale til at reducere energiomkostninger med inddragelse af civil- og lokalsamfund; understreger, at der er behov for finansielle incitamenter, foranstaltninger såsom VE-fællesskaber og forenklede administrative processer for at styrke den regionale energiuafhængighed og bæredygtighed og samtidig undgå negative indvirkninger på fødevareproduktion, jordtilgængelighed og -priser samt på den sociale samhørighed; opfordrer til en særlig finansieringsmekanisme til installation af solcelleenergi, vindenergi og andre vedvarende energikilder;</w:t>
      </w:r>
    </w:p>
    <w:p w14:paraId="7D23A95A" w14:textId="77777777" w:rsidR="00E14121" w:rsidRPr="00D1505E" w:rsidRDefault="00E14121" w:rsidP="00E14121">
      <w:pPr>
        <w:pStyle w:val="NormalHanging12a"/>
        <w:rPr>
          <w:szCs w:val="24"/>
        </w:rPr>
      </w:pPr>
      <w:r w:rsidRPr="00D1505E">
        <w:t>9.</w:t>
      </w:r>
      <w:r w:rsidRPr="00D1505E">
        <w:tab/>
        <w:t>opfordrer til øget støtte til bevarelse, restaurering og ombygning af ældre bygninger, herunder historiske bygninger, kirker og andre religiøse samlingssteder, sportshaller og skoler i landdistrikter for at forbedre energieffektiviteten, bæredygtigheden og sikkerheden; opfordrer indtrængende til investeringer i modernisering af den offentlige infrastruktur, samtidig med at historiske strukturer bevares, hvor det er muligt; opfordrer Kommissionen og medlemsstaterne til at fremme målrettede politikker, der støtter renovering og energieffektiv opgradering af boliger i landdistrikter, økonomiske incitamenter for førstegangsboligkøbere i landdistrikter, navnlig unge mennesker og familier, og udvikling af projekter for bæredygtigt socialt boligbyggeri til en overkommelig pris og tilpasset lokalsamfundenes behov, som bidrager til at gøre disse regioner attraktive og bringe nyt liv til dem;</w:t>
      </w:r>
    </w:p>
    <w:p w14:paraId="5C24CA85" w14:textId="77777777" w:rsidR="00E14121" w:rsidRPr="00D1505E" w:rsidRDefault="00E14121" w:rsidP="00E14121">
      <w:pPr>
        <w:pStyle w:val="NormalHanging12a"/>
        <w:rPr>
          <w:szCs w:val="24"/>
        </w:rPr>
      </w:pPr>
      <w:r w:rsidRPr="00D1505E">
        <w:t>10.</w:t>
      </w:r>
      <w:r w:rsidRPr="00D1505E">
        <w:tab/>
        <w:t>anmoder Kommissionen om at vurdere og gennemføre artikel 174, 175 og 349 i TEUF fuldt ud for at lukke udviklingskløften mellem regionerne, herunder med hensyn til infrastruktur, og sørge for, at alle EU-politikker ikke blot anvender princippet om "ikke at skade samhørigheden", men også at de følger en mere kategorisk tilgang til "fremme af samhørighed", hvor det er muligt, navnlig i landdistrikter og i områder, der er særligt berørt af den industrielle omstilling, demografiske udfordringer og affolkning, og dem, der er i risiko for affolkning såsom regioner i den yderste periferi, øer, grænseregioner, regioner på tværs af grænserne og bjergregioner;</w:t>
      </w:r>
    </w:p>
    <w:p w14:paraId="0A7A2EA8" w14:textId="77777777" w:rsidR="00E14121" w:rsidRPr="00D1505E" w:rsidRDefault="00E14121" w:rsidP="00E14121">
      <w:pPr>
        <w:pStyle w:val="NormalHanging12a"/>
      </w:pPr>
      <w:r w:rsidRPr="00D1505E">
        <w:t>11.</w:t>
      </w:r>
      <w:r w:rsidRPr="00D1505E">
        <w:tab/>
        <w:t xml:space="preserve">opfordrer Kommissionen til at udvikle en strategi for landdistrikterne med henblik på programmeringen efter 2027; opfordrer indtrængende Kommissionen og medlemsstaterne til at sikre, at der indarbejdes en landdistriktsdimension i de relevante politikker, og sikre, at strategien fremmer den økonomiske og sociale udvikling i landdistrikterne, og til at afsætte specifikke ressourcer til en modernisering af landbruget, der støtter små og mellemstore virksomheder (SMV'er) og nystartede virksomheder i landdistrikterne og fremmer korte forsyningskæder med henblik på at gøre landdistrikterne mere forbundne, konkurrencedygtige, modstandsdygtige og attraktive for unge og investorer og dermed sikre en afbalanceret og bæredygtig udvikling på lang sigt og forbedre livskvaliteten; understreger i den forbindelse vigtigheden af at have en virkelig effektiv proofingmekanisme for landdistrikterne på </w:t>
      </w:r>
      <w:r w:rsidRPr="00D1505E">
        <w:lastRenderedPageBreak/>
        <w:t>EU-niveau med henblik på at vurdere potentialet i alle relevante politikker og afbøde eventuelle negative indvirkninger, som de måtte have på landdistrikterne;</w:t>
      </w:r>
    </w:p>
    <w:p w14:paraId="0C5C8A72" w14:textId="77777777" w:rsidR="00E14121" w:rsidRPr="00D1505E" w:rsidRDefault="00E14121" w:rsidP="00E14121">
      <w:pPr>
        <w:pStyle w:val="NormalHanging12a"/>
      </w:pPr>
      <w:r w:rsidRPr="00D1505E">
        <w:t>12.</w:t>
      </w:r>
      <w:r w:rsidRPr="00D1505E">
        <w:tab/>
        <w:t>understreger, at det for at sikre velstand i landdistrikter på lang sigt og støtte en stærk landbrugssektor til at opretholde denne velstand i landdistrikterne er afgørende at styrke synergierne mellem EU's struktur- og investeringsfonde og Horisont Europa, EU's flagskibsprogram for forskning og innovation og den fælles landbrugspolitik i den næste flerårige finansielle ramme (FFR);</w:t>
      </w:r>
    </w:p>
    <w:p w14:paraId="5537FFB8" w14:textId="77777777" w:rsidR="00E14121" w:rsidRPr="00D1505E" w:rsidRDefault="00E14121" w:rsidP="00E14121">
      <w:pPr>
        <w:pStyle w:val="NormalHanging12a"/>
      </w:pPr>
      <w:r w:rsidRPr="00D1505E">
        <w:t>13.</w:t>
      </w:r>
      <w:r w:rsidRPr="00D1505E">
        <w:tab/>
        <w:t>opfordrer Kommissionen til senest i 2027 at fremlægge en rapport om anvendelsen af proofingmekanismen for landdistrikterne på politikker og indgreb på EU-niveau samt om de opnåede resultater;</w:t>
      </w:r>
    </w:p>
    <w:p w14:paraId="605A1A8C" w14:textId="77777777" w:rsidR="00E14121" w:rsidRPr="00D1505E" w:rsidRDefault="00E14121" w:rsidP="00E14121">
      <w:pPr>
        <w:pStyle w:val="NormalHanging12a"/>
      </w:pPr>
      <w:r w:rsidRPr="00D1505E">
        <w:t>14.</w:t>
      </w:r>
      <w:r w:rsidRPr="00D1505E">
        <w:tab/>
        <w:t>opfordrer Kommissionen til at prioritere målrettede investeringer og politiske foranstaltninger til støtte for overgangen til en ny generation af landbrugere for at modernisere EU's landbrug og skabe flere muligheder i landdistrikterne;</w:t>
      </w:r>
    </w:p>
    <w:p w14:paraId="7BB94B7E" w14:textId="77777777" w:rsidR="00E14121" w:rsidRPr="00D1505E" w:rsidRDefault="00E14121" w:rsidP="00E14121">
      <w:pPr>
        <w:pStyle w:val="NormalHanging12a"/>
      </w:pPr>
      <w:r w:rsidRPr="00D1505E">
        <w:t>15.</w:t>
      </w:r>
      <w:r w:rsidRPr="00D1505E">
        <w:tab/>
        <w:t>fremhæver samhørighedspolitikkens vigtige rolle for udviklingen af landdistrikterne som et decentraliseret, effektivt redskab til økonomisk og social udvikling, der giver alle regioner mulighed for at tackle disse specifikke udfordringer i Unionen; understreger i den forbindelse, at samhørighedspolitikken fortsat bør være en central søjle i FFR efter 2027 med en tildeling, der opretholdes på en minimumstærskel svarende til det nuværende FFR-niveau for 2021-2027, der sikrer dens grundlæggende rolle med hensyn til at mindske regionale forskelle og udforme et mere modstandsdygtigt og konkurrencedygtigt Europa, der ikke lader nogen i stikken; opfordrer til, at muligheden for at stille tilstrækkelige ressourcer til rådighed for landdistrikter og bjergområder undersøges i den næste samhørighedspolitiske ramme og til at supplere BNP på regionalt plan med andre indikatorer; minder om, at de grundlæggende principper i samhørighedspolitikken såsom partnerskab, flerniveaustyring, en stedbaseret tilgang og delt forvaltning, skal respekteres for at fremme udvikling og opfylde de specifikke behov og udfordringer i landdistrikterne med særligt fokus på værktøjer til støtte for bæredygtig vækst og udvikling og ungdoms- og kvindebeskæftigelse, herunder blandt ofre for vold mod kvinder, og forbedre tjenester og infrastruktur;</w:t>
      </w:r>
    </w:p>
    <w:p w14:paraId="0E920A6D" w14:textId="77777777" w:rsidR="00E14121" w:rsidRPr="00D1505E" w:rsidRDefault="00E14121" w:rsidP="00E14121">
      <w:pPr>
        <w:pStyle w:val="NormalHanging12a"/>
      </w:pPr>
      <w:r w:rsidRPr="00D1505E">
        <w:t>16.</w:t>
      </w:r>
      <w:r w:rsidRPr="00D1505E">
        <w:tab/>
        <w:t>mener, at strategier for intelligent specialisering og økonomisk diversificering kan fremhjælpe flere muligheder i landdistrikter; understreger navnlig den afgørende betydning af at integrere begrebet intelligente landsbyer i samhørighedspolitikken og udtrykkeligt støtte udviklingen af intelligente landsbyer med fleksibel finansiering og en integreret tilgang som et innovativt redskab til at forbedre livskvaliteten og puste nyt liv i landdistrikter og tjenester gennem digital og social innovation og initiativer såsom fremme af arbejdspladser med henblik på at tiltrække arbejdstagere, herunder telearbejdere, og bidrage til at puste nyt liv i lokale økonomier;</w:t>
      </w:r>
    </w:p>
    <w:p w14:paraId="13A6AF92" w14:textId="77777777" w:rsidR="00E14121" w:rsidRPr="00D1505E" w:rsidRDefault="00E14121" w:rsidP="00E14121">
      <w:pPr>
        <w:pStyle w:val="NormalHanging12a"/>
        <w:rPr>
          <w:szCs w:val="24"/>
        </w:rPr>
      </w:pPr>
      <w:r w:rsidRPr="00D1505E">
        <w:t>17.</w:t>
      </w:r>
      <w:r w:rsidRPr="00D1505E">
        <w:tab/>
        <w:t>tilskynder til initiativer, der fremmer økonomisk og social bæredygtighed, herunder støtte til iværksætteri og turisme i landdistrikterne og nye forretningsmodeller baseret på innovation og digitalisering;</w:t>
      </w:r>
    </w:p>
    <w:p w14:paraId="7CAA41D0" w14:textId="77777777" w:rsidR="00E14121" w:rsidRPr="00D1505E" w:rsidRDefault="00E14121" w:rsidP="00E14121">
      <w:pPr>
        <w:pStyle w:val="NormalHanging12a"/>
      </w:pPr>
      <w:r w:rsidRPr="00D1505E">
        <w:t>18.</w:t>
      </w:r>
      <w:r w:rsidRPr="00D1505E">
        <w:tab/>
        <w:t xml:space="preserve">opfordrer Kommissionen til at sikre, at den fremtidige samhørighedspolitik har et skarpt og helhedsorienteret fokus på udviklingen af landdistrikter på en sådan måde, at alle politiske initiativer er i overensstemmelse med målet om at mindske territoriale </w:t>
      </w:r>
      <w:r w:rsidRPr="00D1505E">
        <w:lastRenderedPageBreak/>
        <w:t>forskelle; mener, at det er afgørende at udstikke langsigtede strategier til støtte for landdistrikterne, hvor princippet om samhørighed og bæredygtighed står i centrum, og som tilvejebringer de nødvendige redskaber til at tackle demografiske, sociale og økonomiske udfordringer for at sikre, at disse områder ikke sakker agterud, men kan blive centrale aktører i Europas fremtid uden kontinuerligt at skulle være afhængige af særforanstaltninger; opfordrer i den forbindelse Kommissionen til at støtte en betydelig udvikling af landdistrikterne i den fremtidige samhørighedspolitik og til at bestræbe sig på at etablere lokale infosteder og tilbyde en platform og økonomisk støtte, så medlemsstaterne kan udveksle oplysninger og bedste praksis om finansieringsmuligheder med henblik på at støtte de lokale myndigheder effektivt og bistå med forvaltningen af ressourcer og gennemførelsen af udviklingsinitiativer; understreger desuden, at effektiv deltagelse af regionale og lokale myndigheder samt myndigheder i landdistrikterne er afgørende for at mindske den overdrevne administrative byrde og de komplekse krav for modtagerne og for effektivt at udnytte midlerne fra samhørighedspolitikken; fremhæver, at multifinansiering stadig synes vanskelig i nogle lande, og opfordrer Kommissionen til at øge komplementariteten mellem midlerne fra ELFUL og samhørighedspolitikken;</w:t>
      </w:r>
    </w:p>
    <w:p w14:paraId="2AABB73C" w14:textId="77777777" w:rsidR="00E14121" w:rsidRPr="00D1505E" w:rsidRDefault="00E14121" w:rsidP="00E14121">
      <w:pPr>
        <w:pStyle w:val="NormalHanging12a"/>
      </w:pPr>
      <w:r w:rsidRPr="00D1505E">
        <w:t>19.</w:t>
      </w:r>
      <w:r w:rsidRPr="00D1505E">
        <w:tab/>
        <w:t>understreger behovet for en integreret europæisk strategi for at puste nyt liv i landdistrikterne, herunder gennem udvikling af økodistrikter, og anerkender deres potentiale med hensyn til at diversificere landdistrikternes økonomi ved at målrette de skattemæssige, økonomiske og sociale foranstaltninger mod fastholdelsen af den aktive befolkning; fremhæver desuden værdien af at indføre incitamenter til flytning af medarbejdere inden for sundhed, uddannelse og offentlig forvaltning samt vigtigheden af partnerskaber mellem lokale myndigheder og den private sektor med henblik på skabelse af nye job;</w:t>
      </w:r>
    </w:p>
    <w:p w14:paraId="18A13737" w14:textId="77777777" w:rsidR="00E14121" w:rsidRPr="00D1505E" w:rsidRDefault="00E14121" w:rsidP="00E14121">
      <w:pPr>
        <w:pStyle w:val="NormalHanging12a"/>
      </w:pPr>
      <w:r w:rsidRPr="00D1505E">
        <w:t>20.</w:t>
      </w:r>
      <w:r w:rsidRPr="00D1505E">
        <w:tab/>
        <w:t>understreger, at en udvidelse af planerne for integrerede territoriale investeringer og udnyttelse af deres fulde potentiale kan gøre dem til en grundpille i den integrerede udvikling regionalt, lokalt og i landdistrikter; fremhæver, at det er afgørende at styrke rollen for integrerede territoriale investeringer i landdistrikter med henblik på at fremme territorial samhørighed, forbedre konnektiviteten og sætte skub i inklusiv økonomisk vækst ved at støtte centrale sektorer såsom landbrug samt SMV'er, turisme og vedvarende energi i landdistrikter; opfordrer desuden til større fleksibilitet i gennemførelsen af integrerede territoriale investeringer, øgede finansielle bevillinger og styrkede synergier med andre EU</w:t>
      </w:r>
      <w:r w:rsidRPr="00D1505E">
        <w:noBreakHyphen/>
        <w:t>finansieringsmekanismer, herunder Leader og lokaludvikling styret af lokalsamfundet, som er centrale instrumenter til at fremme bottom</w:t>
      </w:r>
      <w:r w:rsidRPr="00D1505E">
        <w:noBreakHyphen/>
        <w:t>up</w:t>
      </w:r>
      <w:r w:rsidRPr="00D1505E">
        <w:noBreakHyphen/>
        <w:t>deltagerbaseret udvikling af landdistrikterne og til at bevare og genskabe dynamiske og blomstrende lokale økonomier i landdistrikterne, med henblik på at maksimere indvirkningen og aktivt inddrage regionale og lokale myndigheder samt civilsamfundet i overensstemmelse med partnerskabsprincippet;</w:t>
      </w:r>
    </w:p>
    <w:p w14:paraId="7BCFF837" w14:textId="77777777" w:rsidR="00E14121" w:rsidRPr="00D1505E" w:rsidRDefault="00E14121" w:rsidP="00E14121">
      <w:pPr>
        <w:pStyle w:val="NormalHanging12a"/>
      </w:pPr>
      <w:r w:rsidRPr="00D1505E">
        <w:t>21.</w:t>
      </w:r>
      <w:r w:rsidRPr="00D1505E">
        <w:tab/>
        <w:t>foreslår, at alle af Kommissionens relevante generaldirektorater foretager en territorial konsekvensanalyse af deres respektive politikker mindst to gange pr. programmeringsperiode; er overbevist om, at der ved hjælp af sådanne evalueringer vil kunne skabes et mere præcist udgangspunkt og udpeges måder, hvorpå landdistrikternes særtræk kan integreres mere effektivt i EU's politikker;</w:t>
      </w:r>
    </w:p>
    <w:p w14:paraId="747261DE" w14:textId="77777777" w:rsidR="00E14121" w:rsidRPr="00D1505E" w:rsidRDefault="00E14121" w:rsidP="00E14121">
      <w:pPr>
        <w:pStyle w:val="NormalHanging12a"/>
        <w:rPr>
          <w:szCs w:val="24"/>
        </w:rPr>
      </w:pPr>
      <w:r w:rsidRPr="00D1505E">
        <w:t>22.</w:t>
      </w:r>
      <w:r w:rsidRPr="00D1505E">
        <w:tab/>
        <w:t xml:space="preserve">opfordrer medlemsstaterne til at gøre fuld brug af alle foranstaltninger til støtte for landdistrikter, indre regioner, bjergregioner, øregioner og regioner i den yderste periferi samt regioner på tværs af grænserne og regioner ved EU's ydre grænser, herunder dem, </w:t>
      </w:r>
      <w:r w:rsidRPr="00D1505E">
        <w:lastRenderedPageBreak/>
        <w:t>som grænser op til Rusland, Belarus og Ukraine, og som er hårdest ramt af krigen, for at afbøde den økonomiske forstyrrelse og sikre deres fremtid og velstand; glæder sig over den nye BRIDGEforEU</w:t>
      </w:r>
      <w:r w:rsidRPr="00D1505E">
        <w:noBreakHyphen/>
        <w:t>forordning og opfordrer medlemsstaterne til at gennemføre den og øge samarbejdet mellem regioner på tværs af grænserne for at muliggøre stordriftsfordele, når der tilvejebringes basale tjenesteydelser og infrastruktur i de berørte landdistrikter;</w:t>
      </w:r>
    </w:p>
    <w:p w14:paraId="632186A5" w14:textId="77777777" w:rsidR="00E14121" w:rsidRPr="00D1505E" w:rsidRDefault="00E14121" w:rsidP="00E14121">
      <w:pPr>
        <w:pStyle w:val="NormalHanging12a"/>
      </w:pPr>
      <w:r w:rsidRPr="00D1505E">
        <w:t>23.</w:t>
      </w:r>
      <w:r w:rsidRPr="00D1505E">
        <w:tab/>
        <w:t>understreger mangfoldigheden i EU's landdistrikter, for hvilke en langsigtet vision kræver løsninger, der er skræddersyet til landdistrikternes behov og ressourcer, samtidig med at langsigtede strategier for bæredygtig vækst styrkes; understreger i den henseende behovet for fuldt ud at inddrage lokale og regionale myndigheder, som har de bedste forudsætninger for at klarlægge de aktuelle udfordringer og behov på regionalt og lokalt niveau; fremhæver vigtigheden af at bevare en decentraliseret model for programmering og gennemførelse af samhørighedspolitikken baseret på princippet om partnerskab og flerniveaustyring og en stedbaseret bottom</w:t>
      </w:r>
      <w:r w:rsidRPr="00D1505E">
        <w:noBreakHyphen/>
        <w:t>up</w:t>
      </w:r>
      <w:r w:rsidRPr="00D1505E">
        <w:noBreakHyphen/>
        <w:t>tilgang; opfordrer derfor til en omfattende inddragelse af de regionale og lokale myndigheder for at sikre, at de lokale og regionale myndigheder har mere direkte adgang til midler fra samhørighedspolitikken, ved at den bureaukratiske kompleksitet reduceres, og tempoet i udbetalingen øges gennem mere strømlinede procedurer, intuitive digitale platforme og mere teknisk bistand til lokale støttemodtagere; foreslår, at der tilskyndes til at anvende forfinansierings- og forskudsordninger for små projekter i landdistrikterne;</w:t>
      </w:r>
    </w:p>
    <w:p w14:paraId="183751AB" w14:textId="77777777" w:rsidR="00E14121" w:rsidRPr="00D1505E" w:rsidRDefault="00E14121" w:rsidP="00E14121">
      <w:pPr>
        <w:pStyle w:val="NormalHanging12a"/>
      </w:pPr>
      <w:r w:rsidRPr="00D1505E">
        <w:t>24.</w:t>
      </w:r>
      <w:r w:rsidRPr="00D1505E">
        <w:tab/>
        <w:t>understreger, at centralisering kan føre til bureaukratisk ineffektivitet og forsinkelser i udnyttelsen af midlerne, hvilket i sidste ende kan gøre EU's investeringer i udvikling af landdistrikter mindre effektive;</w:t>
      </w:r>
    </w:p>
    <w:p w14:paraId="1D44CBEA" w14:textId="77777777" w:rsidR="00E14121" w:rsidRPr="00D1505E" w:rsidRDefault="00E14121" w:rsidP="00E14121">
      <w:pPr>
        <w:pStyle w:val="NormalHanging12a"/>
      </w:pPr>
      <w:r w:rsidRPr="00D1505E">
        <w:t>25.</w:t>
      </w:r>
      <w:r w:rsidRPr="00D1505E">
        <w:tab/>
        <w:t>fremhæver, at forvaltningstilgangen til landdistrikternes udviklingspolitikker er nødt til at være koordineret, integreret og tværsektoriel i sin gennemførelse, og at det er af afgørende betydning for dens succes at styrke en tilgang på flere niveauer i overensstemmelse med nærhedsprincippet;</w:t>
      </w:r>
    </w:p>
    <w:p w14:paraId="734F8BB9" w14:textId="77777777" w:rsidR="00E14121" w:rsidRPr="00D1505E" w:rsidRDefault="00E14121" w:rsidP="00E14121">
      <w:pPr>
        <w:pStyle w:val="NormalHanging12a"/>
      </w:pPr>
      <w:r w:rsidRPr="00D1505E">
        <w:t>26.</w:t>
      </w:r>
      <w:r w:rsidRPr="00D1505E">
        <w:tab/>
        <w:t>fremhæver, at modstandsdygtighed er afgørende for at sætte myndigheder på lokale og regionale niveauer i stand til at afbøde, tilpasse sig til og komme på fode igen efter pludselige udfordringer for at sikre trivsel i lokalsamfundet, sikkerhed og langsigtet bæredygtighed;</w:t>
      </w:r>
    </w:p>
    <w:p w14:paraId="4DB02F7E" w14:textId="77777777" w:rsidR="00E14121" w:rsidRPr="00D1505E" w:rsidRDefault="00E14121" w:rsidP="00E14121">
      <w:pPr>
        <w:pStyle w:val="NormalHanging12a"/>
      </w:pPr>
      <w:r w:rsidRPr="00D1505E">
        <w:t>27.</w:t>
      </w:r>
      <w:r w:rsidRPr="00D1505E">
        <w:tab/>
        <w:t>opfordrer til, at en passende del af midlerne fra samhørighedspolitikken tildeles grænseregionerne, og opfordrer i den forbindelse til, at de europæiske grupper for territorialt samarbejde tildeles en større grad af selvbestemmelse med hensyn til at vælge projekter og bruge midler, navnlig ved at udpege europæiske grupper for territorialt samarbejde som forvaltningsmyndigheder for Interregprogrammer, hvilket vil styrke deres institutionelle og finansielle kapacitet;  anbefaler desuden, at europæiske grupper for territorialt samarbejde får tildelt en større rolle med hensyn til at indfri politisk målsætning nr. 5, nemlig at bringe Europa tættere på borgerne;</w:t>
      </w:r>
    </w:p>
    <w:p w14:paraId="7B1AD534" w14:textId="77777777" w:rsidR="00E14121" w:rsidRPr="00D1505E" w:rsidRDefault="00E14121" w:rsidP="00E14121">
      <w:pPr>
        <w:pStyle w:val="NormalHanging12a"/>
        <w:rPr>
          <w:szCs w:val="24"/>
        </w:rPr>
      </w:pPr>
      <w:r w:rsidRPr="00D1505E">
        <w:t>28.</w:t>
      </w:r>
      <w:r w:rsidRPr="00D1505E">
        <w:tab/>
        <w:t>understreger nødvendigheden af at styrke demokratisk og politisk deltagelse i landdistrikter ved at fremme aktivt medborgerskab og digitale redskaber; opfordrer Kommissionen til at støtte initiativer, der fremmer lokale demokratiske processer for at forbedre samhørigheden mellem by- og landområder;</w:t>
      </w:r>
    </w:p>
    <w:p w14:paraId="4F722353" w14:textId="77777777" w:rsidR="00E14121" w:rsidRPr="00D1505E" w:rsidRDefault="00E14121" w:rsidP="00E14121">
      <w:pPr>
        <w:pStyle w:val="NormalHanging12a"/>
      </w:pPr>
      <w:r w:rsidRPr="00D1505E">
        <w:lastRenderedPageBreak/>
        <w:t>29.</w:t>
      </w:r>
      <w:r w:rsidRPr="00D1505E">
        <w:tab/>
        <w:t>fremhæver nødvendigheden af, at landdistrikter kan levere grundlæggende tjenesteydelser af høj kvalitet og af almen interesse for befolkningen for at forbedre deres livsgrundlag, og af, at de kan udnytte deres stærke sider med henblik på at opnå bæredygtig udvikling, hvilket de bør modtage tilstrækkelig økonomisk støtte til; understreger med henblik herpå behovet for at tilbyde lige adgang, især for sårbare personer og personer med handicap, til alle sundhedsydelser, transport- og tilslutningstjenester, herunder innovative mobilitetsløsninger, særlige planer for økonomisk overkommelige boliger, vandforsyningstjenester, uddannelsestjenester, digital infrastruktur og andre basale tjenesteydelser såsom post- og banktjenester, idet det sikres, at de er tilgængelige og økonomisk overkommelige, så ordentlige levevilkår kan garanteres; opfordrer derfor Kommissionen og alle medlemsstaterne til at lette adgangen til finansiering og skræddersyede støtteforanstaltninger til socialøkonomiske tiltag, som imødekommer lokale behov og bidrager til regional udvikling, og samtidig styrke den økonomiske støtte, der tilbydes til SMV'er i landdistrikter, navnlig gennem lettere adgang til finansielle midler, kooperativer og lokale værdikæder, der fremmer økonomisk diversificering;</w:t>
      </w:r>
    </w:p>
    <w:p w14:paraId="68C215AB" w14:textId="77777777" w:rsidR="00E14121" w:rsidRPr="00D1505E" w:rsidRDefault="00E14121" w:rsidP="00E14121">
      <w:pPr>
        <w:pStyle w:val="NormalHanging12a"/>
      </w:pPr>
      <w:r w:rsidRPr="00D1505E">
        <w:t>30.</w:t>
      </w:r>
      <w:r w:rsidRPr="00D1505E">
        <w:tab/>
        <w:t>fremhæver vandressourcernes strategiske betydning for landdistrikterne og understreger behovet for at afsætte tilstrækkelige ressourcer i samhørighedspolitikken og programmerne til udvikling af landdistrikterne til vedligeholdelse og modernisering af vandnettet; anbefaler navnlig, at der medtages foranstaltninger til imødegåelse af vandspild, forbedring af effektiviteten af forsyningssystemerne og fremme af bæredygtig udnyttelse af vandressourcerne i landdistrikterne;</w:t>
      </w:r>
    </w:p>
    <w:p w14:paraId="78C63E40" w14:textId="77777777" w:rsidR="00E14121" w:rsidRPr="00D1505E" w:rsidRDefault="00E14121" w:rsidP="00E14121">
      <w:pPr>
        <w:pStyle w:val="NormalHanging12a"/>
      </w:pPr>
      <w:r w:rsidRPr="00D1505E">
        <w:t>31.</w:t>
      </w:r>
      <w:r w:rsidRPr="00D1505E">
        <w:tab/>
        <w:t>bemærker, at det er afgørende at fokusere mere på forebyggende foranstaltninger for at øge de europæiske landdistrikters modstandsdygtighed over for naturkatastrofer; er overbevist om, at en integreret tilgang til forvaltning af vandressourcer er afgørende for samtidigt at kunne forebygge oversvømmelser og håndtere tørke – to voksende trusler i mange landdistrikter – i såvel landbrugssektoren som fødevaresektoren; erkender, at det alt efter sammenhængen er en prioritet at bygge dæmninger og reservoirer eller modernisere eksisterende anlæg, idet der bør sikres en balance mellem bygget infrastruktur og bløde foranstaltninger med relativt lave omkostninger, ikke mindst fordi de kan være en kilde til ren energi; bemærker, at initiativer på dette område allerede støttes via samhørighedspolitikken, men at der er behov for øvrige projekter og øgede investeringer i overensstemmelse med de nationale og regionale risikostyringsstrategier for at sikre, at landdistrikterne er bedre forberedt på og formår at modstå ekstreme klimarelaterede vejrforhold;</w:t>
      </w:r>
    </w:p>
    <w:p w14:paraId="684F0420" w14:textId="77777777" w:rsidR="00E14121" w:rsidRPr="00D1505E" w:rsidRDefault="00E14121" w:rsidP="00E14121">
      <w:pPr>
        <w:pStyle w:val="NormalHanging12a"/>
      </w:pPr>
      <w:r w:rsidRPr="00D1505E">
        <w:t>32.</w:t>
      </w:r>
      <w:r w:rsidRPr="00D1505E">
        <w:tab/>
        <w:t>fremhæver de stigende klimabetingede trusler såsom naturkatastrofer, ørkendannelse og vandknaphed i mange landdistrikter i Europa, navnlig i Sydeuropa og i Middelhavsområdet; opfordrer Kommissionen til at fremme fremadrettede tilpasningsstrategier på nationalt, regionalt og lokalt niveau, herunder vandforvaltning, modstandsdygtig infrastruktur og katastrofeberedskab, og opfordrer til investeringer i innovativ vandinfrastruktur såsom genanvendelse af renset spildevand og intelligente vandingsanlæg og opførelse af bassiner til opsamling af regnvand;</w:t>
      </w:r>
    </w:p>
    <w:p w14:paraId="3A5E289A" w14:textId="77777777" w:rsidR="00E14121" w:rsidRPr="00D1505E" w:rsidRDefault="00E14121" w:rsidP="00E14121">
      <w:pPr>
        <w:pStyle w:val="NormalHanging12a"/>
      </w:pPr>
      <w:r w:rsidRPr="00D1505E">
        <w:t>33.</w:t>
      </w:r>
      <w:r w:rsidRPr="00D1505E">
        <w:tab/>
        <w:t>bemærker, at landdistrikterne lider under begrænset adgang til livsvigtige sundhedstjenester og mangel på faciliteter og sundhedspersonale, og opfordrer derfor til bedre adgang til sundhedstjenester af høj kvalitet, herunder tjenester inden for mental sundhed;</w:t>
      </w:r>
    </w:p>
    <w:p w14:paraId="494861C7" w14:textId="77777777" w:rsidR="00E14121" w:rsidRPr="00D1505E" w:rsidRDefault="00E14121" w:rsidP="00E14121">
      <w:pPr>
        <w:pStyle w:val="NormalHanging12a"/>
      </w:pPr>
      <w:r w:rsidRPr="00D1505E">
        <w:lastRenderedPageBreak/>
        <w:t>34.</w:t>
      </w:r>
      <w:r w:rsidRPr="00D1505E">
        <w:tab/>
        <w:t>opfordrer medlemsstaterne og de lokale myndigheder til at sikre væsentlige tjenesteydelser, som er afgørende for udviklingen i landdistrikterne, ved at undlade at pålægge sundhedsplejen i landbrugsdistrikterne økonomiske begrænsninger, eftersom dette vil føre til lukning eller et fald i antallet af førstehjælpsfaciliteter eller basale hospitalsfaciliteter, som bør styrkes;</w:t>
      </w:r>
    </w:p>
    <w:p w14:paraId="78DBF438" w14:textId="77777777" w:rsidR="00E14121" w:rsidRPr="00D1505E" w:rsidRDefault="00E14121" w:rsidP="00E14121">
      <w:pPr>
        <w:pStyle w:val="NormalHanging12a"/>
      </w:pPr>
      <w:r w:rsidRPr="00D1505E">
        <w:t>35.</w:t>
      </w:r>
      <w:r w:rsidRPr="00D1505E">
        <w:tab/>
        <w:t>opfordrer Kommissionen og medlemsstaterne til at udarbejde en plan for mobile medicinske enheder og telemedicin, styrkelse af medicinske tjenesteydelser, herunder tjenester knyttet til medicinske kurbade, sygeplejersker i lokalsamfundet og digitale sundhedsløsninger og incitamenter for læger, der arbejder i landdistrikter og fjerntliggende områder;</w:t>
      </w:r>
    </w:p>
    <w:p w14:paraId="2934FBE3" w14:textId="77777777" w:rsidR="00E14121" w:rsidRPr="00D1505E" w:rsidRDefault="00E14121" w:rsidP="00E14121">
      <w:pPr>
        <w:pStyle w:val="NormalHanging12a"/>
        <w:rPr>
          <w:szCs w:val="24"/>
        </w:rPr>
      </w:pPr>
      <w:r w:rsidRPr="00D1505E">
        <w:t>36.</w:t>
      </w:r>
      <w:r w:rsidRPr="00D1505E">
        <w:tab/>
        <w:t>opfordrer Kommissionen til i sin e</w:t>
      </w:r>
      <w:r w:rsidRPr="00D1505E">
        <w:noBreakHyphen/>
        <w:t>sundhedsstrategi at medtage særlige foranstaltninger for områder, der er karakteriseret som landdistrikter, for at yde praktisk støtte til lokale sundhedsenheder med henblik på teknologiske forbedringer, og til at fremme de tjenesteydelser, som sådanne enheder tilbyder; understreger, at medlemsstaterne også bør tilbydes en screeningordning, der er målrettet mod landdistrikterne, og at der også bør iværksættes administrativ bistand til udarbejdelse af planer og forebyggelsesregistre; opfordrer medlemsstaterne til at tage højde for de særlige forhold i disse områder og til at tilskynde til, at der åbnes apoteker i landdistrikterne – med henblik på specifikt at tilpasse netværket af apoteker til et landdistrikt – med koordineringsordninger for lægemidler og medicinsk udstyr med det formål at strømline og tilpasse sundhedsenhedernes behov efter det enkelte område; opfordrer medlemsstaterne til at forbedre leveringen af primær sundhedspleje og støttetjenester blandt disse "landdistriktsapoteker";</w:t>
      </w:r>
    </w:p>
    <w:p w14:paraId="70AFEA89" w14:textId="77777777" w:rsidR="00E14121" w:rsidRPr="00D1505E" w:rsidRDefault="00E14121" w:rsidP="00E14121">
      <w:pPr>
        <w:pStyle w:val="NormalHanging12a"/>
      </w:pPr>
      <w:r w:rsidRPr="00D1505E">
        <w:t>37.</w:t>
      </w:r>
      <w:r w:rsidRPr="00D1505E">
        <w:tab/>
        <w:t>fremhæver den centrale rolle, som udviklingen af infrastruktur spiller for landdistrikternes økonomiske og sociale vækst, eftersom der er behov for transportsystemer – navnlig offentlige, der muliggør bedre forbindelser og adgang til væsentlige tjenesteydelser – for energinet, herunder til bæredygtig energi, og for en passende infrastruktur for digital konnektivitet; bemærker navnlig, at kvaliteten af transport og digital konnektivitet bør forbedres, så folk har let adgang til job, skoler, hospitaler, offentlige tjenesteydelser og jobmuligheder; understreger, at vej-, jernbane- og søtransportforbindelser skal udvikles eller opgraderes gennem programmer, der samfinansieres af EU, med det formål at mindske landdistrikternes afsondrethed, især fra bykerner, og mindske den eksisterende kløft og lette bæredygtig mobilitet for personer og varer; efterlyser en omfattende strategi til forbedring af mobiliteten i landdistrikterne med særligt fokus på bæredygtighed, udbygning af opladningsinfrastruktur og fremme af e</w:t>
      </w:r>
      <w:r w:rsidRPr="00D1505E">
        <w:noBreakHyphen/>
        <w:t>mobilitet; understreger behovet for målrettede investeringer i offentlig transport, fælles mobilitetsløsninger og alternative transportmodeller for at sikre tilgængelighed og konnektivitet for befolkningen i landdistrikterne;</w:t>
      </w:r>
    </w:p>
    <w:p w14:paraId="27C57704" w14:textId="77777777" w:rsidR="00E14121" w:rsidRPr="00D1505E" w:rsidRDefault="00E14121" w:rsidP="00E14121">
      <w:pPr>
        <w:pStyle w:val="NormalHanging12a"/>
      </w:pPr>
      <w:r w:rsidRPr="00D1505E">
        <w:t>38.</w:t>
      </w:r>
      <w:r w:rsidRPr="00D1505E">
        <w:tab/>
        <w:t xml:space="preserve">understreger, at der fortsat er en væsentlig digital kløft mellem landdistrikter og byområder, hvilket er en hindring for, at alle borgere har lige muligheder; opfordrer Kommissionen og medlemsstaterne til at fremskynde investeringer i bredbåndskonnektivitet, herunder 5G, bedre mobildækning, højhastighedsinternet, digitale landbrugsløsninger og innovationsknudepunkter i landdistrikterne, så det sikres, at den digitale omstilling gavner landsbysamfundene, samtidig med at der lægges særlig vægt på de regioner, der er mindre forberedt på denne omstilling, herunder fjerntliggende områder og regioner i den yderste periferi; understreger, at disse </w:t>
      </w:r>
      <w:r w:rsidRPr="00D1505E">
        <w:lastRenderedPageBreak/>
        <w:t>investeringer er afgørende for at øge produktiviteten, støtte iværksætteri på små bedrifter, lette telearbejde, få adgang til e</w:t>
      </w:r>
      <w:r w:rsidRPr="00D1505E">
        <w:noBreakHyphen/>
        <w:t>tjenester og onlinebaseret undervisning og sikre, at landdistrikterne forbliver konkurrencedygtige i den digitale tidsalder; understreger behovet for initiativer inden for digital kunnen og erhvervsuddannelse med henblik på at støtte integreringen af digitale teknologier i landdistrikternes økonomi og slå bro over eksisterende teknologiske og økonomiske kløfter;</w:t>
      </w:r>
    </w:p>
    <w:p w14:paraId="5D73A7FF" w14:textId="77777777" w:rsidR="00E14121" w:rsidRPr="00D1505E" w:rsidRDefault="00E14121" w:rsidP="00E14121">
      <w:pPr>
        <w:pStyle w:val="NormalHanging12a"/>
      </w:pPr>
      <w:r w:rsidRPr="00D1505E">
        <w:t>39.</w:t>
      </w:r>
      <w:r w:rsidRPr="00D1505E">
        <w:tab/>
        <w:t>betoner vigtigheden af og den indbyrdes forbundethed mellem militær mobilitet, udvikling af infrastruktur i landdistrikter og regional sikkerhed; understreger overlapningen mellem EU's militære mobilitetsnet og det transeuropæiske transportnet;</w:t>
      </w:r>
    </w:p>
    <w:p w14:paraId="3900CFC8" w14:textId="77777777" w:rsidR="00E14121" w:rsidRPr="00D1505E" w:rsidRDefault="00E14121" w:rsidP="00E14121">
      <w:pPr>
        <w:pStyle w:val="NormalHanging12a"/>
      </w:pPr>
      <w:r w:rsidRPr="00D1505E">
        <w:t>40.</w:t>
      </w:r>
      <w:r w:rsidRPr="00D1505E">
        <w:tab/>
        <w:t>efterlyser strategier til håndtering af tomme bygninger og til fremme af alternative boligløsninger i landdistrikter, herunder økonomisk overkommelige boliger, renoveringsprojekter og livsførelse på tværs af generationer; understreger behovet for incitamenter til at finde nye anvendelsesmuligheder for tomme ejendomme, støtte lokalsamfundsstyrede boliginitiativer og sikre bæredygtige, inkluderende boligarealer;</w:t>
      </w:r>
    </w:p>
    <w:p w14:paraId="6F3005F1" w14:textId="77777777" w:rsidR="00E14121" w:rsidRPr="00D1505E" w:rsidRDefault="00E14121" w:rsidP="00E14121">
      <w:pPr>
        <w:pStyle w:val="NormalHanging12a"/>
      </w:pPr>
      <w:r w:rsidRPr="00D1505E">
        <w:t>41.</w:t>
      </w:r>
      <w:r w:rsidRPr="00D1505E">
        <w:tab/>
        <w:t>understreger vigtigheden af at fremme prioriterede politikker, der støtter de unge, eftersom affolkningen af landdistrikterne navnlig skyldes, at de unge flytter væk, og opfordrer Kommissionen til at sikre dem en effektiv anvendelse af "retten til at blive boende" gennem målrettede foranstaltninger, der har til formål at dæmme op for den demografiske tilbagegang i landdistrikterne og tilskynde talentfulde mennesker til at blive der; mener, at folk, der ønsker at bidrage til udviklingen af deres lokalsamfund, bør gives rig mulighed herfor, og at det derfor haster med at fjerne hindringer og de betydelige forskelle mellem unge i byområder og i landdistrikter med hensyn til adgang til uddannelse af høj kvalitet, økonomisk uafhængighed, social og politisk deltagelse samt social interaktion på tværs af generationer; opfordrer til konkrete foranstaltninger og målrettede finansieringsprogrammer, herunder en handlingsplan fra Kommissionens side for imødegåelse af hjerneflugt, for at støtte unge og unge iværksættere og give dem alle de værktøjer og ressourcer, de behøver for at få adgang til landbrugsjord, job og forretningsmuligheder; bemærker, at sådanne foranstaltninger bør omfatte bedre adgang til offentlige tjenesteydelser, uddannelsesmæssige og kulturelle faciliteter, adgang til boliger, lavtforrentede lån og – under behørig hensyntagen til nærhedsprincippet på skatteområdet – skatterelaterede incitamenter, der kan hjælpe unge med at skabe en stabil fremtid i overensstemmelse med deres ambitioner, uden at de er nødt til at forlade deres hjemegn, og skabelse af incitamenter, der kan få dem til at slå sig ned i eller vende tilbage til landdistrikterne; mener, at det derfor er nødvendigt at fremme foranstaltninger, som diversificerer økonomien i landdistrikterne ved at udnytte lokalt potentiale, herunder på områder, der ikke har med landbrug og turisme at gøre, og skabe kvalitetsjob;</w:t>
      </w:r>
    </w:p>
    <w:p w14:paraId="2060EA09" w14:textId="77777777" w:rsidR="00E14121" w:rsidRPr="00D1505E" w:rsidRDefault="00E14121" w:rsidP="00E14121">
      <w:pPr>
        <w:pStyle w:val="NormalHanging12a"/>
      </w:pPr>
      <w:r w:rsidRPr="00D1505E">
        <w:t>42.</w:t>
      </w:r>
      <w:r w:rsidRPr="00D1505E">
        <w:tab/>
        <w:t>fremhæver vigtigheden af at fremme erhvervsrettet uddannelse og samtidig fremme ungdomsledede initiativer og ikkeformel læring for unge, så de kan udvikle specifikke færdigheder, der er relateret til økonomien i landdistrikterne, hvilket kan være et redskab til social samhørighed og beskæftigelse af høj kvalitet, som kan bekæmpe affolkning i disse områder;</w:t>
      </w:r>
    </w:p>
    <w:p w14:paraId="40FF1BEF" w14:textId="77777777" w:rsidR="00E14121" w:rsidRPr="00D1505E" w:rsidRDefault="00E14121" w:rsidP="00E14121">
      <w:pPr>
        <w:pStyle w:val="NormalHanging12a"/>
      </w:pPr>
      <w:r w:rsidRPr="00D1505E">
        <w:t>43.</w:t>
      </w:r>
      <w:r w:rsidRPr="00D1505E">
        <w:tab/>
        <w:t xml:space="preserve">påpeger den centrale rolle, som oplysnings- og videndelingskampagner spiller med hensyn til at fremme forskellige uddannelseskampagner og -programmer, og vigtigheden af at gøre dem til en integreret del af skolernes læseplaner; fremhæver de stadig mere bekymrende data om skolefrafald og opfordrer med henblik herpå de </w:t>
      </w:r>
      <w:r w:rsidRPr="00D1505E">
        <w:lastRenderedPageBreak/>
        <w:t>nationale og lokale myndigheder til at omorganisere deres skolesystemer for at sikre retten til uddannelse i lokalområdet i betragtning af de alvorlige og objektive vanskeligheder, de kan stå over for; opfordrer derfor medlemsstaterne og de lokale myndigheder til ikke at sammenlægge eksisterende skoleforvaltningsstrukturer i disse områder;</w:t>
      </w:r>
    </w:p>
    <w:p w14:paraId="15DF704D" w14:textId="77777777" w:rsidR="00E14121" w:rsidRPr="00D1505E" w:rsidRDefault="00E14121" w:rsidP="00E14121">
      <w:pPr>
        <w:pStyle w:val="NormalHanging12a"/>
      </w:pPr>
      <w:r w:rsidRPr="00D1505E">
        <w:t>44.</w:t>
      </w:r>
      <w:r w:rsidRPr="00D1505E">
        <w:tab/>
        <w:t>opfordrer Kommissionen og medlemsstaterne til at tilvejebringe nye subsidierede kreditfaciliteter, der kan støtte unge iværksættere og kvinder i deres aktiviteter, herunder alternative former for garantier med henblik på adgang til kredit; opfordrer til økonomisk støtte, der kan styrke unge landbrugere og derved sikre vækst i landdistrikternes økonomier;</w:t>
      </w:r>
    </w:p>
    <w:p w14:paraId="37E3F099" w14:textId="77777777" w:rsidR="00E14121" w:rsidRPr="00D1505E" w:rsidRDefault="00E14121" w:rsidP="00E14121">
      <w:pPr>
        <w:pStyle w:val="NormalHanging12a"/>
      </w:pPr>
      <w:r w:rsidRPr="00D1505E">
        <w:t>45.</w:t>
      </w:r>
      <w:r w:rsidRPr="00D1505E">
        <w:tab/>
        <w:t>glæder sig over den nye lånefinansieringspakke på 3 mia. EUR fra Den Europæiske Investeringsbank</w:t>
      </w:r>
      <w:r w:rsidRPr="00D1505E">
        <w:noBreakHyphen/>
        <w:t>Gruppe (EIB</w:t>
      </w:r>
      <w:r w:rsidRPr="00D1505E">
        <w:noBreakHyphen/>
        <w:t>Gruppen) til landbrug, skovbrug og fiskeri i hele Europa, som er et håndgribeligt initiativ til at lukke finansieringshullerne for SMV'er inden for landbrug og bioøkonomi og lette finansieringen for unge landbrugere og kvinder; opfordrer EIB</w:t>
      </w:r>
      <w:r w:rsidRPr="00D1505E">
        <w:noBreakHyphen/>
        <w:t>Gruppen til at undersøge nye former for støtte med henblik på at tilvejebringe likviditet til aktører i værdikæderne i landbruget og landdistrikterne;</w:t>
      </w:r>
    </w:p>
    <w:p w14:paraId="3E91E105" w14:textId="77777777" w:rsidR="00E14121" w:rsidRPr="00D1505E" w:rsidRDefault="00E14121" w:rsidP="00E14121">
      <w:pPr>
        <w:pStyle w:val="NormalHanging12a"/>
      </w:pPr>
      <w:r w:rsidRPr="00D1505E">
        <w:t>46.</w:t>
      </w:r>
      <w:r w:rsidRPr="00D1505E">
        <w:tab/>
        <w:t>opfordrer Kommissionen og medlemsstaterne til at fremme lokale nystartede virksomheder og programmer, der skaber incitamenter for unges tilbagevenden til landdistrikter og for unges køb og renovering af boliger i landdistrikter;</w:t>
      </w:r>
    </w:p>
    <w:p w14:paraId="7D724292" w14:textId="77777777" w:rsidR="00E14121" w:rsidRPr="00D1505E" w:rsidRDefault="00E14121" w:rsidP="00E14121">
      <w:pPr>
        <w:pStyle w:val="NormalHanging12a"/>
      </w:pPr>
      <w:r w:rsidRPr="00D1505E">
        <w:t>47.</w:t>
      </w:r>
      <w:r w:rsidRPr="00D1505E">
        <w:tab/>
        <w:t>opfordrer Kommissionen til at oprette en EU</w:t>
      </w:r>
      <w:r w:rsidRPr="00D1505E">
        <w:noBreakHyphen/>
        <w:t>fond for unge iværksættere i landdistrikter, idet der især fokuseres på regioner, som er ramt af høj ungdomsarbejdsløshed og hjerneflugt; bemærker, at denne fond bør støtte nystartede virksomheder i landdistrikter, innovativt landbrug, bæredygtig turisme og digitalisering ved hjælp af målrettede finansielle instrumenter og skatteincitamenter;</w:t>
      </w:r>
    </w:p>
    <w:p w14:paraId="2370DF5D" w14:textId="77777777" w:rsidR="00E14121" w:rsidRPr="00D1505E" w:rsidRDefault="00E14121" w:rsidP="00E14121">
      <w:pPr>
        <w:pStyle w:val="NormalHanging12a"/>
      </w:pPr>
      <w:r w:rsidRPr="00D1505E">
        <w:t>48.</w:t>
      </w:r>
      <w:r w:rsidRPr="00D1505E">
        <w:tab/>
        <w:t>henleder opmærksomheden på behovet for universel lige adgang til foranstaltninger, der gør det muligt for alle at udvikle de færdigheder af høj kvalitet, de behøver for at nå deres faglige mål, og til erhvervsuddannelse; beklager, at kvinders arbejde på mange områder i landdistrikterne ikke belønnes med lige muligheder og lige vilkår, da de ofte står over for ekstra udfordringer, herunder begrænset adgang til jobmuligheder, mangel på passende foranstaltninger til at hjælpe dem med at skabe balance mellem arbejdsliv og familieliv og mangel på børnepasningsfaciliteter; understreger behovet for at fremme et miljø, der virker befordrende for kvinders beskæftigelse, med støtte til alle familier, idet der sikres førskoleundervisning og børnepasningsordninger af høj kvalitet og støtte til forældre;</w:t>
      </w:r>
    </w:p>
    <w:p w14:paraId="3C35C43C" w14:textId="77777777" w:rsidR="00E14121" w:rsidRPr="00D1505E" w:rsidRDefault="00E14121" w:rsidP="00E14121">
      <w:pPr>
        <w:pStyle w:val="NormalHanging12a"/>
      </w:pPr>
      <w:r w:rsidRPr="00D1505E">
        <w:t>49.</w:t>
      </w:r>
      <w:r w:rsidRPr="00D1505E">
        <w:tab/>
        <w:t>opfordrer til, at der ydes mere støtte til kvinder i landdistrikter, navnlig gennem foranstaltninger, der forbedrer adgangen til beskæftigelse, uddannelse, sundhedspleje og social infrastruktur samt til beskyttelse mod og forebyggelse af vold, med det formål at fremme kvinders økonomiske og sociale deltagelse; understreger, at der bør oprettes målrettede programmer, der støtter kvindelige iværksættere i landdistrikter for at styrke deres økonomiske uafhængighed;</w:t>
      </w:r>
    </w:p>
    <w:p w14:paraId="75B5F647" w14:textId="77777777" w:rsidR="00E14121" w:rsidRPr="00D1505E" w:rsidRDefault="00E14121" w:rsidP="00E14121">
      <w:pPr>
        <w:pStyle w:val="NormalHanging12a"/>
      </w:pPr>
      <w:r w:rsidRPr="00D1505E">
        <w:t>50.</w:t>
      </w:r>
      <w:r w:rsidRPr="00D1505E">
        <w:tab/>
        <w:t xml:space="preserve">understreger, at det er bydende nødvendigt at støtte kvinder i landdistrikter af forskellige årsager, herunder for at fremme kønsligestilling, økonomisk vækst og lokal udvikling, reducere fattigdom og sikre miljømæssig bæredygtighed; fremhæver, at kvinder spiller en rolle på flere planer for udviklingen i landdistrikterne, både som </w:t>
      </w:r>
      <w:r w:rsidRPr="00D1505E">
        <w:lastRenderedPageBreak/>
        <w:t>arbejdstagere, landbrugere og virksomhedsejere, og understreger, at vigtigheden af dem i landdistrikter og den lokale økonomi ofte overses; understreger, at der bør lægges særlig vægt på kvinder i landdistrikter i forbindelse med udformningen af strukturel social støtte og regionale udviklingsprogrammer; påpeger, at håndteringen af disse barrierer er afgørende for at styrke kvinder indflydelse og status og frigøre deres fulde potentiale i landdistrikternes lokalsamfund;</w:t>
      </w:r>
    </w:p>
    <w:p w14:paraId="60B602BE" w14:textId="77777777" w:rsidR="00E14121" w:rsidRPr="00D1505E" w:rsidRDefault="00E14121" w:rsidP="00E14121">
      <w:pPr>
        <w:pStyle w:val="NormalHanging12a"/>
      </w:pPr>
      <w:r w:rsidRPr="00D1505E">
        <w:t>51.</w:t>
      </w:r>
      <w:r w:rsidRPr="00D1505E">
        <w:tab/>
        <w:t>opfordrer medlemsstaterne og Kommissionen til at øge kendskabet til eksisterende og kommende EU-finansieringsmuligheder for kvindelige iværksættere i landdistrikter og gøre det nemmere for dem at få adgang til finansiel støtte; opfordrer medlemsstaterne og de regionale og lokale myndigheder til at anvende de eksisterende EU</w:t>
      </w:r>
      <w:r w:rsidRPr="00D1505E">
        <w:noBreakHyphen/>
        <w:t>struktur</w:t>
      </w:r>
      <w:r w:rsidRPr="00D1505E">
        <w:noBreakHyphen/>
        <w:t xml:space="preserve"> og </w:t>
      </w:r>
      <w:r w:rsidRPr="00D1505E">
        <w:noBreakHyphen/>
        <w:t>investeringsfonde til at styrke kvindelige iværksættere;</w:t>
      </w:r>
    </w:p>
    <w:p w14:paraId="41942417" w14:textId="77777777" w:rsidR="00E14121" w:rsidRPr="00D1505E" w:rsidRDefault="00E14121" w:rsidP="00E14121">
      <w:pPr>
        <w:pStyle w:val="NormalHanging12a"/>
      </w:pPr>
      <w:r w:rsidRPr="00D1505E">
        <w:t>52.</w:t>
      </w:r>
      <w:r w:rsidRPr="00D1505E">
        <w:tab/>
        <w:t>opfordrer til beskæftigelsespolitikker og målrettede foranstaltninger med fokus på kønsligestilling, der kan fremme en bedre balance mellem arbejdsliv og privatliv i landdistrikter, herunder fleksible arbejdsmodeller, digitale arbejdsmuligheder, bedre fritids- og uddannelsestilbud og fremme af lokalsamfundsbaserede pasnings- og støttestrukturer for familier;</w:t>
      </w:r>
    </w:p>
    <w:p w14:paraId="6B3963DD" w14:textId="77777777" w:rsidR="00E14121" w:rsidRPr="00D1505E" w:rsidRDefault="00E14121" w:rsidP="00E14121">
      <w:pPr>
        <w:pStyle w:val="NormalHanging12a"/>
        <w:rPr>
          <w:szCs w:val="24"/>
        </w:rPr>
      </w:pPr>
      <w:r w:rsidRPr="00D1505E">
        <w:t>53.</w:t>
      </w:r>
      <w:r w:rsidRPr="00D1505E">
        <w:tab/>
        <w:t>opfordrer indtrængende Kommissionen til at vedtage foranstaltninger, der beskytter den familielandbrugsmodel, som underbygger landdistrikterne, er mere miljøvenlig og garanterer fødevaresikkerheden i EU; understreger behovet for et EU-system af incitamenter til at begrænse koncentrationen af landbrugsjord i private investeringsfonde og den deraf følgende stigning i jordpriser; insisterer på, at små og mellemstore landbrug skal beskyttes ved at styrke kooperativers og erhvervslandbrugeres rolle i EU's politikker; opfordrer desuden medlemsstaterne til at gennemføre konkrete foranstaltninger til at støtte disse landbrugsbedrifter ved at forenkle adgangen til kredit, modernisere infrastrukturen i landdistrikterne og sætte skub i landbrugskooperativer;</w:t>
      </w:r>
    </w:p>
    <w:p w14:paraId="13B90981" w14:textId="77777777" w:rsidR="00E14121" w:rsidRPr="00D1505E" w:rsidRDefault="00E14121" w:rsidP="00E14121">
      <w:pPr>
        <w:pStyle w:val="NormalHanging12a"/>
      </w:pPr>
      <w:r w:rsidRPr="00D1505E">
        <w:t>54.</w:t>
      </w:r>
      <w:r w:rsidRPr="00D1505E">
        <w:tab/>
        <w:t>understreger den centrale rolle, som landbruget og landbrugsfødevaresektoren spiller med hensyn til fødevareproduktion, sikring af fødevaresikkerheden i EU og jobskabelse, og som fortjener at blive værdsat, da den udgør en grundpille i den lokale økonomi og er et centralt element til sikring af bæredygtig arealforvaltning og også er en drivkraft for vækst og udvikling i indre områder og landdistrikter, der ofte høster international anerkendelse for deres typiske produkter af fremragende kvalitet; påpeger, at det er nødvendigt at hjælpe landbrugerne med at innovere og diversificere, samtidig med at bedrifternes konkurrenceevne fremmes; mener, at omstillingen til en mere bæredygtig model fordrer en afbalanceret tilgang, hvor der tages hensyn til særlige lokale forhold og til de økonomiske behov i landdistrikternes lokalsamfund, uden at der gennemtvinges ændringer, som risikerer at underminere deres langsigtede udvikling; opfordrer i den forbindelse Kommissionen og medlemsstaterne til at træffe robuste og målrettede foranstaltninger ved at mindske overdrevne regelbyrder og sikre fair markedsvilkår med det formål at imødegå faldet i antallet af landbrugsbedrifter og fremme generationsskifte; opfordrer til, at der ydes passende støtte til fremme af fødevareselvforsyning og afgrødediversificering; fremhæver især de særlige strukturelle udfordringer i regionerne i den yderste periferi og deres landdistrikter;</w:t>
      </w:r>
    </w:p>
    <w:p w14:paraId="3CAE42D9" w14:textId="77777777" w:rsidR="00E14121" w:rsidRPr="00D1505E" w:rsidRDefault="00E14121" w:rsidP="00E14121">
      <w:pPr>
        <w:pStyle w:val="NormalHanging12a"/>
      </w:pPr>
      <w:r w:rsidRPr="00D1505E">
        <w:t>55.</w:t>
      </w:r>
      <w:r w:rsidRPr="00D1505E">
        <w:tab/>
        <w:t xml:space="preserve">opfordrer indtrængende Kommissionen og medlemsstaterne til – med henblik på at styrke fødevaresikkerheden og sikre, at de europæiske landbrugere ikke udsættes for illoyal konkurrence fra produkter, der ikke opfylder de samme miljø-, dyrevelfærds- og </w:t>
      </w:r>
      <w:r w:rsidRPr="00D1505E">
        <w:lastRenderedPageBreak/>
        <w:t>fødevaresikkerhedsstandarder – at håndhæve streng ækvivalens for produktionsstandarderne for landbrugsprodukter, der importeres til EU, og opfordrer i den forbindelse Kommissionen til at sikre, at handelsaftalerne opretholder de europæiske landbrugsstandarder og sikrer lige konkurrencevilkår for EU's landbrugere;</w:t>
      </w:r>
    </w:p>
    <w:p w14:paraId="04476663" w14:textId="77777777" w:rsidR="00E14121" w:rsidRPr="00D1505E" w:rsidRDefault="00E14121" w:rsidP="00E14121">
      <w:pPr>
        <w:pStyle w:val="NormalHanging12a"/>
      </w:pPr>
      <w:r w:rsidRPr="00D1505E">
        <w:t>56.</w:t>
      </w:r>
      <w:r w:rsidRPr="00D1505E">
        <w:tab/>
        <w:t>erkender, at de ambitiøse mål for den grønne omstilling indebærer såvel muligheder som risici for landbruget i EU; fremhæver, at antallet af landbrugsbedrifter i EU i perioden 2005</w:t>
      </w:r>
      <w:r w:rsidRPr="00D1505E">
        <w:noBreakHyphen/>
        <w:t>2020 faldt med ca. 37 %, og opfordrer i den forbindelse Kommissionen og medlemsstaterne til at træffe foranstaltninger til at imødegå faldet i antallet af landbrugsbedrifter og støtte bedrifternes indtjening og konkurrenceevne med henblik på at modvirke affolkningen af disse områder og fremme generationsskifte;</w:t>
      </w:r>
    </w:p>
    <w:p w14:paraId="422F987D" w14:textId="77777777" w:rsidR="00E14121" w:rsidRPr="00D1505E" w:rsidRDefault="00E14121" w:rsidP="00E14121">
      <w:pPr>
        <w:pStyle w:val="NormalHanging12a"/>
      </w:pPr>
      <w:r w:rsidRPr="00D1505E">
        <w:t>57.</w:t>
      </w:r>
      <w:r w:rsidRPr="00D1505E">
        <w:tab/>
        <w:t>påpeger behovet for at forenkle de administrative procedurer for adgang til EU</w:t>
      </w:r>
      <w:r w:rsidRPr="00D1505E">
        <w:noBreakHyphen/>
        <w:t>midler ved at lette de bureaukratiske byrder for landbrugere og små virksomheder i landdistrikterne samt forbedre koordineringen mellem de institutionelle niveauer, der er involveret i forvaltningen af midler, for at sikre at ressourcerne stilles til rådighed mere effektivt og rettidigt;</w:t>
      </w:r>
    </w:p>
    <w:p w14:paraId="36F9D9EA" w14:textId="77777777" w:rsidR="00E14121" w:rsidRPr="00D1505E" w:rsidRDefault="00E14121" w:rsidP="00E14121">
      <w:pPr>
        <w:pStyle w:val="NormalHanging12a"/>
      </w:pPr>
      <w:r w:rsidRPr="00D1505E">
        <w:t>58.</w:t>
      </w:r>
      <w:r w:rsidRPr="00D1505E">
        <w:tab/>
        <w:t>påpeger også behovet for, at disse områder, virksomheder samt land- og skovbrugere modtager tilstrækkelig økonomisk støtte, herunder støtte til indkøb og vedligeholdelse af udstyr, med henblik på at øge den europæiske konkurrenceevne;</w:t>
      </w:r>
    </w:p>
    <w:p w14:paraId="2A29AC11" w14:textId="77777777" w:rsidR="00E14121" w:rsidRPr="00D1505E" w:rsidRDefault="00E14121" w:rsidP="00E14121">
      <w:pPr>
        <w:pStyle w:val="NormalHanging12a"/>
      </w:pPr>
      <w:r w:rsidRPr="00D1505E">
        <w:t>59.</w:t>
      </w:r>
      <w:r w:rsidRPr="00D1505E">
        <w:tab/>
        <w:t>er helt klar over, at landdistrikter spiller en central rolle i den grønne og den digitale omstilling; understreger, at disse omstillinger må gennemføres gradvist i overensstemmelse med opnåelige mål; opfordrer i den forbindelse til at knytte EU</w:t>
      </w:r>
      <w:r w:rsidRPr="00D1505E">
        <w:noBreakHyphen/>
        <w:t>finansiering bedre til miljømæssig bæredygtighed og beskyttelse af biodiversitet;</w:t>
      </w:r>
    </w:p>
    <w:p w14:paraId="1BBADBA6" w14:textId="77777777" w:rsidR="00E14121" w:rsidRPr="00D1505E" w:rsidRDefault="00E14121" w:rsidP="00E14121">
      <w:pPr>
        <w:pStyle w:val="NormalHanging12a"/>
      </w:pPr>
      <w:r w:rsidRPr="00D1505E">
        <w:t>60.</w:t>
      </w:r>
      <w:r w:rsidRPr="00D1505E">
        <w:tab/>
        <w:t>fremhæver behovet for at støtte lokalsamfundene i landdistrikterne i de regioner i Europa, som er blevet ramt hårdest hvad angår handlen med eller eksporten af ukrainske landbrugsvarer;</w:t>
      </w:r>
    </w:p>
    <w:p w14:paraId="6A89301E" w14:textId="77777777" w:rsidR="00E14121" w:rsidRPr="00D1505E" w:rsidRDefault="00E14121" w:rsidP="00E14121">
      <w:pPr>
        <w:pStyle w:val="NormalHanging12a"/>
      </w:pPr>
      <w:r w:rsidRPr="00D1505E">
        <w:t>61.</w:t>
      </w:r>
      <w:r w:rsidRPr="00D1505E">
        <w:tab/>
        <w:t>påpeger vigtigheden af kompenserende foranstaltninger for landbrugere og virksomheder i landdistrikterne, så det sikres, at den økologiske omstilling er fair og praktisk og ikke resulterer i nye socioøkonomiske forskelle; understreger, at fuld inddragelse af og samarbejde med alle interessenter, navnlig landbrugere og skovbrugere, vil være afgørende for, at denne omstilling lykkes;</w:t>
      </w:r>
    </w:p>
    <w:p w14:paraId="2C07CD4F" w14:textId="77777777" w:rsidR="00E14121" w:rsidRPr="00D1505E" w:rsidRDefault="00E14121" w:rsidP="00E14121">
      <w:pPr>
        <w:pStyle w:val="NormalHanging12a"/>
      </w:pPr>
      <w:r w:rsidRPr="00D1505E">
        <w:t>62.</w:t>
      </w:r>
      <w:r w:rsidRPr="00D1505E">
        <w:tab/>
        <w:t>påpeger, at fremme af landbruget er en nødvendig komponent i enhver strategi for udvikling af landdistrikterne, men at det ikke er nok i sig selv, fordi det ikke er alle folk i landdistrikterne, som er beskæftiget i landbrugssektoren eller bor i landbrugsstrukturer;</w:t>
      </w:r>
    </w:p>
    <w:p w14:paraId="425C2471" w14:textId="77777777" w:rsidR="00E14121" w:rsidRPr="00D1505E" w:rsidRDefault="00E14121" w:rsidP="00E14121">
      <w:pPr>
        <w:pStyle w:val="NormalHanging12a"/>
      </w:pPr>
      <w:r w:rsidRPr="00D1505E">
        <w:t>63.</w:t>
      </w:r>
      <w:r w:rsidRPr="00D1505E">
        <w:tab/>
        <w:t>anerkender, at turisme ofte er en vigtig indtægtskilde for landdistrikter, bjergregioner, øregioner og regioner i den yderste periferi samt i Middelhavsområdet, og at turisme har potentiale til at fremme jobskabelse og iværksætteri og tiltrække et stigende antal besøgende, der er nysgerrige efter at gå på opdagelse i deres natur, traditioner og kulturarv gennem de unikke oplevelser, der tilbydes; mener derfor, at turisme bør støttes gennem investeringer i landdistrikternes økonomi i synergi med landbrugs-, fiskeri-, fødevare- og kultursektorerne, og at EU bør fremme sameksistens mellem og yderligere udvikling af disse sektorer;</w:t>
      </w:r>
    </w:p>
    <w:p w14:paraId="63EEED99" w14:textId="77777777" w:rsidR="00E14121" w:rsidRPr="00D1505E" w:rsidRDefault="00E14121" w:rsidP="00E14121">
      <w:pPr>
        <w:pStyle w:val="NormalHanging12a"/>
      </w:pPr>
      <w:r w:rsidRPr="00D1505E">
        <w:lastRenderedPageBreak/>
        <w:t>64.</w:t>
      </w:r>
      <w:r w:rsidRPr="00D1505E">
        <w:tab/>
        <w:t>fremhæver, at turisme på landet og landboturisme kan være en aktivitet, der supplerer landbruget og giver mulighed for at diversificere landbrugsindkomsten og gavne udviklingen af landdistrikterne, og at der derfor bør afsættes ressourcer til udvikling af turisme og HORECA</w:t>
      </w:r>
      <w:r w:rsidRPr="00D1505E">
        <w:noBreakHyphen/>
        <w:t xml:space="preserve">aktiviteter; </w:t>
      </w:r>
    </w:p>
    <w:p w14:paraId="601DEBA9" w14:textId="77777777" w:rsidR="00E14121" w:rsidRPr="00D1505E" w:rsidRDefault="00E14121" w:rsidP="00E14121">
      <w:pPr>
        <w:pStyle w:val="NormalHanging12a"/>
      </w:pPr>
      <w:r w:rsidRPr="00D1505E">
        <w:t>65.</w:t>
      </w:r>
      <w:r w:rsidRPr="00D1505E">
        <w:tab/>
        <w:t>understreger behovet for at fremme turisme på landet på en bæredygtig måde; fremhæver vigtigheden af at optimere de økonomiske gevinster ved turisme for landdistrikterne og samtidig mindske mulige negative konsekvenser for lokalsamfund og økosystemer;</w:t>
      </w:r>
    </w:p>
    <w:p w14:paraId="76E68D81" w14:textId="77777777" w:rsidR="00E14121" w:rsidRPr="00D1505E" w:rsidRDefault="00E14121" w:rsidP="00E14121">
      <w:pPr>
        <w:pStyle w:val="NormalHanging12a"/>
      </w:pPr>
      <w:r w:rsidRPr="00D1505E">
        <w:t>66.</w:t>
      </w:r>
      <w:r w:rsidRPr="00D1505E">
        <w:tab/>
        <w:t>understreger vigtigheden af at beskytte og fremme sproglige mindretal i EU's landdistrikter og anerkende dem som en integreret del af Europas kulturarv og som en drivkraft for regional udvikling; opfordrer derfor Kommissionen og medlemsstaterne til at tildele midler fra samhørighedspolitikken til at støtte projekter for fremme af sprog, uddannelse, kulturturisme og lokalt iværksætteri, der har forbindelse til regionens sproglige og kulturelle traditioner;</w:t>
      </w:r>
    </w:p>
    <w:p w14:paraId="05CF8946" w14:textId="77777777" w:rsidR="00E14121" w:rsidRPr="00D1505E" w:rsidRDefault="00E14121" w:rsidP="00E14121">
      <w:pPr>
        <w:pStyle w:val="NormalHanging12a"/>
      </w:pPr>
      <w:r w:rsidRPr="00D1505E">
        <w:t>67.</w:t>
      </w:r>
      <w:r w:rsidRPr="00D1505E">
        <w:tab/>
        <w:t>opfordrer indtrængende Kommissionen og medlemsstaterne til at styrke turismen i landdistrikter og affolkede områder eller områder i fare for affolkning ved at finansiere tiltag, der fremmer historiske landsbyer og traditionelle lokale produkter, og ved at etablere nye grønne ruter og andre naturstier samt anvende et mærke til anerkendelse af områder, der er særlig egnede til turisme i landdistrikter og naturturisme, i stil med "det blå flag", der gives til strande;</w:t>
      </w:r>
    </w:p>
    <w:p w14:paraId="05D1FC34" w14:textId="77777777" w:rsidR="00E14121" w:rsidRPr="00D1505E" w:rsidRDefault="00E14121" w:rsidP="00E14121">
      <w:pPr>
        <w:pStyle w:val="NormalHanging12a"/>
        <w:rPr>
          <w:szCs w:val="24"/>
        </w:rPr>
      </w:pPr>
      <w:r w:rsidRPr="00D1505E">
        <w:t>68.</w:t>
      </w:r>
      <w:r w:rsidRPr="00D1505E">
        <w:tab/>
        <w:t>der henviser til, at kommunerne i nogle medlemsstater spiller en afgørende rolle som drivkraft for regional økonomisk udvikling, hvor de nyder godt af store skatteprovenuer, som indhentes via deres lokale økonomier; fremhæver, at disse provenuer kan motivere kommuner til at investere EU</w:t>
      </w:r>
      <w:r w:rsidRPr="00D1505E">
        <w:noBreakHyphen/>
        <w:t>samhørighedsmidler i at øge deres skattegrundlag fremover, fremme langsigtet lokal økonomisk vækst og sikre langsigtede skatteprovenuer; opfordrer Kommissionen til med henblik herpå at indlede en dialog om de mulige fordele ved at dele skatter på økonomiske aktiviteter med kommuner, idet der tages behørigt hensyn til nærhedsprincippet i skattemæssige anliggender;</w:t>
      </w:r>
    </w:p>
    <w:p w14:paraId="63C50C16" w14:textId="77777777" w:rsidR="00E14121" w:rsidRPr="00D1505E" w:rsidRDefault="00E14121" w:rsidP="00E14121">
      <w:pPr>
        <w:pStyle w:val="NormalHanging12a"/>
      </w:pPr>
      <w:r w:rsidRPr="00D1505E">
        <w:t>69.</w:t>
      </w:r>
      <w:r w:rsidRPr="00D1505E">
        <w:tab/>
        <w:t>fastholder, at overdrevent bureaukrati ikke bør forhindre landbrugere i at koncentrere sig om bæredygtig fødevareproduktion og økonomisk udvikling af landdistrikter; opfordrer Kommissionen og medlemsstaterne til at medtage en stærk landdistriktsdimension i de fremtidige forordninger om samhørighedspolitikken og til som en prioritet at fremme bedre regulering med henblik på at mindske de administrative byrder og tage skridt til at sikre konkurrenceevnen for virksomheder i landdistrikterne, navnlig SMV'er, kooperativer og borgerstyrede samfund, og til at fremme lettere og mere effektiv adgang til midler, omkostningsreduktioner og forenklede ansøgnings- og evalueringsprocesser for EU-finansiering, navnlig for små støttemodtagere; bekræfter på ny, at optimering af procedurerne, mindskelse af bureaukratiet og forbedring af gennemsigtigheden er uundværlige foranstaltninger til at forbedre adgangen til tilgængelige ressourcer; opfordrer derfor Kommissionen til at stille behørige rådgivende tjenester og teknisk bistand til rådighed for forvaltningsmyndigheder og derved bidrage til en øget udnyttelsesgrad;</w:t>
      </w:r>
    </w:p>
    <w:p w14:paraId="196DA6D9" w14:textId="77777777" w:rsidR="00E14121" w:rsidRPr="00D1505E" w:rsidRDefault="00E14121" w:rsidP="00E14121">
      <w:pPr>
        <w:pStyle w:val="NormalHanging12a"/>
        <w:rPr>
          <w:szCs w:val="24"/>
        </w:rPr>
      </w:pPr>
      <w:r w:rsidRPr="00D1505E">
        <w:t>70.</w:t>
      </w:r>
      <w:r w:rsidRPr="00D1505E">
        <w:tab/>
        <w:t>efterlyser en mere integreret tilgang mellem EU's industripolitik og samhørighedspolitik for at sikre, at strategier for regionaludvikling er på linje med tiltag for industriel omstilling, navnlig i nordlige, tyndt befolkede områder;</w:t>
      </w:r>
    </w:p>
    <w:p w14:paraId="1EA69A2B" w14:textId="77777777" w:rsidR="00E14121" w:rsidRPr="00D1505E" w:rsidRDefault="00E14121" w:rsidP="00E14121">
      <w:pPr>
        <w:pStyle w:val="NormalHanging12a"/>
        <w:rPr>
          <w:szCs w:val="24"/>
        </w:rPr>
      </w:pPr>
      <w:r w:rsidRPr="00D1505E">
        <w:lastRenderedPageBreak/>
        <w:t>71.</w:t>
      </w:r>
      <w:r w:rsidRPr="00D1505E">
        <w:tab/>
        <w:t>fremhæver vigtigheden af SMV'er i teknologiske sektorer for digitalisering og økonomisk modstandsdygtighed i landdistrikter; opfordrer Kommissionen til at sikre, at offentlige foranstaltninger støtter lokale virksomheder og fremmer nærhedsbaserede økonomier, og undgå kriterier, der kan stille mindre virksomheder dårligere;</w:t>
      </w:r>
    </w:p>
    <w:p w14:paraId="78751419" w14:textId="77777777" w:rsidR="00E14121" w:rsidRPr="00D1505E" w:rsidRDefault="00E14121" w:rsidP="00E14121">
      <w:pPr>
        <w:pStyle w:val="NormalHanging12a"/>
        <w:rPr>
          <w:szCs w:val="24"/>
        </w:rPr>
      </w:pPr>
      <w:r w:rsidRPr="00D1505E">
        <w:t>72.</w:t>
      </w:r>
      <w:r w:rsidRPr="00D1505E">
        <w:tab/>
        <w:t>understreger behovet for bedre afstemning mellem eksisterende instrumenter til territorial udvikling og strukturfonde, herunder initiativer såsom "Udnyttelse af talent" og borgmesterpagten;</w:t>
      </w:r>
    </w:p>
    <w:p w14:paraId="3E90F0ED" w14:textId="77777777" w:rsidR="00F02243" w:rsidRPr="00D1505E" w:rsidRDefault="00E14121" w:rsidP="00F02243">
      <w:pPr>
        <w:pStyle w:val="NormalHanging12a"/>
      </w:pPr>
      <w:r w:rsidRPr="00D1505E">
        <w:t>73.</w:t>
      </w:r>
      <w:r w:rsidRPr="00D1505E">
        <w:tab/>
        <w:t>pålægger sin formand at sende denne beslutning til Rådet og Europa-Kommissionen.</w:t>
      </w:r>
    </w:p>
    <w:p w14:paraId="59779906" w14:textId="77777777" w:rsidR="00E365E1" w:rsidRPr="00D1505E" w:rsidRDefault="00E365E1" w:rsidP="00DE48C5"/>
    <w:sectPr w:rsidR="00E365E1" w:rsidRPr="00D1505E" w:rsidSect="00F0224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26272" w14:textId="77777777" w:rsidR="00D875A4" w:rsidRPr="00F02243" w:rsidRDefault="00D875A4">
      <w:r w:rsidRPr="00F02243">
        <w:separator/>
      </w:r>
    </w:p>
  </w:endnote>
  <w:endnote w:type="continuationSeparator" w:id="0">
    <w:p w14:paraId="0A96C730" w14:textId="77777777" w:rsidR="00D875A4" w:rsidRPr="00F02243" w:rsidRDefault="00D875A4">
      <w:r w:rsidRPr="00F022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656CE" w14:textId="77777777" w:rsidR="00D875A4" w:rsidRPr="00F02243" w:rsidRDefault="00D875A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835D" w14:textId="77777777" w:rsidR="00D875A4" w:rsidRPr="00F02243" w:rsidRDefault="00D875A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A8BFA" w14:textId="77777777" w:rsidR="00D875A4" w:rsidRPr="00F02243" w:rsidRDefault="00D875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7423F" w14:textId="77777777" w:rsidR="00D875A4" w:rsidRPr="00F02243" w:rsidRDefault="00D875A4">
      <w:r w:rsidRPr="00F02243">
        <w:separator/>
      </w:r>
    </w:p>
  </w:footnote>
  <w:footnote w:type="continuationSeparator" w:id="0">
    <w:p w14:paraId="3181FB8B" w14:textId="77777777" w:rsidR="00D875A4" w:rsidRPr="00F02243" w:rsidRDefault="00D875A4">
      <w:r w:rsidRPr="00F02243">
        <w:continuationSeparator/>
      </w:r>
    </w:p>
  </w:footnote>
  <w:footnote w:id="1">
    <w:p w14:paraId="2A2BECA7"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125</w:t>
      </w:r>
      <w:r w:rsidRPr="00F02243">
        <w:rPr>
          <w:sz w:val="24"/>
          <w:lang w:val="da-DK"/>
        </w:rPr>
        <w:t xml:space="preserve"> af </w:t>
      </w:r>
      <w:r w:rsidRPr="00323F49">
        <w:rPr>
          <w:sz w:val="24"/>
          <w:lang w:val="da-DK"/>
        </w:rPr>
        <w:t>5</w:t>
      </w:r>
      <w:r w:rsidRPr="00F02243">
        <w:rPr>
          <w:sz w:val="24"/>
          <w:lang w:val="da-DK"/>
        </w:rPr>
        <w:t>.</w:t>
      </w:r>
      <w:r w:rsidRPr="00323F49">
        <w:rPr>
          <w:sz w:val="24"/>
          <w:lang w:val="da-DK"/>
        </w:rPr>
        <w:t>4</w:t>
      </w:r>
      <w:r w:rsidRPr="00F02243">
        <w:rPr>
          <w:sz w:val="24"/>
          <w:lang w:val="da-DK"/>
        </w:rPr>
        <w:t>.</w:t>
      </w:r>
      <w:r w:rsidRPr="00323F49">
        <w:rPr>
          <w:sz w:val="24"/>
          <w:lang w:val="da-DK"/>
        </w:rPr>
        <w:t>2023</w:t>
      </w:r>
      <w:r w:rsidRPr="00F02243">
        <w:rPr>
          <w:sz w:val="24"/>
          <w:lang w:val="da-DK"/>
        </w:rPr>
        <w:t xml:space="preserve">, s. </w:t>
      </w:r>
      <w:r w:rsidRPr="00323F49">
        <w:rPr>
          <w:sz w:val="24"/>
          <w:lang w:val="da-DK"/>
        </w:rPr>
        <w:t>114</w:t>
      </w:r>
      <w:r w:rsidRPr="00F02243">
        <w:rPr>
          <w:sz w:val="24"/>
          <w:lang w:val="da-DK"/>
        </w:rPr>
        <w:t>.</w:t>
      </w:r>
    </w:p>
  </w:footnote>
  <w:footnote w:id="2">
    <w:p w14:paraId="722284FA"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Vedtagne tekster, P</w:t>
      </w:r>
      <w:r w:rsidRPr="00323F49">
        <w:rPr>
          <w:sz w:val="24"/>
          <w:lang w:val="da-DK"/>
        </w:rPr>
        <w:t>10</w:t>
      </w:r>
      <w:r w:rsidRPr="00F02243">
        <w:rPr>
          <w:sz w:val="24"/>
          <w:lang w:val="da-DK"/>
        </w:rPr>
        <w:t>_</w:t>
      </w:r>
      <w:proofErr w:type="gramStart"/>
      <w:r w:rsidRPr="00F02243">
        <w:rPr>
          <w:sz w:val="24"/>
          <w:lang w:val="da-DK"/>
        </w:rPr>
        <w:t>TA(</w:t>
      </w:r>
      <w:proofErr w:type="gramEnd"/>
      <w:r w:rsidRPr="00323F49">
        <w:rPr>
          <w:sz w:val="24"/>
          <w:lang w:val="da-DK"/>
        </w:rPr>
        <w:t>2025</w:t>
      </w:r>
      <w:r w:rsidRPr="00F02243">
        <w:rPr>
          <w:sz w:val="24"/>
          <w:lang w:val="da-DK"/>
        </w:rPr>
        <w:t>)</w:t>
      </w:r>
      <w:r w:rsidRPr="00323F49">
        <w:rPr>
          <w:sz w:val="24"/>
          <w:lang w:val="da-DK"/>
        </w:rPr>
        <w:t>0098</w:t>
      </w:r>
      <w:r w:rsidRPr="00F02243">
        <w:rPr>
          <w:sz w:val="24"/>
          <w:lang w:val="da-DK"/>
        </w:rPr>
        <w:t>.</w:t>
      </w:r>
    </w:p>
  </w:footnote>
  <w:footnote w:id="3">
    <w:p w14:paraId="31546182"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188</w:t>
      </w:r>
      <w:r w:rsidRPr="00F02243">
        <w:rPr>
          <w:sz w:val="24"/>
          <w:lang w:val="da-DK"/>
        </w:rPr>
        <w:t xml:space="preserve"> af </w:t>
      </w:r>
      <w:r w:rsidRPr="00323F49">
        <w:rPr>
          <w:sz w:val="24"/>
          <w:lang w:val="da-DK"/>
        </w:rPr>
        <w:t>30</w:t>
      </w:r>
      <w:r w:rsidRPr="00F02243">
        <w:rPr>
          <w:sz w:val="24"/>
          <w:lang w:val="da-DK"/>
        </w:rPr>
        <w:t>.</w:t>
      </w:r>
      <w:r w:rsidRPr="00323F49">
        <w:rPr>
          <w:sz w:val="24"/>
          <w:lang w:val="da-DK"/>
        </w:rPr>
        <w:t>5</w:t>
      </w:r>
      <w:r w:rsidRPr="00F02243">
        <w:rPr>
          <w:sz w:val="24"/>
          <w:lang w:val="da-DK"/>
        </w:rPr>
        <w:t>.</w:t>
      </w:r>
      <w:r w:rsidRPr="00323F49">
        <w:rPr>
          <w:sz w:val="24"/>
          <w:lang w:val="da-DK"/>
        </w:rPr>
        <w:t>2023</w:t>
      </w:r>
      <w:r w:rsidRPr="00F02243">
        <w:rPr>
          <w:sz w:val="24"/>
          <w:lang w:val="da-DK"/>
        </w:rPr>
        <w:t xml:space="preserve">, s. </w:t>
      </w:r>
      <w:r w:rsidRPr="00323F49">
        <w:rPr>
          <w:sz w:val="24"/>
          <w:lang w:val="da-DK"/>
        </w:rPr>
        <w:t>14</w:t>
      </w:r>
      <w:r w:rsidRPr="00F02243">
        <w:rPr>
          <w:sz w:val="24"/>
          <w:lang w:val="da-DK"/>
        </w:rPr>
        <w:t>.</w:t>
      </w:r>
    </w:p>
  </w:footnote>
  <w:footnote w:id="4">
    <w:p w14:paraId="0D2D8748"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79</w:t>
      </w:r>
      <w:r w:rsidRPr="00F02243">
        <w:rPr>
          <w:sz w:val="24"/>
          <w:lang w:val="da-DK"/>
        </w:rPr>
        <w:t xml:space="preserve"> af </w:t>
      </w:r>
      <w:r w:rsidRPr="00323F49">
        <w:rPr>
          <w:sz w:val="24"/>
          <w:lang w:val="da-DK"/>
        </w:rPr>
        <w:t>2</w:t>
      </w:r>
      <w:r w:rsidRPr="00F02243">
        <w:rPr>
          <w:sz w:val="24"/>
          <w:lang w:val="da-DK"/>
        </w:rPr>
        <w:t>.</w:t>
      </w:r>
      <w:r w:rsidRPr="00323F49">
        <w:rPr>
          <w:sz w:val="24"/>
          <w:lang w:val="da-DK"/>
        </w:rPr>
        <w:t>3</w:t>
      </w:r>
      <w:r w:rsidRPr="00F02243">
        <w:rPr>
          <w:sz w:val="24"/>
          <w:lang w:val="da-DK"/>
        </w:rPr>
        <w:t>.</w:t>
      </w:r>
      <w:r w:rsidRPr="00323F49">
        <w:rPr>
          <w:sz w:val="24"/>
          <w:lang w:val="da-DK"/>
        </w:rPr>
        <w:t>2023</w:t>
      </w:r>
      <w:r w:rsidRPr="00F02243">
        <w:rPr>
          <w:sz w:val="24"/>
          <w:lang w:val="da-DK"/>
        </w:rPr>
        <w:t xml:space="preserve">, s. </w:t>
      </w:r>
      <w:r w:rsidRPr="00323F49">
        <w:rPr>
          <w:sz w:val="24"/>
          <w:lang w:val="da-DK"/>
        </w:rPr>
        <w:t>36</w:t>
      </w:r>
      <w:r w:rsidRPr="00F02243">
        <w:rPr>
          <w:sz w:val="24"/>
          <w:lang w:val="da-DK"/>
        </w:rPr>
        <w:t>.</w:t>
      </w:r>
    </w:p>
  </w:footnote>
  <w:footnote w:id="5">
    <w:p w14:paraId="26AB7A79"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L </w:t>
      </w:r>
      <w:r w:rsidRPr="00323F49">
        <w:rPr>
          <w:sz w:val="24"/>
          <w:lang w:val="da-DK"/>
        </w:rPr>
        <w:t>433</w:t>
      </w:r>
      <w:r>
        <w:rPr>
          <w:sz w:val="24"/>
          <w:lang w:val="da-DK"/>
        </w:rPr>
        <w:t xml:space="preserve"> </w:t>
      </w:r>
      <w:r w:rsidRPr="00F02243">
        <w:rPr>
          <w:sz w:val="24"/>
          <w:lang w:val="da-DK"/>
        </w:rPr>
        <w:t xml:space="preserve">I af </w:t>
      </w:r>
      <w:r w:rsidRPr="00323F49">
        <w:rPr>
          <w:sz w:val="24"/>
          <w:lang w:val="da-DK"/>
        </w:rPr>
        <w:t>22</w:t>
      </w:r>
      <w:r w:rsidRPr="00F02243">
        <w:rPr>
          <w:sz w:val="24"/>
          <w:lang w:val="da-DK"/>
        </w:rPr>
        <w:t>.</w:t>
      </w:r>
      <w:r w:rsidRPr="00323F49">
        <w:rPr>
          <w:sz w:val="24"/>
          <w:lang w:val="da-DK"/>
        </w:rPr>
        <w:t>12</w:t>
      </w:r>
      <w:r w:rsidRPr="00F02243">
        <w:rPr>
          <w:sz w:val="24"/>
          <w:lang w:val="da-DK"/>
        </w:rPr>
        <w:t>.</w:t>
      </w:r>
      <w:r w:rsidRPr="00323F49">
        <w:rPr>
          <w:sz w:val="24"/>
          <w:lang w:val="da-DK"/>
        </w:rPr>
        <w:t>2020</w:t>
      </w:r>
      <w:r w:rsidRPr="00F02243">
        <w:rPr>
          <w:sz w:val="24"/>
          <w:lang w:val="da-DK"/>
        </w:rPr>
        <w:t xml:space="preserve">, s. </w:t>
      </w:r>
      <w:r w:rsidRPr="00323F49">
        <w:rPr>
          <w:sz w:val="24"/>
          <w:lang w:val="da-DK"/>
        </w:rPr>
        <w:t>11</w:t>
      </w:r>
      <w:r w:rsidRPr="00F02243">
        <w:rPr>
          <w:sz w:val="24"/>
          <w:lang w:val="da-DK"/>
        </w:rPr>
        <w:t xml:space="preserve">, ELI: </w:t>
      </w:r>
      <w:hyperlink r:id="rId1" w:history="1">
        <w:r w:rsidRPr="00D875A4">
          <w:rPr>
            <w:rStyle w:val="Hyperlink"/>
            <w:sz w:val="24"/>
            <w:lang w:val="da-DK"/>
          </w:rPr>
          <w:t>http://data.europa.eu/eli/reg/</w:t>
        </w:r>
        <w:r w:rsidRPr="00323F49">
          <w:rPr>
            <w:rStyle w:val="Hyperlink"/>
            <w:sz w:val="24"/>
            <w:lang w:val="da-DK"/>
          </w:rPr>
          <w:t>2020</w:t>
        </w:r>
        <w:r w:rsidRPr="00D875A4">
          <w:rPr>
            <w:rStyle w:val="Hyperlink"/>
            <w:sz w:val="24"/>
            <w:lang w:val="da-DK"/>
          </w:rPr>
          <w:t>/</w:t>
        </w:r>
        <w:r w:rsidRPr="00323F49">
          <w:rPr>
            <w:rStyle w:val="Hyperlink"/>
            <w:sz w:val="24"/>
            <w:lang w:val="da-DK"/>
          </w:rPr>
          <w:t>2093</w:t>
        </w:r>
        <w:r w:rsidRPr="00D875A4">
          <w:rPr>
            <w:rStyle w:val="Hyperlink"/>
            <w:sz w:val="24"/>
            <w:lang w:val="da-DK"/>
          </w:rPr>
          <w:t>/oj</w:t>
        </w:r>
      </w:hyperlink>
      <w:r w:rsidRPr="00F02243">
        <w:rPr>
          <w:sz w:val="24"/>
          <w:lang w:val="da-DK"/>
        </w:rPr>
        <w:t>.</w:t>
      </w:r>
    </w:p>
  </w:footnote>
  <w:footnote w:id="6">
    <w:p w14:paraId="1B8638F8"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L </w:t>
      </w:r>
      <w:r w:rsidRPr="00323F49">
        <w:rPr>
          <w:sz w:val="24"/>
          <w:lang w:val="da-DK"/>
        </w:rPr>
        <w:t>243</w:t>
      </w:r>
      <w:r w:rsidRPr="00F02243">
        <w:rPr>
          <w:sz w:val="24"/>
          <w:lang w:val="da-DK"/>
        </w:rPr>
        <w:t xml:space="preserve"> af </w:t>
      </w:r>
      <w:r w:rsidRPr="00323F49">
        <w:rPr>
          <w:sz w:val="24"/>
          <w:lang w:val="da-DK"/>
        </w:rPr>
        <w:t>9</w:t>
      </w:r>
      <w:r w:rsidRPr="00F02243">
        <w:rPr>
          <w:sz w:val="24"/>
          <w:lang w:val="da-DK"/>
        </w:rPr>
        <w:t>.</w:t>
      </w:r>
      <w:r w:rsidRPr="00323F49">
        <w:rPr>
          <w:sz w:val="24"/>
          <w:lang w:val="da-DK"/>
        </w:rPr>
        <w:t>7</w:t>
      </w:r>
      <w:r w:rsidRPr="00F02243">
        <w:rPr>
          <w:sz w:val="24"/>
          <w:lang w:val="da-DK"/>
        </w:rPr>
        <w:t>.</w:t>
      </w:r>
      <w:r w:rsidRPr="00323F49">
        <w:rPr>
          <w:sz w:val="24"/>
          <w:lang w:val="da-DK"/>
        </w:rPr>
        <w:t>2021</w:t>
      </w:r>
      <w:r w:rsidRPr="00F02243">
        <w:rPr>
          <w:sz w:val="24"/>
          <w:lang w:val="da-DK"/>
        </w:rPr>
        <w:t xml:space="preserve">, s. </w:t>
      </w:r>
      <w:r w:rsidRPr="00323F49">
        <w:rPr>
          <w:sz w:val="24"/>
          <w:lang w:val="da-DK"/>
        </w:rPr>
        <w:t>1</w:t>
      </w:r>
      <w:r w:rsidRPr="00F02243">
        <w:rPr>
          <w:sz w:val="24"/>
          <w:lang w:val="da-DK"/>
        </w:rPr>
        <w:t xml:space="preserve">, ELI: </w:t>
      </w:r>
      <w:hyperlink r:id="rId2" w:history="1">
        <w:r w:rsidRPr="00D875A4">
          <w:rPr>
            <w:rStyle w:val="Hyperlink"/>
            <w:sz w:val="24"/>
            <w:lang w:val="da-DK"/>
          </w:rPr>
          <w:t>http://data.europa.eu/eli/reg/</w:t>
        </w:r>
        <w:r w:rsidRPr="00323F49">
          <w:rPr>
            <w:rStyle w:val="Hyperlink"/>
            <w:sz w:val="24"/>
            <w:lang w:val="da-DK"/>
          </w:rPr>
          <w:t>2021</w:t>
        </w:r>
        <w:r w:rsidRPr="00D875A4">
          <w:rPr>
            <w:rStyle w:val="Hyperlink"/>
            <w:sz w:val="24"/>
            <w:lang w:val="da-DK"/>
          </w:rPr>
          <w:t>/</w:t>
        </w:r>
        <w:r w:rsidRPr="00323F49">
          <w:rPr>
            <w:rStyle w:val="Hyperlink"/>
            <w:sz w:val="24"/>
            <w:lang w:val="da-DK"/>
          </w:rPr>
          <w:t>1119</w:t>
        </w:r>
        <w:r w:rsidRPr="00D875A4">
          <w:rPr>
            <w:rStyle w:val="Hyperlink"/>
            <w:sz w:val="24"/>
            <w:lang w:val="da-DK"/>
          </w:rPr>
          <w:t>/oj</w:t>
        </w:r>
      </w:hyperlink>
      <w:r w:rsidRPr="00F02243">
        <w:rPr>
          <w:sz w:val="24"/>
          <w:lang w:val="da-DK"/>
        </w:rPr>
        <w:t>.</w:t>
      </w:r>
    </w:p>
  </w:footnote>
  <w:footnote w:id="7">
    <w:p w14:paraId="074440BD"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L </w:t>
      </w:r>
      <w:r w:rsidRPr="00323F49">
        <w:rPr>
          <w:sz w:val="24"/>
          <w:lang w:val="da-DK"/>
        </w:rPr>
        <w:t>435</w:t>
      </w:r>
      <w:r w:rsidRPr="00F02243">
        <w:rPr>
          <w:sz w:val="24"/>
          <w:lang w:val="da-DK"/>
        </w:rPr>
        <w:t xml:space="preserve"> af </w:t>
      </w:r>
      <w:r w:rsidRPr="00323F49">
        <w:rPr>
          <w:sz w:val="24"/>
          <w:lang w:val="da-DK"/>
        </w:rPr>
        <w:t>6</w:t>
      </w:r>
      <w:r w:rsidRPr="00F02243">
        <w:rPr>
          <w:sz w:val="24"/>
          <w:lang w:val="da-DK"/>
        </w:rPr>
        <w:t>.</w:t>
      </w:r>
      <w:r w:rsidRPr="00323F49">
        <w:rPr>
          <w:sz w:val="24"/>
          <w:lang w:val="da-DK"/>
        </w:rPr>
        <w:t>12</w:t>
      </w:r>
      <w:r w:rsidRPr="00F02243">
        <w:rPr>
          <w:sz w:val="24"/>
          <w:lang w:val="da-DK"/>
        </w:rPr>
        <w:t>.</w:t>
      </w:r>
      <w:r w:rsidRPr="00323F49">
        <w:rPr>
          <w:sz w:val="24"/>
          <w:lang w:val="da-DK"/>
        </w:rPr>
        <w:t>2021</w:t>
      </w:r>
      <w:r w:rsidRPr="00F02243">
        <w:rPr>
          <w:sz w:val="24"/>
          <w:lang w:val="da-DK"/>
        </w:rPr>
        <w:t xml:space="preserve">, s. </w:t>
      </w:r>
      <w:r w:rsidRPr="00323F49">
        <w:rPr>
          <w:sz w:val="24"/>
          <w:lang w:val="da-DK"/>
        </w:rPr>
        <w:t>1</w:t>
      </w:r>
      <w:r w:rsidRPr="00F02243">
        <w:rPr>
          <w:sz w:val="24"/>
          <w:lang w:val="da-DK"/>
        </w:rPr>
        <w:t xml:space="preserve">, ELI: </w:t>
      </w:r>
      <w:hyperlink r:id="rId3" w:history="1">
        <w:r w:rsidRPr="00D875A4">
          <w:rPr>
            <w:rStyle w:val="Hyperlink"/>
            <w:sz w:val="24"/>
            <w:lang w:val="da-DK"/>
          </w:rPr>
          <w:t>http://data.europa.eu/eli/reg/</w:t>
        </w:r>
        <w:r w:rsidRPr="00323F49">
          <w:rPr>
            <w:rStyle w:val="Hyperlink"/>
            <w:sz w:val="24"/>
            <w:lang w:val="da-DK"/>
          </w:rPr>
          <w:t>2021</w:t>
        </w:r>
        <w:r w:rsidRPr="00D875A4">
          <w:rPr>
            <w:rStyle w:val="Hyperlink"/>
            <w:sz w:val="24"/>
            <w:lang w:val="da-DK"/>
          </w:rPr>
          <w:t>/</w:t>
        </w:r>
        <w:r w:rsidRPr="00323F49">
          <w:rPr>
            <w:rStyle w:val="Hyperlink"/>
            <w:sz w:val="24"/>
            <w:lang w:val="da-DK"/>
          </w:rPr>
          <w:t>2115</w:t>
        </w:r>
        <w:r w:rsidRPr="00D875A4">
          <w:rPr>
            <w:rStyle w:val="Hyperlink"/>
            <w:sz w:val="24"/>
            <w:lang w:val="da-DK"/>
          </w:rPr>
          <w:t>/oj</w:t>
        </w:r>
      </w:hyperlink>
      <w:r w:rsidRPr="00F02243">
        <w:rPr>
          <w:sz w:val="24"/>
          <w:lang w:val="da-DK"/>
        </w:rPr>
        <w:t>.</w:t>
      </w:r>
    </w:p>
  </w:footnote>
  <w:footnote w:id="8">
    <w:p w14:paraId="60744071"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L </w:t>
      </w:r>
      <w:r w:rsidRPr="00323F49">
        <w:rPr>
          <w:sz w:val="24"/>
          <w:lang w:val="da-DK"/>
        </w:rPr>
        <w:t>435</w:t>
      </w:r>
      <w:r w:rsidRPr="00F02243">
        <w:rPr>
          <w:sz w:val="24"/>
          <w:lang w:val="da-DK"/>
        </w:rPr>
        <w:t xml:space="preserve"> af </w:t>
      </w:r>
      <w:r w:rsidRPr="00323F49">
        <w:rPr>
          <w:sz w:val="24"/>
          <w:lang w:val="da-DK"/>
        </w:rPr>
        <w:t>6</w:t>
      </w:r>
      <w:r w:rsidRPr="00F02243">
        <w:rPr>
          <w:sz w:val="24"/>
          <w:lang w:val="da-DK"/>
        </w:rPr>
        <w:t>.</w:t>
      </w:r>
      <w:r w:rsidRPr="00323F49">
        <w:rPr>
          <w:sz w:val="24"/>
          <w:lang w:val="da-DK"/>
        </w:rPr>
        <w:t>12</w:t>
      </w:r>
      <w:r w:rsidRPr="00F02243">
        <w:rPr>
          <w:sz w:val="24"/>
          <w:lang w:val="da-DK"/>
        </w:rPr>
        <w:t>.</w:t>
      </w:r>
      <w:r w:rsidRPr="00323F49">
        <w:rPr>
          <w:sz w:val="24"/>
          <w:lang w:val="da-DK"/>
        </w:rPr>
        <w:t>2021</w:t>
      </w:r>
      <w:r w:rsidRPr="00F02243">
        <w:rPr>
          <w:sz w:val="24"/>
          <w:lang w:val="da-DK"/>
        </w:rPr>
        <w:t xml:space="preserve">, s. </w:t>
      </w:r>
      <w:r w:rsidRPr="00323F49">
        <w:rPr>
          <w:sz w:val="24"/>
          <w:lang w:val="da-DK"/>
        </w:rPr>
        <w:t>187</w:t>
      </w:r>
      <w:r w:rsidRPr="00F02243">
        <w:rPr>
          <w:sz w:val="24"/>
          <w:lang w:val="da-DK"/>
        </w:rPr>
        <w:t xml:space="preserve">, ELI: </w:t>
      </w:r>
      <w:hyperlink r:id="rId4" w:history="1">
        <w:r w:rsidRPr="00D875A4">
          <w:rPr>
            <w:rStyle w:val="Hyperlink"/>
            <w:sz w:val="24"/>
            <w:lang w:val="da-DK"/>
          </w:rPr>
          <w:t>http://data.europa.eu/eli/reg/</w:t>
        </w:r>
        <w:r w:rsidRPr="00323F49">
          <w:rPr>
            <w:rStyle w:val="Hyperlink"/>
            <w:sz w:val="24"/>
            <w:lang w:val="da-DK"/>
          </w:rPr>
          <w:t>2021</w:t>
        </w:r>
        <w:r w:rsidRPr="00D875A4">
          <w:rPr>
            <w:rStyle w:val="Hyperlink"/>
            <w:sz w:val="24"/>
            <w:lang w:val="da-DK"/>
          </w:rPr>
          <w:t>/</w:t>
        </w:r>
        <w:r w:rsidRPr="00323F49">
          <w:rPr>
            <w:rStyle w:val="Hyperlink"/>
            <w:sz w:val="24"/>
            <w:lang w:val="da-DK"/>
          </w:rPr>
          <w:t>2116</w:t>
        </w:r>
        <w:r w:rsidRPr="00D875A4">
          <w:rPr>
            <w:rStyle w:val="Hyperlink"/>
            <w:sz w:val="24"/>
            <w:lang w:val="da-DK"/>
          </w:rPr>
          <w:t>/oj</w:t>
        </w:r>
      </w:hyperlink>
      <w:r w:rsidRPr="00F02243">
        <w:rPr>
          <w:sz w:val="24"/>
          <w:lang w:val="da-DK"/>
        </w:rPr>
        <w:t>.</w:t>
      </w:r>
    </w:p>
  </w:footnote>
  <w:footnote w:id="9">
    <w:p w14:paraId="66D90837"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L </w:t>
      </w:r>
      <w:r w:rsidRPr="00323F49">
        <w:rPr>
          <w:sz w:val="24"/>
          <w:lang w:val="da-DK"/>
        </w:rPr>
        <w:t>231</w:t>
      </w:r>
      <w:r w:rsidRPr="00F02243">
        <w:rPr>
          <w:sz w:val="24"/>
          <w:lang w:val="da-DK"/>
        </w:rPr>
        <w:t xml:space="preserve"> af </w:t>
      </w:r>
      <w:r w:rsidRPr="00323F49">
        <w:rPr>
          <w:sz w:val="24"/>
          <w:lang w:val="da-DK"/>
        </w:rPr>
        <w:t>30</w:t>
      </w:r>
      <w:r w:rsidRPr="00F02243">
        <w:rPr>
          <w:sz w:val="24"/>
          <w:lang w:val="da-DK"/>
        </w:rPr>
        <w:t>.</w:t>
      </w:r>
      <w:r w:rsidRPr="00323F49">
        <w:rPr>
          <w:sz w:val="24"/>
          <w:lang w:val="da-DK"/>
        </w:rPr>
        <w:t>6</w:t>
      </w:r>
      <w:r w:rsidRPr="00F02243">
        <w:rPr>
          <w:sz w:val="24"/>
          <w:lang w:val="da-DK"/>
        </w:rPr>
        <w:t>.</w:t>
      </w:r>
      <w:r w:rsidRPr="00323F49">
        <w:rPr>
          <w:sz w:val="24"/>
          <w:lang w:val="da-DK"/>
        </w:rPr>
        <w:t>2021</w:t>
      </w:r>
      <w:r w:rsidRPr="00F02243">
        <w:rPr>
          <w:sz w:val="24"/>
          <w:lang w:val="da-DK"/>
        </w:rPr>
        <w:t xml:space="preserve">, s. </w:t>
      </w:r>
      <w:r w:rsidRPr="00323F49">
        <w:rPr>
          <w:sz w:val="24"/>
          <w:lang w:val="da-DK"/>
        </w:rPr>
        <w:t>159</w:t>
      </w:r>
      <w:r w:rsidRPr="00F02243">
        <w:rPr>
          <w:sz w:val="24"/>
          <w:lang w:val="da-DK"/>
        </w:rPr>
        <w:t xml:space="preserve">, ELI: </w:t>
      </w:r>
      <w:hyperlink r:id="rId5" w:history="1">
        <w:r w:rsidRPr="00D875A4">
          <w:rPr>
            <w:rStyle w:val="Hyperlink"/>
            <w:sz w:val="24"/>
            <w:lang w:val="da-DK"/>
          </w:rPr>
          <w:t>http://data.europa.eu/eli/reg/</w:t>
        </w:r>
        <w:r w:rsidRPr="00323F49">
          <w:rPr>
            <w:rStyle w:val="Hyperlink"/>
            <w:sz w:val="24"/>
            <w:lang w:val="da-DK"/>
          </w:rPr>
          <w:t>2021</w:t>
        </w:r>
        <w:r w:rsidRPr="00D875A4">
          <w:rPr>
            <w:rStyle w:val="Hyperlink"/>
            <w:sz w:val="24"/>
            <w:lang w:val="da-DK"/>
          </w:rPr>
          <w:t>/</w:t>
        </w:r>
        <w:r w:rsidRPr="00323F49">
          <w:rPr>
            <w:rStyle w:val="Hyperlink"/>
            <w:sz w:val="24"/>
            <w:lang w:val="da-DK"/>
          </w:rPr>
          <w:t>1060</w:t>
        </w:r>
        <w:r w:rsidRPr="00D875A4">
          <w:rPr>
            <w:rStyle w:val="Hyperlink"/>
            <w:sz w:val="24"/>
            <w:lang w:val="da-DK"/>
          </w:rPr>
          <w:t>/oj</w:t>
        </w:r>
      </w:hyperlink>
      <w:r w:rsidRPr="00F02243">
        <w:rPr>
          <w:sz w:val="24"/>
          <w:lang w:val="da-DK"/>
        </w:rPr>
        <w:t>.</w:t>
      </w:r>
    </w:p>
  </w:footnote>
  <w:footnote w:id="10">
    <w:p w14:paraId="2F1D05AA" w14:textId="77777777" w:rsidR="00D875A4" w:rsidRPr="00F02243" w:rsidRDefault="00D875A4" w:rsidP="00F02243">
      <w:pPr>
        <w:ind w:left="567" w:hanging="567"/>
      </w:pPr>
      <w:r w:rsidRPr="00F02243">
        <w:rPr>
          <w:rStyle w:val="FootnoteReference"/>
        </w:rPr>
        <w:footnoteRef/>
      </w:r>
      <w:r w:rsidRPr="00F02243">
        <w:t xml:space="preserve"> </w:t>
      </w:r>
      <w:r w:rsidRPr="00F02243">
        <w:tab/>
        <w:t xml:space="preserve">EUT L </w:t>
      </w:r>
      <w:r w:rsidRPr="00323F49">
        <w:t>166</w:t>
      </w:r>
      <w:r w:rsidRPr="00F02243">
        <w:t xml:space="preserve"> af </w:t>
      </w:r>
      <w:r w:rsidRPr="00323F49">
        <w:t>11</w:t>
      </w:r>
      <w:r w:rsidRPr="00F02243">
        <w:t>.</w:t>
      </w:r>
      <w:r w:rsidRPr="00323F49">
        <w:t>5</w:t>
      </w:r>
      <w:r w:rsidRPr="00F02243">
        <w:t>.</w:t>
      </w:r>
      <w:r w:rsidRPr="00323F49">
        <w:t>2021</w:t>
      </w:r>
      <w:r w:rsidRPr="00F02243">
        <w:t xml:space="preserve">, s. </w:t>
      </w:r>
      <w:r w:rsidRPr="00323F49">
        <w:t>1</w:t>
      </w:r>
      <w:r w:rsidRPr="00F02243">
        <w:t xml:space="preserve">, ELI: </w:t>
      </w:r>
      <w:hyperlink r:id="rId6" w:history="1">
        <w:r w:rsidRPr="00D875A4">
          <w:rPr>
            <w:rStyle w:val="Hyperlink"/>
          </w:rPr>
          <w:t>http://data.europa.eu/eli/reg/</w:t>
        </w:r>
        <w:r w:rsidRPr="00323F49">
          <w:rPr>
            <w:rStyle w:val="Hyperlink"/>
          </w:rPr>
          <w:t>2021</w:t>
        </w:r>
        <w:r w:rsidRPr="00D875A4">
          <w:rPr>
            <w:rStyle w:val="Hyperlink"/>
          </w:rPr>
          <w:t>/</w:t>
        </w:r>
        <w:r w:rsidRPr="00323F49">
          <w:rPr>
            <w:rStyle w:val="Hyperlink"/>
          </w:rPr>
          <w:t>694</w:t>
        </w:r>
        <w:r w:rsidRPr="00D875A4">
          <w:rPr>
            <w:rStyle w:val="Hyperlink"/>
          </w:rPr>
          <w:t>/oj</w:t>
        </w:r>
      </w:hyperlink>
      <w:r w:rsidRPr="00F02243">
        <w:t>.</w:t>
      </w:r>
    </w:p>
  </w:footnote>
  <w:footnote w:id="11">
    <w:p w14:paraId="076F22E1"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L </w:t>
      </w:r>
      <w:r w:rsidRPr="00323F49">
        <w:rPr>
          <w:sz w:val="24"/>
          <w:lang w:val="da-DK"/>
        </w:rPr>
        <w:t>74</w:t>
      </w:r>
      <w:r w:rsidRPr="00F02243">
        <w:rPr>
          <w:sz w:val="24"/>
          <w:lang w:val="da-DK"/>
        </w:rPr>
        <w:t xml:space="preserve"> af </w:t>
      </w:r>
      <w:r w:rsidRPr="00323F49">
        <w:rPr>
          <w:sz w:val="24"/>
          <w:lang w:val="da-DK"/>
        </w:rPr>
        <w:t>14</w:t>
      </w:r>
      <w:r w:rsidRPr="00F02243">
        <w:rPr>
          <w:sz w:val="24"/>
          <w:lang w:val="da-DK"/>
        </w:rPr>
        <w:t>.</w:t>
      </w:r>
      <w:r w:rsidRPr="00323F49">
        <w:rPr>
          <w:sz w:val="24"/>
          <w:lang w:val="da-DK"/>
        </w:rPr>
        <w:t>3</w:t>
      </w:r>
      <w:r w:rsidRPr="00F02243">
        <w:rPr>
          <w:sz w:val="24"/>
          <w:lang w:val="da-DK"/>
        </w:rPr>
        <w:t>.</w:t>
      </w:r>
      <w:r w:rsidRPr="00323F49">
        <w:rPr>
          <w:sz w:val="24"/>
          <w:lang w:val="da-DK"/>
        </w:rPr>
        <w:t>2014</w:t>
      </w:r>
      <w:r w:rsidRPr="00F02243">
        <w:rPr>
          <w:sz w:val="24"/>
          <w:lang w:val="da-DK"/>
        </w:rPr>
        <w:t xml:space="preserve">, s. </w:t>
      </w:r>
      <w:r w:rsidRPr="00323F49">
        <w:rPr>
          <w:sz w:val="24"/>
          <w:lang w:val="da-DK"/>
        </w:rPr>
        <w:t>1</w:t>
      </w:r>
      <w:r w:rsidRPr="00F02243">
        <w:rPr>
          <w:sz w:val="24"/>
          <w:lang w:val="da-DK"/>
        </w:rPr>
        <w:t xml:space="preserve">, ELI: </w:t>
      </w:r>
      <w:hyperlink r:id="rId7" w:history="1">
        <w:r w:rsidRPr="00D875A4">
          <w:rPr>
            <w:rStyle w:val="Hyperlink"/>
            <w:sz w:val="24"/>
            <w:lang w:val="da-DK"/>
          </w:rPr>
          <w:t>http://data.europa.eu/eli/reg_del/</w:t>
        </w:r>
        <w:r w:rsidRPr="00323F49">
          <w:rPr>
            <w:rStyle w:val="Hyperlink"/>
            <w:sz w:val="24"/>
            <w:lang w:val="da-DK"/>
          </w:rPr>
          <w:t>2014</w:t>
        </w:r>
        <w:r w:rsidRPr="00D875A4">
          <w:rPr>
            <w:rStyle w:val="Hyperlink"/>
            <w:sz w:val="24"/>
            <w:lang w:val="da-DK"/>
          </w:rPr>
          <w:t>/</w:t>
        </w:r>
        <w:r w:rsidRPr="00323F49">
          <w:rPr>
            <w:rStyle w:val="Hyperlink"/>
            <w:sz w:val="24"/>
            <w:lang w:val="da-DK"/>
          </w:rPr>
          <w:t>240</w:t>
        </w:r>
        <w:r w:rsidRPr="00D875A4">
          <w:rPr>
            <w:rStyle w:val="Hyperlink"/>
            <w:sz w:val="24"/>
            <w:lang w:val="da-DK"/>
          </w:rPr>
          <w:t>/oj</w:t>
        </w:r>
      </w:hyperlink>
      <w:r w:rsidRPr="00F02243">
        <w:rPr>
          <w:sz w:val="24"/>
          <w:lang w:val="da-DK"/>
        </w:rPr>
        <w:t>.</w:t>
      </w:r>
    </w:p>
  </w:footnote>
  <w:footnote w:id="12">
    <w:p w14:paraId="4D99B63A"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298</w:t>
      </w:r>
      <w:r w:rsidRPr="00F02243">
        <w:rPr>
          <w:sz w:val="24"/>
          <w:lang w:val="da-DK"/>
        </w:rPr>
        <w:t xml:space="preserve"> af </w:t>
      </w:r>
      <w:r w:rsidRPr="00323F49">
        <w:rPr>
          <w:sz w:val="24"/>
          <w:lang w:val="da-DK"/>
        </w:rPr>
        <w:t>23</w:t>
      </w:r>
      <w:r w:rsidRPr="00F02243">
        <w:rPr>
          <w:sz w:val="24"/>
          <w:lang w:val="da-DK"/>
        </w:rPr>
        <w:t>.</w:t>
      </w:r>
      <w:r w:rsidRPr="00323F49">
        <w:rPr>
          <w:sz w:val="24"/>
          <w:lang w:val="da-DK"/>
        </w:rPr>
        <w:t>8</w:t>
      </w:r>
      <w:r w:rsidRPr="00F02243">
        <w:rPr>
          <w:sz w:val="24"/>
          <w:lang w:val="da-DK"/>
        </w:rPr>
        <w:t>.</w:t>
      </w:r>
      <w:r w:rsidRPr="00323F49">
        <w:rPr>
          <w:sz w:val="24"/>
          <w:lang w:val="da-DK"/>
        </w:rPr>
        <w:t>2018</w:t>
      </w:r>
      <w:r w:rsidRPr="00F02243">
        <w:rPr>
          <w:sz w:val="24"/>
          <w:lang w:val="da-DK"/>
        </w:rPr>
        <w:t xml:space="preserve">, s. </w:t>
      </w:r>
      <w:r w:rsidRPr="00323F49">
        <w:rPr>
          <w:sz w:val="24"/>
          <w:lang w:val="da-DK"/>
        </w:rPr>
        <w:t>14</w:t>
      </w:r>
      <w:r w:rsidRPr="00F02243">
        <w:rPr>
          <w:sz w:val="24"/>
          <w:lang w:val="da-DK"/>
        </w:rPr>
        <w:t>.</w:t>
      </w:r>
    </w:p>
  </w:footnote>
  <w:footnote w:id="13">
    <w:p w14:paraId="1CF0BA85"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347</w:t>
      </w:r>
      <w:r w:rsidRPr="00F02243">
        <w:rPr>
          <w:sz w:val="24"/>
          <w:lang w:val="da-DK"/>
        </w:rPr>
        <w:t xml:space="preserve"> af </w:t>
      </w:r>
      <w:r w:rsidRPr="00323F49">
        <w:rPr>
          <w:sz w:val="24"/>
          <w:lang w:val="da-DK"/>
        </w:rPr>
        <w:t>9</w:t>
      </w:r>
      <w:r w:rsidRPr="00F02243">
        <w:rPr>
          <w:sz w:val="24"/>
          <w:lang w:val="da-DK"/>
        </w:rPr>
        <w:t>.</w:t>
      </w:r>
      <w:r w:rsidRPr="00323F49">
        <w:rPr>
          <w:sz w:val="24"/>
          <w:lang w:val="da-DK"/>
        </w:rPr>
        <w:t>9</w:t>
      </w:r>
      <w:r w:rsidRPr="00F02243">
        <w:rPr>
          <w:sz w:val="24"/>
          <w:lang w:val="da-DK"/>
        </w:rPr>
        <w:t>.</w:t>
      </w:r>
      <w:r w:rsidRPr="00323F49">
        <w:rPr>
          <w:sz w:val="24"/>
          <w:lang w:val="da-DK"/>
        </w:rPr>
        <w:t>2022</w:t>
      </w:r>
      <w:r w:rsidRPr="00F02243">
        <w:rPr>
          <w:sz w:val="24"/>
          <w:lang w:val="da-DK"/>
        </w:rPr>
        <w:t xml:space="preserve">, s. </w:t>
      </w:r>
      <w:r w:rsidRPr="00323F49">
        <w:rPr>
          <w:sz w:val="24"/>
          <w:lang w:val="da-DK"/>
        </w:rPr>
        <w:t>37</w:t>
      </w:r>
      <w:r w:rsidRPr="00F02243">
        <w:rPr>
          <w:sz w:val="24"/>
          <w:lang w:val="da-DK"/>
        </w:rPr>
        <w:t>.</w:t>
      </w:r>
    </w:p>
  </w:footnote>
  <w:footnote w:id="14">
    <w:p w14:paraId="5A3045EC"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177</w:t>
      </w:r>
      <w:r w:rsidRPr="00F02243">
        <w:rPr>
          <w:sz w:val="24"/>
          <w:lang w:val="da-DK"/>
        </w:rPr>
        <w:t xml:space="preserve"> af </w:t>
      </w:r>
      <w:r w:rsidRPr="00323F49">
        <w:rPr>
          <w:sz w:val="24"/>
          <w:lang w:val="da-DK"/>
        </w:rPr>
        <w:t>17</w:t>
      </w:r>
      <w:r w:rsidRPr="00F02243">
        <w:rPr>
          <w:sz w:val="24"/>
          <w:lang w:val="da-DK"/>
        </w:rPr>
        <w:t>.</w:t>
      </w:r>
      <w:r w:rsidRPr="00323F49">
        <w:rPr>
          <w:sz w:val="24"/>
          <w:lang w:val="da-DK"/>
        </w:rPr>
        <w:t>05</w:t>
      </w:r>
      <w:r w:rsidRPr="00F02243">
        <w:rPr>
          <w:sz w:val="24"/>
          <w:lang w:val="da-DK"/>
        </w:rPr>
        <w:t>.</w:t>
      </w:r>
      <w:r w:rsidRPr="00323F49">
        <w:rPr>
          <w:sz w:val="24"/>
          <w:lang w:val="da-DK"/>
        </w:rPr>
        <w:t>2023</w:t>
      </w:r>
      <w:r w:rsidRPr="00F02243">
        <w:rPr>
          <w:sz w:val="24"/>
          <w:lang w:val="da-DK"/>
        </w:rPr>
        <w:t xml:space="preserve">, s. </w:t>
      </w:r>
      <w:r w:rsidRPr="00323F49">
        <w:rPr>
          <w:sz w:val="24"/>
          <w:lang w:val="da-DK"/>
        </w:rPr>
        <w:t>35</w:t>
      </w:r>
      <w:r w:rsidRPr="00F02243">
        <w:rPr>
          <w:sz w:val="24"/>
          <w:lang w:val="da-DK"/>
        </w:rPr>
        <w:t>.</w:t>
      </w:r>
    </w:p>
  </w:footnote>
  <w:footnote w:id="15">
    <w:p w14:paraId="08F76520"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EUT C, C/</w:t>
      </w:r>
      <w:r w:rsidRPr="00323F49">
        <w:rPr>
          <w:sz w:val="24"/>
          <w:lang w:val="da-DK"/>
        </w:rPr>
        <w:t>2024</w:t>
      </w:r>
      <w:r w:rsidRPr="00F02243">
        <w:rPr>
          <w:sz w:val="24"/>
          <w:lang w:val="da-DK"/>
        </w:rPr>
        <w:t>/</w:t>
      </w:r>
      <w:r w:rsidRPr="00323F49">
        <w:rPr>
          <w:sz w:val="24"/>
          <w:lang w:val="da-DK"/>
        </w:rPr>
        <w:t>4225</w:t>
      </w:r>
      <w:r w:rsidRPr="00F02243">
        <w:rPr>
          <w:sz w:val="24"/>
          <w:lang w:val="da-DK"/>
        </w:rPr>
        <w:t xml:space="preserve">, </w:t>
      </w:r>
      <w:r w:rsidRPr="00323F49">
        <w:rPr>
          <w:sz w:val="24"/>
          <w:lang w:val="da-DK"/>
        </w:rPr>
        <w:t>24</w:t>
      </w:r>
      <w:r w:rsidRPr="00F02243">
        <w:rPr>
          <w:sz w:val="24"/>
          <w:lang w:val="da-DK"/>
        </w:rPr>
        <w:t>.</w:t>
      </w:r>
      <w:r w:rsidRPr="00323F49">
        <w:rPr>
          <w:sz w:val="24"/>
          <w:lang w:val="da-DK"/>
        </w:rPr>
        <w:t>7</w:t>
      </w:r>
      <w:r w:rsidRPr="00F02243">
        <w:rPr>
          <w:sz w:val="24"/>
          <w:lang w:val="da-DK"/>
        </w:rPr>
        <w:t>.</w:t>
      </w:r>
      <w:r w:rsidRPr="00323F49">
        <w:rPr>
          <w:sz w:val="24"/>
          <w:lang w:val="da-DK"/>
        </w:rPr>
        <w:t>2024</w:t>
      </w:r>
      <w:r w:rsidRPr="00F02243">
        <w:rPr>
          <w:sz w:val="24"/>
          <w:lang w:val="da-DK"/>
        </w:rPr>
        <w:t xml:space="preserve">, ELI: </w:t>
      </w:r>
      <w:hyperlink r:id="rId8" w:history="1">
        <w:r w:rsidRPr="00D875A4">
          <w:rPr>
            <w:rStyle w:val="Hyperlink"/>
            <w:sz w:val="24"/>
            <w:lang w:val="da-DK"/>
          </w:rPr>
          <w:t>http://data.europa.eu/eli/C/</w:t>
        </w:r>
        <w:r w:rsidRPr="00323F49">
          <w:rPr>
            <w:rStyle w:val="Hyperlink"/>
            <w:sz w:val="24"/>
            <w:lang w:val="da-DK"/>
          </w:rPr>
          <w:t>2024</w:t>
        </w:r>
        <w:r w:rsidRPr="00D875A4">
          <w:rPr>
            <w:rStyle w:val="Hyperlink"/>
            <w:sz w:val="24"/>
            <w:lang w:val="da-DK"/>
          </w:rPr>
          <w:t>/</w:t>
        </w:r>
        <w:r w:rsidRPr="00323F49">
          <w:rPr>
            <w:rStyle w:val="Hyperlink"/>
            <w:sz w:val="24"/>
            <w:lang w:val="da-DK"/>
          </w:rPr>
          <w:t>4225</w:t>
        </w:r>
        <w:r w:rsidRPr="00D875A4">
          <w:rPr>
            <w:rStyle w:val="Hyperlink"/>
            <w:sz w:val="24"/>
            <w:lang w:val="da-DK"/>
          </w:rPr>
          <w:t>/oj</w:t>
        </w:r>
      </w:hyperlink>
      <w:r w:rsidRPr="00F02243">
        <w:rPr>
          <w:sz w:val="24"/>
          <w:lang w:val="da-DK"/>
        </w:rPr>
        <w:t>.</w:t>
      </w:r>
    </w:p>
  </w:footnote>
  <w:footnote w:id="16">
    <w:p w14:paraId="15EF2FCE"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465</w:t>
      </w:r>
      <w:r w:rsidRPr="00F02243">
        <w:rPr>
          <w:sz w:val="24"/>
          <w:lang w:val="da-DK"/>
        </w:rPr>
        <w:t xml:space="preserve"> af </w:t>
      </w:r>
      <w:r w:rsidRPr="00323F49">
        <w:rPr>
          <w:sz w:val="24"/>
          <w:lang w:val="da-DK"/>
        </w:rPr>
        <w:t>6</w:t>
      </w:r>
      <w:r w:rsidRPr="00F02243">
        <w:rPr>
          <w:sz w:val="24"/>
          <w:lang w:val="da-DK"/>
        </w:rPr>
        <w:t>.</w:t>
      </w:r>
      <w:r w:rsidRPr="00323F49">
        <w:rPr>
          <w:sz w:val="24"/>
          <w:lang w:val="da-DK"/>
        </w:rPr>
        <w:t>12</w:t>
      </w:r>
      <w:r w:rsidRPr="00F02243">
        <w:rPr>
          <w:sz w:val="24"/>
          <w:lang w:val="da-DK"/>
        </w:rPr>
        <w:t>.</w:t>
      </w:r>
      <w:r w:rsidRPr="00323F49">
        <w:rPr>
          <w:sz w:val="24"/>
          <w:lang w:val="da-DK"/>
        </w:rPr>
        <w:t>2022</w:t>
      </w:r>
      <w:r w:rsidRPr="00F02243">
        <w:rPr>
          <w:sz w:val="24"/>
          <w:lang w:val="da-DK"/>
        </w:rPr>
        <w:t xml:space="preserve">, s. </w:t>
      </w:r>
      <w:r w:rsidRPr="00323F49">
        <w:rPr>
          <w:sz w:val="24"/>
          <w:lang w:val="da-DK"/>
        </w:rPr>
        <w:t>22</w:t>
      </w:r>
      <w:r w:rsidRPr="00F02243">
        <w:rPr>
          <w:sz w:val="24"/>
          <w:lang w:val="da-DK"/>
        </w:rPr>
        <w:t>.</w:t>
      </w:r>
    </w:p>
  </w:footnote>
  <w:footnote w:id="17">
    <w:p w14:paraId="1409A7A3"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361</w:t>
      </w:r>
      <w:r w:rsidRPr="00F02243">
        <w:rPr>
          <w:sz w:val="24"/>
          <w:lang w:val="da-DK"/>
        </w:rPr>
        <w:t xml:space="preserve"> af </w:t>
      </w:r>
      <w:r w:rsidRPr="00323F49">
        <w:rPr>
          <w:sz w:val="24"/>
          <w:lang w:val="da-DK"/>
        </w:rPr>
        <w:t>20</w:t>
      </w:r>
      <w:r w:rsidRPr="00F02243">
        <w:rPr>
          <w:sz w:val="24"/>
          <w:lang w:val="da-DK"/>
        </w:rPr>
        <w:t>.</w:t>
      </w:r>
      <w:r w:rsidRPr="00323F49">
        <w:rPr>
          <w:sz w:val="24"/>
          <w:lang w:val="da-DK"/>
        </w:rPr>
        <w:t>9</w:t>
      </w:r>
      <w:r w:rsidRPr="00F02243">
        <w:rPr>
          <w:sz w:val="24"/>
          <w:lang w:val="da-DK"/>
        </w:rPr>
        <w:t>.</w:t>
      </w:r>
      <w:r w:rsidRPr="00323F49">
        <w:rPr>
          <w:sz w:val="24"/>
          <w:lang w:val="da-DK"/>
        </w:rPr>
        <w:t>2022</w:t>
      </w:r>
      <w:r w:rsidRPr="00F02243">
        <w:rPr>
          <w:sz w:val="24"/>
          <w:lang w:val="da-DK"/>
        </w:rPr>
        <w:t xml:space="preserve">, s. </w:t>
      </w:r>
      <w:r w:rsidRPr="00323F49">
        <w:rPr>
          <w:sz w:val="24"/>
          <w:lang w:val="da-DK"/>
        </w:rPr>
        <w:t>2</w:t>
      </w:r>
      <w:r w:rsidRPr="00F02243">
        <w:rPr>
          <w:sz w:val="24"/>
          <w:lang w:val="da-DK"/>
        </w:rPr>
        <w:t>.</w:t>
      </w:r>
    </w:p>
  </w:footnote>
  <w:footnote w:id="18">
    <w:p w14:paraId="5170DBB9"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11</w:t>
      </w:r>
      <w:r w:rsidRPr="00F02243">
        <w:rPr>
          <w:sz w:val="24"/>
          <w:lang w:val="da-DK"/>
        </w:rPr>
        <w:t xml:space="preserve"> af </w:t>
      </w:r>
      <w:r w:rsidRPr="00323F49">
        <w:rPr>
          <w:sz w:val="24"/>
          <w:lang w:val="da-DK"/>
        </w:rPr>
        <w:t>13</w:t>
      </w:r>
      <w:r w:rsidRPr="00F02243">
        <w:rPr>
          <w:sz w:val="24"/>
          <w:lang w:val="da-DK"/>
        </w:rPr>
        <w:t>.</w:t>
      </w:r>
      <w:r w:rsidRPr="00323F49">
        <w:rPr>
          <w:sz w:val="24"/>
          <w:lang w:val="da-DK"/>
        </w:rPr>
        <w:t>1</w:t>
      </w:r>
      <w:r w:rsidRPr="00F02243">
        <w:rPr>
          <w:sz w:val="24"/>
          <w:lang w:val="da-DK"/>
        </w:rPr>
        <w:t>.</w:t>
      </w:r>
      <w:r w:rsidRPr="00323F49">
        <w:rPr>
          <w:sz w:val="24"/>
          <w:lang w:val="da-DK"/>
        </w:rPr>
        <w:t>2020</w:t>
      </w:r>
      <w:r w:rsidRPr="00F02243">
        <w:rPr>
          <w:sz w:val="24"/>
          <w:lang w:val="da-DK"/>
        </w:rPr>
        <w:t xml:space="preserve">, s. </w:t>
      </w:r>
      <w:r w:rsidRPr="00323F49">
        <w:rPr>
          <w:sz w:val="24"/>
          <w:lang w:val="da-DK"/>
        </w:rPr>
        <w:t>15</w:t>
      </w:r>
      <w:r w:rsidRPr="00F02243">
        <w:rPr>
          <w:sz w:val="24"/>
          <w:lang w:val="da-DK"/>
        </w:rPr>
        <w:t>.</w:t>
      </w:r>
    </w:p>
  </w:footnote>
  <w:footnote w:id="19">
    <w:p w14:paraId="71AA3B4B"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67</w:t>
      </w:r>
      <w:r w:rsidRPr="00F02243">
        <w:rPr>
          <w:sz w:val="24"/>
          <w:lang w:val="da-DK"/>
        </w:rPr>
        <w:t xml:space="preserve"> af </w:t>
      </w:r>
      <w:r w:rsidRPr="00323F49">
        <w:rPr>
          <w:sz w:val="24"/>
          <w:lang w:val="da-DK"/>
        </w:rPr>
        <w:t>8</w:t>
      </w:r>
      <w:r w:rsidRPr="00F02243">
        <w:rPr>
          <w:sz w:val="24"/>
          <w:lang w:val="da-DK"/>
        </w:rPr>
        <w:t>.</w:t>
      </w:r>
      <w:r w:rsidRPr="00323F49">
        <w:rPr>
          <w:sz w:val="24"/>
          <w:lang w:val="da-DK"/>
        </w:rPr>
        <w:t>2</w:t>
      </w:r>
      <w:r w:rsidRPr="00F02243">
        <w:rPr>
          <w:sz w:val="24"/>
          <w:lang w:val="da-DK"/>
        </w:rPr>
        <w:t>.</w:t>
      </w:r>
      <w:r w:rsidRPr="00323F49">
        <w:rPr>
          <w:sz w:val="24"/>
          <w:lang w:val="da-DK"/>
        </w:rPr>
        <w:t>2022</w:t>
      </w:r>
      <w:r w:rsidRPr="00F02243">
        <w:rPr>
          <w:sz w:val="24"/>
          <w:lang w:val="da-DK"/>
        </w:rPr>
        <w:t xml:space="preserve">, s. </w:t>
      </w:r>
      <w:r w:rsidRPr="00323F49">
        <w:rPr>
          <w:sz w:val="24"/>
          <w:lang w:val="da-DK"/>
        </w:rPr>
        <w:t>25</w:t>
      </w:r>
      <w:r w:rsidRPr="00F02243">
        <w:rPr>
          <w:sz w:val="24"/>
          <w:lang w:val="da-DK"/>
        </w:rPr>
        <w:t>.</w:t>
      </w:r>
    </w:p>
  </w:footnote>
  <w:footnote w:id="20">
    <w:p w14:paraId="2AB1AC73"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Europa-Kommissionen: Generaldirektoratet for Landbrug og Udvikling af Landdistrikter, ADE s.a, CCRI, OIR, Micha, E. et al., Evaluation of the impact of the CAP on generational renewal, local development and jobs in rural areas – Final report, Publications Office, </w:t>
      </w:r>
      <w:r w:rsidRPr="00323F49">
        <w:rPr>
          <w:sz w:val="24"/>
          <w:lang w:val="da-DK"/>
        </w:rPr>
        <w:t>2019</w:t>
      </w:r>
      <w:r w:rsidRPr="00F02243">
        <w:rPr>
          <w:sz w:val="24"/>
          <w:lang w:val="da-DK"/>
        </w:rPr>
        <w:t xml:space="preserve">, </w:t>
      </w:r>
      <w:hyperlink r:id="rId9" w:history="1">
        <w:r w:rsidRPr="00D875A4">
          <w:rPr>
            <w:rStyle w:val="Hyperlink"/>
            <w:sz w:val="24"/>
            <w:lang w:val="da-DK"/>
          </w:rPr>
          <w:t>https://data.europa.eu/doi/</w:t>
        </w:r>
        <w:r w:rsidRPr="00323F49">
          <w:rPr>
            <w:rStyle w:val="Hyperlink"/>
            <w:sz w:val="24"/>
            <w:lang w:val="da-DK"/>
          </w:rPr>
          <w:t>10</w:t>
        </w:r>
        <w:r w:rsidRPr="00D875A4">
          <w:rPr>
            <w:rStyle w:val="Hyperlink"/>
            <w:sz w:val="24"/>
            <w:lang w:val="da-DK"/>
          </w:rPr>
          <w:t>.</w:t>
        </w:r>
        <w:r w:rsidRPr="00323F49">
          <w:rPr>
            <w:rStyle w:val="Hyperlink"/>
            <w:sz w:val="24"/>
            <w:lang w:val="da-DK"/>
          </w:rPr>
          <w:t>2762</w:t>
        </w:r>
        <w:r w:rsidRPr="00D875A4">
          <w:rPr>
            <w:rStyle w:val="Hyperlink"/>
            <w:sz w:val="24"/>
            <w:lang w:val="da-DK"/>
          </w:rPr>
          <w:t>/</w:t>
        </w:r>
        <w:r w:rsidRPr="00323F49">
          <w:rPr>
            <w:rStyle w:val="Hyperlink"/>
            <w:sz w:val="24"/>
            <w:lang w:val="da-DK"/>
          </w:rPr>
          <w:t>364362</w:t>
        </w:r>
      </w:hyperlink>
      <w:r w:rsidRPr="00F02243">
        <w:rPr>
          <w:sz w:val="24"/>
          <w:lang w:val="da-DK"/>
        </w:rPr>
        <w:t>.</w:t>
      </w:r>
    </w:p>
  </w:footnote>
  <w:footnote w:id="21">
    <w:p w14:paraId="7D318985"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270</w:t>
      </w:r>
      <w:r w:rsidRPr="00F02243">
        <w:rPr>
          <w:sz w:val="24"/>
          <w:lang w:val="da-DK"/>
        </w:rPr>
        <w:t xml:space="preserve"> af </w:t>
      </w:r>
      <w:r w:rsidRPr="00323F49">
        <w:rPr>
          <w:sz w:val="24"/>
          <w:lang w:val="da-DK"/>
        </w:rPr>
        <w:t>13</w:t>
      </w:r>
      <w:r w:rsidRPr="00F02243">
        <w:rPr>
          <w:sz w:val="24"/>
          <w:lang w:val="da-DK"/>
        </w:rPr>
        <w:t>.</w:t>
      </w:r>
      <w:r w:rsidRPr="00323F49">
        <w:rPr>
          <w:sz w:val="24"/>
          <w:lang w:val="da-DK"/>
        </w:rPr>
        <w:t>7</w:t>
      </w:r>
      <w:r w:rsidRPr="00F02243">
        <w:rPr>
          <w:sz w:val="24"/>
          <w:lang w:val="da-DK"/>
        </w:rPr>
        <w:t>.</w:t>
      </w:r>
      <w:r w:rsidRPr="00323F49">
        <w:rPr>
          <w:sz w:val="24"/>
          <w:lang w:val="da-DK"/>
        </w:rPr>
        <w:t>2022</w:t>
      </w:r>
      <w:r w:rsidRPr="00F02243">
        <w:rPr>
          <w:sz w:val="24"/>
          <w:lang w:val="da-DK"/>
        </w:rPr>
        <w:t xml:space="preserve">, s. </w:t>
      </w:r>
      <w:r w:rsidRPr="00323F49">
        <w:rPr>
          <w:sz w:val="24"/>
          <w:lang w:val="da-DK"/>
        </w:rPr>
        <w:t>18</w:t>
      </w:r>
      <w:r w:rsidRPr="00F02243">
        <w:rPr>
          <w:sz w:val="24"/>
          <w:lang w:val="da-DK"/>
        </w:rPr>
        <w:t>.</w:t>
      </w:r>
    </w:p>
  </w:footnote>
  <w:footnote w:id="22">
    <w:p w14:paraId="7075BA09" w14:textId="4A398EDB"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EUT C, C/</w:t>
      </w:r>
      <w:r w:rsidRPr="00323F49">
        <w:rPr>
          <w:sz w:val="24"/>
          <w:lang w:val="da-DK"/>
        </w:rPr>
        <w:t>2025</w:t>
      </w:r>
      <w:r w:rsidRPr="00F02243">
        <w:rPr>
          <w:sz w:val="24"/>
          <w:lang w:val="da-DK"/>
        </w:rPr>
        <w:t>/</w:t>
      </w:r>
      <w:r w:rsidRPr="00323F49">
        <w:rPr>
          <w:sz w:val="24"/>
          <w:lang w:val="da-DK"/>
        </w:rPr>
        <w:t>1703</w:t>
      </w:r>
      <w:r w:rsidR="00616AA4">
        <w:rPr>
          <w:sz w:val="24"/>
          <w:lang w:val="da-DK"/>
        </w:rPr>
        <w:t>,</w:t>
      </w:r>
      <w:r w:rsidRPr="00F02243">
        <w:rPr>
          <w:sz w:val="24"/>
          <w:lang w:val="da-DK"/>
        </w:rPr>
        <w:t xml:space="preserve"> </w:t>
      </w:r>
      <w:r w:rsidRPr="00323F49">
        <w:rPr>
          <w:sz w:val="24"/>
          <w:lang w:val="da-DK"/>
        </w:rPr>
        <w:t>26</w:t>
      </w:r>
      <w:r w:rsidRPr="00F02243">
        <w:rPr>
          <w:sz w:val="24"/>
          <w:lang w:val="da-DK"/>
        </w:rPr>
        <w:t>.</w:t>
      </w:r>
      <w:r w:rsidRPr="00323F49">
        <w:rPr>
          <w:sz w:val="24"/>
          <w:lang w:val="da-DK"/>
        </w:rPr>
        <w:t>3</w:t>
      </w:r>
      <w:r w:rsidRPr="00F02243">
        <w:rPr>
          <w:sz w:val="24"/>
          <w:lang w:val="da-DK"/>
        </w:rPr>
        <w:t>.</w:t>
      </w:r>
      <w:r w:rsidRPr="00323F49">
        <w:rPr>
          <w:sz w:val="24"/>
          <w:lang w:val="da-DK"/>
        </w:rPr>
        <w:t>2025</w:t>
      </w:r>
      <w:r w:rsidRPr="00F02243">
        <w:rPr>
          <w:sz w:val="24"/>
          <w:lang w:val="da-DK"/>
        </w:rPr>
        <w:t xml:space="preserve">, ELI: </w:t>
      </w:r>
      <w:hyperlink r:id="rId10" w:history="1">
        <w:r w:rsidRPr="00D875A4">
          <w:rPr>
            <w:rStyle w:val="Hyperlink"/>
            <w:sz w:val="24"/>
            <w:lang w:val="da-DK"/>
          </w:rPr>
          <w:t>http://data.europa.eu/eli/C/</w:t>
        </w:r>
        <w:r w:rsidRPr="00323F49">
          <w:rPr>
            <w:rStyle w:val="Hyperlink"/>
            <w:sz w:val="24"/>
            <w:lang w:val="da-DK"/>
          </w:rPr>
          <w:t>2025</w:t>
        </w:r>
        <w:r w:rsidRPr="00D875A4">
          <w:rPr>
            <w:rStyle w:val="Hyperlink"/>
            <w:sz w:val="24"/>
            <w:lang w:val="da-DK"/>
          </w:rPr>
          <w:t>/</w:t>
        </w:r>
        <w:r w:rsidRPr="00323F49">
          <w:rPr>
            <w:rStyle w:val="Hyperlink"/>
            <w:sz w:val="24"/>
            <w:lang w:val="da-DK"/>
          </w:rPr>
          <w:t>1703</w:t>
        </w:r>
        <w:r w:rsidRPr="00D875A4">
          <w:rPr>
            <w:rStyle w:val="Hyperlink"/>
            <w:sz w:val="24"/>
            <w:lang w:val="da-DK"/>
          </w:rPr>
          <w:t>/oj</w:t>
        </w:r>
      </w:hyperlink>
      <w:r w:rsidRPr="00F02243">
        <w:rPr>
          <w:sz w:val="24"/>
          <w:lang w:val="da-DK"/>
        </w:rPr>
        <w:t>.</w:t>
      </w:r>
    </w:p>
  </w:footnote>
  <w:footnote w:id="23">
    <w:p w14:paraId="6F6EDBE2"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EUT C </w:t>
      </w:r>
      <w:r w:rsidRPr="00323F49">
        <w:rPr>
          <w:sz w:val="24"/>
          <w:lang w:val="da-DK"/>
        </w:rPr>
        <w:t>290</w:t>
      </w:r>
      <w:r w:rsidRPr="00F02243">
        <w:rPr>
          <w:sz w:val="24"/>
          <w:lang w:val="da-DK"/>
        </w:rPr>
        <w:t xml:space="preserve"> af </w:t>
      </w:r>
      <w:r w:rsidRPr="00323F49">
        <w:rPr>
          <w:sz w:val="24"/>
          <w:lang w:val="da-DK"/>
        </w:rPr>
        <w:t>29</w:t>
      </w:r>
      <w:r w:rsidRPr="00F02243">
        <w:rPr>
          <w:sz w:val="24"/>
          <w:lang w:val="da-DK"/>
        </w:rPr>
        <w:t>.</w:t>
      </w:r>
      <w:r w:rsidRPr="00323F49">
        <w:rPr>
          <w:sz w:val="24"/>
          <w:lang w:val="da-DK"/>
        </w:rPr>
        <w:t>7</w:t>
      </w:r>
      <w:r w:rsidRPr="00F02243">
        <w:rPr>
          <w:sz w:val="24"/>
          <w:lang w:val="da-DK"/>
        </w:rPr>
        <w:t>.</w:t>
      </w:r>
      <w:r w:rsidRPr="00323F49">
        <w:rPr>
          <w:sz w:val="24"/>
          <w:lang w:val="da-DK"/>
        </w:rPr>
        <w:t>2022</w:t>
      </w:r>
      <w:r w:rsidRPr="00F02243">
        <w:rPr>
          <w:sz w:val="24"/>
          <w:lang w:val="da-DK"/>
        </w:rPr>
        <w:t xml:space="preserve">, s. </w:t>
      </w:r>
      <w:r w:rsidRPr="00323F49">
        <w:rPr>
          <w:sz w:val="24"/>
          <w:lang w:val="da-DK"/>
        </w:rPr>
        <w:t>137</w:t>
      </w:r>
      <w:r w:rsidRPr="00F02243">
        <w:rPr>
          <w:sz w:val="24"/>
          <w:lang w:val="da-DK"/>
        </w:rPr>
        <w:t>.</w:t>
      </w:r>
    </w:p>
  </w:footnote>
  <w:footnote w:id="24">
    <w:p w14:paraId="0AF66D9B" w14:textId="3698949A"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EUT C, C/</w:t>
      </w:r>
      <w:r w:rsidRPr="00323F49">
        <w:rPr>
          <w:sz w:val="24"/>
          <w:lang w:val="da-DK"/>
        </w:rPr>
        <w:t>2024</w:t>
      </w:r>
      <w:r w:rsidRPr="00F02243">
        <w:rPr>
          <w:sz w:val="24"/>
          <w:lang w:val="da-DK"/>
        </w:rPr>
        <w:t>/</w:t>
      </w:r>
      <w:r w:rsidRPr="00323F49">
        <w:rPr>
          <w:sz w:val="24"/>
          <w:lang w:val="da-DK"/>
        </w:rPr>
        <w:t>2658</w:t>
      </w:r>
      <w:r w:rsidR="00616AA4">
        <w:rPr>
          <w:sz w:val="24"/>
          <w:lang w:val="da-DK"/>
        </w:rPr>
        <w:t>,</w:t>
      </w:r>
      <w:r w:rsidRPr="00F02243">
        <w:rPr>
          <w:sz w:val="24"/>
          <w:lang w:val="da-DK"/>
        </w:rPr>
        <w:t xml:space="preserve"> </w:t>
      </w:r>
      <w:r w:rsidRPr="00323F49">
        <w:rPr>
          <w:sz w:val="24"/>
          <w:lang w:val="da-DK"/>
        </w:rPr>
        <w:t>29</w:t>
      </w:r>
      <w:r w:rsidRPr="00F02243">
        <w:rPr>
          <w:sz w:val="24"/>
          <w:lang w:val="da-DK"/>
        </w:rPr>
        <w:t>.</w:t>
      </w:r>
      <w:r w:rsidRPr="00323F49">
        <w:rPr>
          <w:sz w:val="24"/>
          <w:lang w:val="da-DK"/>
        </w:rPr>
        <w:t>4</w:t>
      </w:r>
      <w:r w:rsidRPr="00F02243">
        <w:rPr>
          <w:sz w:val="24"/>
          <w:lang w:val="da-DK"/>
        </w:rPr>
        <w:t>.</w:t>
      </w:r>
      <w:r w:rsidRPr="00323F49">
        <w:rPr>
          <w:sz w:val="24"/>
          <w:lang w:val="da-DK"/>
        </w:rPr>
        <w:t>2024</w:t>
      </w:r>
      <w:r w:rsidRPr="00F02243">
        <w:rPr>
          <w:sz w:val="24"/>
          <w:lang w:val="da-DK"/>
        </w:rPr>
        <w:t xml:space="preserve">, ELI: </w:t>
      </w:r>
      <w:hyperlink r:id="rId11" w:history="1">
        <w:r w:rsidRPr="00D875A4">
          <w:rPr>
            <w:rStyle w:val="Hyperlink"/>
            <w:sz w:val="24"/>
            <w:lang w:val="da-DK"/>
          </w:rPr>
          <w:t>http://data.europa.eu/eli/C/</w:t>
        </w:r>
        <w:r w:rsidRPr="00323F49">
          <w:rPr>
            <w:rStyle w:val="Hyperlink"/>
            <w:sz w:val="24"/>
            <w:lang w:val="da-DK"/>
          </w:rPr>
          <w:t>2024</w:t>
        </w:r>
        <w:r w:rsidRPr="00D875A4">
          <w:rPr>
            <w:rStyle w:val="Hyperlink"/>
            <w:sz w:val="24"/>
            <w:lang w:val="da-DK"/>
          </w:rPr>
          <w:t>/</w:t>
        </w:r>
        <w:r w:rsidRPr="00323F49">
          <w:rPr>
            <w:rStyle w:val="Hyperlink"/>
            <w:sz w:val="24"/>
            <w:lang w:val="da-DK"/>
          </w:rPr>
          <w:t>2658</w:t>
        </w:r>
        <w:r w:rsidRPr="00D875A4">
          <w:rPr>
            <w:rStyle w:val="Hyperlink"/>
            <w:sz w:val="24"/>
            <w:lang w:val="da-DK"/>
          </w:rPr>
          <w:t>/oj</w:t>
        </w:r>
      </w:hyperlink>
      <w:r w:rsidRPr="00F02243">
        <w:rPr>
          <w:sz w:val="24"/>
          <w:lang w:val="da-DK"/>
        </w:rPr>
        <w:t>.</w:t>
      </w:r>
    </w:p>
  </w:footnote>
  <w:footnote w:id="25">
    <w:p w14:paraId="2AD79A91"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Det Europæiske Regionsudvalgs årlige EU-rapport om regionernes og byernes tilstand for </w:t>
      </w:r>
      <w:r w:rsidRPr="00323F49">
        <w:rPr>
          <w:sz w:val="24"/>
          <w:lang w:val="da-DK"/>
        </w:rPr>
        <w:t>2024</w:t>
      </w:r>
      <w:r w:rsidRPr="00F02243">
        <w:rPr>
          <w:sz w:val="24"/>
          <w:lang w:val="da-DK"/>
        </w:rPr>
        <w:t xml:space="preserve"> af </w:t>
      </w:r>
      <w:r w:rsidRPr="00323F49">
        <w:rPr>
          <w:sz w:val="24"/>
          <w:lang w:val="da-DK"/>
        </w:rPr>
        <w:t>7</w:t>
      </w:r>
      <w:r w:rsidRPr="00F02243">
        <w:rPr>
          <w:sz w:val="24"/>
          <w:lang w:val="da-DK"/>
        </w:rPr>
        <w:t xml:space="preserve">. oktober </w:t>
      </w:r>
      <w:r w:rsidRPr="00323F49">
        <w:rPr>
          <w:sz w:val="24"/>
          <w:lang w:val="da-DK"/>
        </w:rPr>
        <w:t>2024</w:t>
      </w:r>
      <w:r w:rsidRPr="00F02243">
        <w:rPr>
          <w:sz w:val="24"/>
          <w:lang w:val="da-DK"/>
        </w:rPr>
        <w:t>.</w:t>
      </w:r>
    </w:p>
  </w:footnote>
  <w:footnote w:id="26">
    <w:p w14:paraId="2C517C8D"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SWD(</w:t>
      </w:r>
      <w:r w:rsidRPr="00323F49">
        <w:rPr>
          <w:sz w:val="24"/>
          <w:lang w:val="da-DK"/>
        </w:rPr>
        <w:t>2023</w:t>
      </w:r>
      <w:r w:rsidRPr="00F02243">
        <w:rPr>
          <w:sz w:val="24"/>
          <w:lang w:val="da-DK"/>
        </w:rPr>
        <w:t>)</w:t>
      </w:r>
      <w:r w:rsidRPr="00323F49">
        <w:rPr>
          <w:sz w:val="24"/>
          <w:lang w:val="da-DK"/>
        </w:rPr>
        <w:t>0021</w:t>
      </w:r>
      <w:r w:rsidRPr="00F02243">
        <w:rPr>
          <w:sz w:val="24"/>
          <w:lang w:val="da-DK"/>
        </w:rPr>
        <w:t>.</w:t>
      </w:r>
    </w:p>
  </w:footnote>
  <w:footnote w:id="27">
    <w:p w14:paraId="4D23F8D3" w14:textId="77777777" w:rsidR="00D875A4" w:rsidRPr="00F02243" w:rsidRDefault="00D875A4" w:rsidP="00F02243">
      <w:pPr>
        <w:pStyle w:val="FootnoteText"/>
        <w:ind w:left="567" w:hanging="567"/>
        <w:rPr>
          <w:sz w:val="24"/>
          <w:lang w:val="da-DK"/>
        </w:rPr>
      </w:pPr>
      <w:r w:rsidRPr="00F02243">
        <w:rPr>
          <w:rStyle w:val="FootnoteReference"/>
          <w:sz w:val="24"/>
          <w:lang w:val="da-DK"/>
        </w:rPr>
        <w:footnoteRef/>
      </w:r>
      <w:r w:rsidRPr="00F02243">
        <w:rPr>
          <w:sz w:val="24"/>
          <w:lang w:val="da-DK"/>
        </w:rPr>
        <w:t xml:space="preserve"> </w:t>
      </w:r>
      <w:r w:rsidRPr="00F02243">
        <w:rPr>
          <w:sz w:val="24"/>
          <w:lang w:val="da-DK"/>
        </w:rPr>
        <w:tab/>
        <w:t xml:space="preserve">EU's årlige rapport om regionernes og byernes tilstand for </w:t>
      </w:r>
      <w:r w:rsidRPr="00323F49">
        <w:rPr>
          <w:sz w:val="24"/>
          <w:lang w:val="da-DK"/>
        </w:rPr>
        <w:t>2024</w:t>
      </w:r>
      <w:r w:rsidRPr="00F0224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DFE5" w14:textId="77777777" w:rsidR="00D875A4" w:rsidRPr="00F02243" w:rsidRDefault="00D875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23B4D" w14:textId="77777777" w:rsidR="00D875A4" w:rsidRPr="00F02243" w:rsidRDefault="00D875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2CAC7" w14:textId="77777777" w:rsidR="00D875A4" w:rsidRPr="00F02243" w:rsidRDefault="00D875A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7291669">
    <w:abstractNumId w:val="9"/>
  </w:num>
  <w:num w:numId="2" w16cid:durableId="914390392">
    <w:abstractNumId w:val="9"/>
  </w:num>
  <w:num w:numId="3" w16cid:durableId="2075857882">
    <w:abstractNumId w:val="7"/>
  </w:num>
  <w:num w:numId="4" w16cid:durableId="1096486053">
    <w:abstractNumId w:val="7"/>
  </w:num>
  <w:num w:numId="5" w16cid:durableId="1519466366">
    <w:abstractNumId w:val="6"/>
  </w:num>
  <w:num w:numId="6" w16cid:durableId="1484810239">
    <w:abstractNumId w:val="6"/>
  </w:num>
  <w:num w:numId="7" w16cid:durableId="1964968193">
    <w:abstractNumId w:val="5"/>
  </w:num>
  <w:num w:numId="8" w16cid:durableId="1216047127">
    <w:abstractNumId w:val="5"/>
  </w:num>
  <w:num w:numId="9" w16cid:durableId="1543321635">
    <w:abstractNumId w:val="4"/>
  </w:num>
  <w:num w:numId="10" w16cid:durableId="1244295348">
    <w:abstractNumId w:val="4"/>
  </w:num>
  <w:num w:numId="11" w16cid:durableId="970019412">
    <w:abstractNumId w:val="8"/>
  </w:num>
  <w:num w:numId="12" w16cid:durableId="2129466002">
    <w:abstractNumId w:val="8"/>
  </w:num>
  <w:num w:numId="13" w16cid:durableId="2033991174">
    <w:abstractNumId w:val="3"/>
  </w:num>
  <w:num w:numId="14" w16cid:durableId="497355537">
    <w:abstractNumId w:val="3"/>
  </w:num>
  <w:num w:numId="15" w16cid:durableId="1683975613">
    <w:abstractNumId w:val="2"/>
  </w:num>
  <w:num w:numId="16" w16cid:durableId="1586720299">
    <w:abstractNumId w:val="2"/>
  </w:num>
  <w:num w:numId="17" w16cid:durableId="1122382638">
    <w:abstractNumId w:val="1"/>
  </w:num>
  <w:num w:numId="18" w16cid:durableId="795487324">
    <w:abstractNumId w:val="1"/>
  </w:num>
  <w:num w:numId="19" w16cid:durableId="1291285077">
    <w:abstractNumId w:val="0"/>
  </w:num>
  <w:num w:numId="20" w16cid:durableId="86192763">
    <w:abstractNumId w:val="0"/>
  </w:num>
  <w:num w:numId="21" w16cid:durableId="116677777">
    <w:abstractNumId w:val="9"/>
  </w:num>
  <w:num w:numId="22" w16cid:durableId="709647094">
    <w:abstractNumId w:val="7"/>
  </w:num>
  <w:num w:numId="23" w16cid:durableId="1427144591">
    <w:abstractNumId w:val="6"/>
  </w:num>
  <w:num w:numId="24" w16cid:durableId="680934359">
    <w:abstractNumId w:val="5"/>
  </w:num>
  <w:num w:numId="25" w16cid:durableId="1656836071">
    <w:abstractNumId w:val="4"/>
  </w:num>
  <w:num w:numId="26" w16cid:durableId="390882479">
    <w:abstractNumId w:val="8"/>
  </w:num>
  <w:num w:numId="27" w16cid:durableId="327945783">
    <w:abstractNumId w:val="3"/>
  </w:num>
  <w:num w:numId="28" w16cid:durableId="357051234">
    <w:abstractNumId w:val="2"/>
  </w:num>
  <w:num w:numId="29" w16cid:durableId="1281109625">
    <w:abstractNumId w:val="1"/>
  </w:num>
  <w:num w:numId="30" w16cid:durableId="898977699">
    <w:abstractNumId w:val="0"/>
  </w:num>
  <w:num w:numId="31" w16cid:durableId="1883587999">
    <w:abstractNumId w:val="9"/>
  </w:num>
  <w:num w:numId="32" w16cid:durableId="1588536016">
    <w:abstractNumId w:val="7"/>
  </w:num>
  <w:num w:numId="33" w16cid:durableId="1720350846">
    <w:abstractNumId w:val="6"/>
  </w:num>
  <w:num w:numId="34" w16cid:durableId="1931620549">
    <w:abstractNumId w:val="5"/>
  </w:num>
  <w:num w:numId="35" w16cid:durableId="934173088">
    <w:abstractNumId w:val="4"/>
  </w:num>
  <w:num w:numId="36" w16cid:durableId="1233544027">
    <w:abstractNumId w:val="8"/>
  </w:num>
  <w:num w:numId="37" w16cid:durableId="867983177">
    <w:abstractNumId w:val="3"/>
  </w:num>
  <w:num w:numId="38" w16cid:durableId="1070689529">
    <w:abstractNumId w:val="2"/>
  </w:num>
  <w:num w:numId="39" w16cid:durableId="1861629145">
    <w:abstractNumId w:val="1"/>
  </w:num>
  <w:num w:numId="40" w16cid:durableId="958297856">
    <w:abstractNumId w:val="0"/>
  </w:num>
  <w:num w:numId="41" w16cid:durableId="157159857">
    <w:abstractNumId w:val="10"/>
  </w:num>
  <w:num w:numId="42" w16cid:durableId="1352603943">
    <w:abstractNumId w:val="10"/>
  </w:num>
  <w:num w:numId="43" w16cid:durableId="859702137">
    <w:abstractNumId w:val="10"/>
  </w:num>
  <w:num w:numId="44" w16cid:durableId="12754787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2/2025"/>
    <w:docVar w:name="dvlangue" w:val="DA"/>
    <w:docVar w:name="dvnumam" w:val="0"/>
    <w:docVar w:name="dvpe" w:val="766.660"/>
    <w:docVar w:name="dvrapporteur" w:val="Ordfører: "/>
    <w:docVar w:name="dvtitre" w:val="Europa-Parlamentets beslutning af xx. juni 2025 om styrkelse af landdistrikter i EU gennem samhørighedspolitikken(2024/2105(INI))"/>
  </w:docVars>
  <w:rsids>
    <w:rsidRoot w:val="00DE48C5"/>
    <w:rsid w:val="00002272"/>
    <w:rsid w:val="000442A0"/>
    <w:rsid w:val="00064002"/>
    <w:rsid w:val="000677B9"/>
    <w:rsid w:val="000831BA"/>
    <w:rsid w:val="000A42CC"/>
    <w:rsid w:val="000E7DD9"/>
    <w:rsid w:val="0010095E"/>
    <w:rsid w:val="00125B37"/>
    <w:rsid w:val="00187494"/>
    <w:rsid w:val="001F32AE"/>
    <w:rsid w:val="002767FF"/>
    <w:rsid w:val="002B18FE"/>
    <w:rsid w:val="002B5493"/>
    <w:rsid w:val="00323F4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6AA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3D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05E"/>
    <w:rsid w:val="00D56C11"/>
    <w:rsid w:val="00D834A0"/>
    <w:rsid w:val="00D872DF"/>
    <w:rsid w:val="00D875A4"/>
    <w:rsid w:val="00D91E21"/>
    <w:rsid w:val="00DA7FCD"/>
    <w:rsid w:val="00DE48C5"/>
    <w:rsid w:val="00E14121"/>
    <w:rsid w:val="00E24E6B"/>
    <w:rsid w:val="00E365E1"/>
    <w:rsid w:val="00E64A4E"/>
    <w:rsid w:val="00E820A4"/>
    <w:rsid w:val="00EB006A"/>
    <w:rsid w:val="00EB4772"/>
    <w:rsid w:val="00ED169E"/>
    <w:rsid w:val="00ED4235"/>
    <w:rsid w:val="00F0224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25877"/>
  <w15:chartTrackingRefBased/>
  <w15:docId w15:val="{5DA720BD-3353-427C-869E-A6C49F562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14121"/>
    <w:pPr>
      <w:spacing w:before="480" w:after="240"/>
    </w:pPr>
    <w:rPr>
      <w:snapToGrid w:val="0"/>
      <w:lang w:eastAsia="en-US"/>
    </w:rPr>
  </w:style>
  <w:style w:type="paragraph" w:customStyle="1" w:styleId="NormalHanging12a">
    <w:name w:val="NormalHanging12a"/>
    <w:basedOn w:val="Normal"/>
    <w:link w:val="NormalHanging12aChar"/>
    <w:rsid w:val="00E14121"/>
    <w:pPr>
      <w:widowControl/>
      <w:spacing w:after="240"/>
      <w:ind w:left="567" w:hanging="567"/>
    </w:pPr>
    <w:rPr>
      <w:snapToGrid w:val="0"/>
      <w:lang w:eastAsia="en-US"/>
    </w:rPr>
  </w:style>
  <w:style w:type="character" w:customStyle="1" w:styleId="Italic">
    <w:name w:val="Italic"/>
    <w:uiPriority w:val="1"/>
    <w:rsid w:val="00E14121"/>
    <w:rPr>
      <w:i/>
    </w:rPr>
  </w:style>
  <w:style w:type="character" w:customStyle="1" w:styleId="NormalHanging12aChar">
    <w:name w:val="NormalHanging12a Char"/>
    <w:basedOn w:val="DefaultParagraphFont"/>
    <w:link w:val="NormalHanging12a"/>
    <w:rsid w:val="00E14121"/>
    <w:rPr>
      <w:snapToGrid w:val="0"/>
      <w:sz w:val="24"/>
      <w:lang w:val="da-DK" w:eastAsia="en-US"/>
    </w:rPr>
  </w:style>
  <w:style w:type="character" w:styleId="Hyperlink">
    <w:name w:val="Hyperlink"/>
    <w:basedOn w:val="DefaultParagraphFont"/>
    <w:rsid w:val="00D875A4"/>
    <w:rPr>
      <w:color w:val="0563C1" w:themeColor="hyperlink"/>
      <w:u w:val="single"/>
    </w:rPr>
  </w:style>
  <w:style w:type="character" w:styleId="FollowedHyperlink">
    <w:name w:val="FollowedHyperlink"/>
    <w:basedOn w:val="DefaultParagraphFont"/>
    <w:rsid w:val="00D875A4"/>
    <w:rPr>
      <w:color w:val="954F72" w:themeColor="followedHyperlink"/>
      <w:u w:val="single"/>
    </w:rPr>
  </w:style>
  <w:style w:type="paragraph" w:styleId="BalloonText">
    <w:name w:val="Balloon Text"/>
    <w:basedOn w:val="Normal"/>
    <w:link w:val="BalloonTextChar"/>
    <w:rsid w:val="00E64A4E"/>
    <w:rPr>
      <w:rFonts w:ascii="Segoe UI" w:hAnsi="Segoe UI" w:cs="Segoe UI"/>
      <w:sz w:val="18"/>
      <w:szCs w:val="18"/>
    </w:rPr>
  </w:style>
  <w:style w:type="character" w:customStyle="1" w:styleId="BalloonTextChar">
    <w:name w:val="Balloon Text Char"/>
    <w:basedOn w:val="DefaultParagraphFont"/>
    <w:link w:val="BalloonText"/>
    <w:rsid w:val="00E64A4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6B57B-083C-40C3-BF0F-E22AAB4C5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21</Pages>
  <Words>8557</Words>
  <Characters>54430</Characters>
  <Application>Microsoft Office Word</Application>
  <DocSecurity>4</DocSecurity>
  <Lines>453</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GIRGINOV Kiril</cp:lastModifiedBy>
  <cp:revision>2</cp:revision>
  <cp:lastPrinted>2004-11-19T15:42:00Z</cp:lastPrinted>
  <dcterms:created xsi:type="dcterms:W3CDTF">2025-10-14T15:01:00Z</dcterms:created>
  <dcterms:modified xsi:type="dcterms:W3CDTF">2025-10-14T15:01:00Z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P10_TA-PROV(2025)0122_A10-0092_2025_</vt:lpwstr>
  </property>
  <property fmtid="{D5CDD505-2E9C-101B-9397-08002B2CF9AE}" pid="4" name="&lt;Type&gt;">
    <vt:lpwstr>RR</vt:lpwstr>
  </property>
</Properties>
</file>