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00C8" w14:paraId="22DFDF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965C2A" w14:textId="77777777" w:rsidR="00751A4A" w:rsidRPr="00BA00C8" w:rsidRDefault="004E0613" w:rsidP="0010095E">
            <w:pPr>
              <w:pStyle w:val="EPName"/>
            </w:pPr>
            <w:r w:rsidRPr="00BA00C8">
              <w:t>Evropský parlament</w:t>
            </w:r>
          </w:p>
          <w:p w14:paraId="425A7BE4" w14:textId="77777777" w:rsidR="00751A4A" w:rsidRPr="00BA00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00C8">
              <w:t>2024</w:t>
            </w:r>
            <w:r w:rsidR="00817416" w:rsidRPr="00BA00C8">
              <w:t>-202</w:t>
            </w:r>
            <w:r w:rsidRPr="00BA00C8">
              <w:t>9</w:t>
            </w:r>
          </w:p>
        </w:tc>
        <w:tc>
          <w:tcPr>
            <w:tcW w:w="2268" w:type="dxa"/>
            <w:shd w:val="clear" w:color="auto" w:fill="auto"/>
          </w:tcPr>
          <w:p w14:paraId="244FC25B" w14:textId="77777777" w:rsidR="00751A4A" w:rsidRPr="00BA00C8" w:rsidRDefault="00187494" w:rsidP="0010095E">
            <w:pPr>
              <w:pStyle w:val="EPLogo"/>
            </w:pPr>
            <w:r w:rsidRPr="00BA00C8">
              <w:rPr>
                <w:noProof/>
                <w:lang w:eastAsia="cs-CZ"/>
              </w:rPr>
              <w:drawing>
                <wp:inline distT="0" distB="0" distL="0" distR="0" wp14:anchorId="17F1EFA1" wp14:editId="3782B4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8BEFB6" w14:textId="77777777" w:rsidR="00D058B8" w:rsidRPr="00BA00C8" w:rsidRDefault="00D058B8" w:rsidP="004C5D52">
      <w:pPr>
        <w:pStyle w:val="LineTop"/>
      </w:pPr>
    </w:p>
    <w:p w14:paraId="7077BDAE" w14:textId="77777777" w:rsidR="00680577" w:rsidRPr="00BA00C8" w:rsidRDefault="004E0613" w:rsidP="00680577">
      <w:pPr>
        <w:pStyle w:val="EPBodyTA1"/>
      </w:pPr>
      <w:r w:rsidRPr="00BA00C8">
        <w:t>PŘIJATÉ TEXTY</w:t>
      </w:r>
    </w:p>
    <w:p w14:paraId="3CB4AEA1" w14:textId="77777777" w:rsidR="00D058B8" w:rsidRPr="00BA00C8" w:rsidRDefault="00D058B8" w:rsidP="00D058B8">
      <w:pPr>
        <w:pStyle w:val="LineBottom"/>
      </w:pPr>
    </w:p>
    <w:p w14:paraId="7A9C2396" w14:textId="5F26905B" w:rsidR="004E0613" w:rsidRPr="00BA00C8" w:rsidRDefault="004E0613" w:rsidP="004E0613">
      <w:pPr>
        <w:pStyle w:val="ATHeading1"/>
      </w:pPr>
      <w:bookmarkStart w:id="0" w:name="TANumber"/>
      <w:r w:rsidRPr="00BA00C8">
        <w:t>P10_TA(2025)0</w:t>
      </w:r>
      <w:r w:rsidR="0053122F">
        <w:t>124</w:t>
      </w:r>
      <w:bookmarkEnd w:id="0"/>
    </w:p>
    <w:p w14:paraId="530E2E2C" w14:textId="4161B606" w:rsidR="004E0613" w:rsidRPr="00BA00C8" w:rsidRDefault="006A39E8" w:rsidP="004E0613">
      <w:pPr>
        <w:pStyle w:val="ATHeading2"/>
      </w:pPr>
      <w:r w:rsidRPr="006A39E8">
        <w:t>Nevyslovení námitky vůči aktu v přenesené pravomoci</w:t>
      </w:r>
      <w:r w:rsidR="004C4256">
        <w:t xml:space="preserve">: lhůta </w:t>
      </w:r>
      <w:r w:rsidR="004C4256" w:rsidRPr="00BA00C8">
        <w:t>pro předkládání žádostí o změny strategických plánů SZP</w:t>
      </w:r>
    </w:p>
    <w:p w14:paraId="620E316A" w14:textId="77777777" w:rsidR="004E0613" w:rsidRPr="00BA00C8" w:rsidRDefault="004E0613" w:rsidP="004E0613">
      <w:pPr>
        <w:rPr>
          <w:i/>
          <w:vanish/>
        </w:rPr>
      </w:pPr>
      <w:r w:rsidRPr="00BA00C8">
        <w:rPr>
          <w:i/>
        </w:rPr>
        <w:fldChar w:fldCharType="begin"/>
      </w:r>
      <w:r w:rsidRPr="00BA00C8">
        <w:rPr>
          <w:i/>
        </w:rPr>
        <w:instrText xml:space="preserve"> TC"(</w:instrText>
      </w:r>
      <w:bookmarkStart w:id="1" w:name="DocNumber"/>
      <w:r w:rsidRPr="00BA00C8">
        <w:rPr>
          <w:i/>
        </w:rPr>
        <w:instrText>B10-0276/2025</w:instrText>
      </w:r>
      <w:bookmarkEnd w:id="1"/>
      <w:r w:rsidRPr="00BA00C8">
        <w:rPr>
          <w:i/>
        </w:rPr>
        <w:instrText xml:space="preserve">)"\l3 \n&gt; \* MERGEFORMAT </w:instrText>
      </w:r>
      <w:r w:rsidRPr="00BA00C8">
        <w:rPr>
          <w:i/>
        </w:rPr>
        <w:fldChar w:fldCharType="end"/>
      </w:r>
    </w:p>
    <w:p w14:paraId="558A8AC5" w14:textId="77777777" w:rsidR="004E0613" w:rsidRPr="00BA00C8" w:rsidRDefault="004E0613" w:rsidP="004E0613">
      <w:pPr>
        <w:rPr>
          <w:vanish/>
        </w:rPr>
      </w:pPr>
      <w:bookmarkStart w:id="2" w:name="PE"/>
      <w:r w:rsidRPr="00BA00C8">
        <w:rPr>
          <w:vanish/>
        </w:rPr>
        <w:t>PE774.269</w:t>
      </w:r>
      <w:bookmarkEnd w:id="2"/>
    </w:p>
    <w:p w14:paraId="3EFA8A8C" w14:textId="053E322D" w:rsidR="004E0613" w:rsidRPr="00BA00C8" w:rsidRDefault="004E0613" w:rsidP="004E0613">
      <w:pPr>
        <w:pStyle w:val="ATHeading3"/>
      </w:pPr>
      <w:bookmarkStart w:id="3" w:name="Sujet"/>
      <w:r w:rsidRPr="00BA00C8">
        <w:t xml:space="preserve">Rozhodnutí Evropského parlamentu nevyslovit námitku vůči nařízení Komise v přenesené pravomoci ze dne 21. května 2025, kterým se mění nařízení Komise v přenesené pravomoci (EU) 2023/370, kterým se doplňuje nařízení Evropského parlamentu a Rady (EU) 2021/2115, pokud jde o lhůtu pro předkládání žádostí o změny strategických plánů SZP </w:t>
      </w:r>
      <w:bookmarkStart w:id="4" w:name="References"/>
      <w:bookmarkEnd w:id="3"/>
      <w:r w:rsidR="006A39E8">
        <w:t>(</w:t>
      </w:r>
      <w:r w:rsidRPr="00BA00C8">
        <w:t>C(2025)03151 – 2025/2728(DEA))</w:t>
      </w:r>
      <w:bookmarkEnd w:id="4"/>
    </w:p>
    <w:p w14:paraId="3AC44042" w14:textId="77777777" w:rsidR="00527280" w:rsidRPr="00BA00C8" w:rsidRDefault="00527280" w:rsidP="00527280">
      <w:pPr>
        <w:pStyle w:val="EPComma"/>
      </w:pPr>
      <w:bookmarkStart w:id="5" w:name="TextBodyBegin"/>
      <w:bookmarkEnd w:id="5"/>
      <w:r w:rsidRPr="00BA00C8">
        <w:rPr>
          <w:i/>
        </w:rPr>
        <w:t>Evropský parlament</w:t>
      </w:r>
      <w:r w:rsidRPr="00BA00C8">
        <w:t>,</w:t>
      </w:r>
    </w:p>
    <w:p w14:paraId="15E2084F" w14:textId="77777777" w:rsidR="00527280" w:rsidRPr="00BA00C8" w:rsidRDefault="00527280" w:rsidP="00527280">
      <w:pPr>
        <w:pStyle w:val="NormalHanging12a"/>
      </w:pPr>
      <w:r w:rsidRPr="00BA00C8">
        <w:t>–</w:t>
      </w:r>
      <w:r w:rsidRPr="00BA00C8">
        <w:tab/>
        <w:t>s ohledem na nařízení Komise v přenesené pravomoci (C(2025)03151),</w:t>
      </w:r>
    </w:p>
    <w:p w14:paraId="1B657A7F" w14:textId="776D2A77" w:rsidR="00527280" w:rsidRPr="00BA00C8" w:rsidRDefault="00527280" w:rsidP="00527280">
      <w:pPr>
        <w:pStyle w:val="NormalHanging12a"/>
      </w:pPr>
      <w:r w:rsidRPr="00BA00C8">
        <w:t>–</w:t>
      </w:r>
      <w:r w:rsidRPr="00BA00C8">
        <w:tab/>
        <w:t xml:space="preserve">s ohledem na dopis Komise ze dne 21. května 2025, kterým Komise žádá Evropský parlament, aby uvedl, že </w:t>
      </w:r>
      <w:r w:rsidR="003E16B3" w:rsidRPr="00BA00C8">
        <w:t>nevysloví námitku</w:t>
      </w:r>
      <w:r w:rsidR="003E16B3">
        <w:t xml:space="preserve"> vůči</w:t>
      </w:r>
      <w:r w:rsidRPr="00BA00C8">
        <w:t xml:space="preserve"> nařízení v přenesené pravomoci,</w:t>
      </w:r>
    </w:p>
    <w:p w14:paraId="1F190BAB" w14:textId="32031975" w:rsidR="00527280" w:rsidRPr="00BA00C8" w:rsidRDefault="00527280" w:rsidP="00527280">
      <w:pPr>
        <w:pStyle w:val="NormalHanging12a"/>
      </w:pPr>
      <w:r w:rsidRPr="00BA00C8">
        <w:t>–</w:t>
      </w:r>
      <w:r w:rsidRPr="00BA00C8">
        <w:tab/>
        <w:t xml:space="preserve">s ohledem na dopis Výboru pro zemědělství a rozvoj venkova předsedovi Konference předsedů výborů ze dne </w:t>
      </w:r>
      <w:r w:rsidR="003E16B3">
        <w:t>4</w:t>
      </w:r>
      <w:r w:rsidRPr="00BA00C8">
        <w:t>. června 2025,</w:t>
      </w:r>
    </w:p>
    <w:p w14:paraId="1EE15512" w14:textId="77777777" w:rsidR="00527280" w:rsidRPr="00BA00C8" w:rsidRDefault="00527280" w:rsidP="00527280">
      <w:pPr>
        <w:pStyle w:val="NormalHanging12a"/>
      </w:pPr>
      <w:r w:rsidRPr="00BA00C8">
        <w:t>–</w:t>
      </w:r>
      <w:r w:rsidRPr="00BA00C8">
        <w:tab/>
        <w:t>s ohledem na článek 290 Smlouvy o fungování Evropské unie,</w:t>
      </w:r>
    </w:p>
    <w:p w14:paraId="458964FC" w14:textId="3D34DDA0" w:rsidR="00527280" w:rsidRPr="00BA00C8" w:rsidRDefault="00527280" w:rsidP="00527280">
      <w:pPr>
        <w:pStyle w:val="NormalHanging12a"/>
      </w:pPr>
      <w:r w:rsidRPr="00BA00C8">
        <w:t>–</w:t>
      </w:r>
      <w:r w:rsidRPr="00BA00C8">
        <w:tab/>
        <w:t>s ohledem na nařízení Evropského parlamentu a Rady (EU) 2021/2115</w:t>
      </w:r>
      <w:r w:rsidRPr="00BA00C8">
        <w:rPr>
          <w:rStyle w:val="FootnoteReference"/>
          <w:color w:val="000000"/>
          <w:szCs w:val="23"/>
        </w:rPr>
        <w:footnoteReference w:id="1"/>
      </w:r>
      <w:r w:rsidRPr="00BA00C8">
        <w:t xml:space="preserve">, a zejména na čl. 122 písm. a) </w:t>
      </w:r>
      <w:r w:rsidR="00322F3A">
        <w:t>tohoto</w:t>
      </w:r>
      <w:r w:rsidRPr="00BA00C8">
        <w:t xml:space="preserve"> nařízení,</w:t>
      </w:r>
    </w:p>
    <w:p w14:paraId="42F40265" w14:textId="77777777" w:rsidR="00527280" w:rsidRPr="00BA00C8" w:rsidRDefault="00527280" w:rsidP="00527280">
      <w:pPr>
        <w:pStyle w:val="NormalHanging12a"/>
      </w:pPr>
      <w:r w:rsidRPr="00BA00C8">
        <w:t>–</w:t>
      </w:r>
      <w:r w:rsidRPr="00BA00C8">
        <w:tab/>
        <w:t>s ohledem na čl. 114 odst. 6 jednacího řádu,</w:t>
      </w:r>
    </w:p>
    <w:p w14:paraId="260CB748" w14:textId="77777777" w:rsidR="00527280" w:rsidRDefault="00527280" w:rsidP="00527280">
      <w:pPr>
        <w:pStyle w:val="NormalHanging12a"/>
      </w:pPr>
      <w:r w:rsidRPr="00BA00C8">
        <w:t>–</w:t>
      </w:r>
      <w:r w:rsidRPr="00BA00C8">
        <w:tab/>
        <w:t>s ohledem na doporučení k rozhodnutí Výboru pro zemědělství a rozvoj venkova,</w:t>
      </w:r>
    </w:p>
    <w:p w14:paraId="1641DA86" w14:textId="446CDD33" w:rsidR="000D7C9B" w:rsidRPr="00BA00C8" w:rsidRDefault="000D7C9B" w:rsidP="00527280">
      <w:pPr>
        <w:pStyle w:val="NormalHanging12a"/>
      </w:pPr>
      <w:r>
        <w:t>–</w:t>
      </w:r>
      <w:r>
        <w:tab/>
      </w:r>
      <w:r w:rsidRPr="000D7C9B">
        <w:t>s ohledem na to, že ve lhůtě stanovené v čl. 11</w:t>
      </w:r>
      <w:r>
        <w:t>4</w:t>
      </w:r>
      <w:r w:rsidRPr="000D7C9B">
        <w:t xml:space="preserve"> odst. 6 třetí a čtvrté odrážce jednacího řádu, která uplynula dne 1</w:t>
      </w:r>
      <w:r w:rsidR="00085E0E">
        <w:t>7</w:t>
      </w:r>
      <w:r w:rsidR="00617EDD">
        <w:t>.</w:t>
      </w:r>
      <w:bookmarkStart w:id="6" w:name="_GoBack"/>
      <w:bookmarkEnd w:id="6"/>
      <w:r w:rsidR="00085E0E">
        <w:t xml:space="preserve"> června</w:t>
      </w:r>
      <w:r w:rsidRPr="000D7C9B">
        <w:t xml:space="preserve"> 202</w:t>
      </w:r>
      <w:r w:rsidR="00085E0E">
        <w:t>5</w:t>
      </w:r>
      <w:r w:rsidRPr="000D7C9B">
        <w:t>, nebyly vysloveny žádné námitky,</w:t>
      </w:r>
    </w:p>
    <w:p w14:paraId="50E00FC9" w14:textId="77777777" w:rsidR="00527280" w:rsidRPr="00BA00C8" w:rsidRDefault="00527280" w:rsidP="00527280">
      <w:pPr>
        <w:pStyle w:val="NormalHanging12a"/>
        <w:rPr>
          <w:noProof/>
        </w:rPr>
      </w:pPr>
      <w:r w:rsidRPr="00BA00C8">
        <w:t>A.</w:t>
      </w:r>
      <w:r w:rsidRPr="00BA00C8">
        <w:tab/>
        <w:t xml:space="preserve">vzhledem k tomu, že v současné situaci přetrvávající nestability v odvětví zemědělství </w:t>
      </w:r>
      <w:r w:rsidRPr="00BA00C8">
        <w:lastRenderedPageBreak/>
        <w:t>v celé Unii se již v prvních měsících roku 2025 řada členských států potýká s obtížemi při rozhodování o potřebě přezkoumat svá rozhodnutí o převodu prostředků přijatá v roce 2022 podle čl. 17 odst. 5, čl. 88 odst. 7 a článku 103 nařízení (EU) 2021/2115, a je tudíž považováno za nezbytné poskytnout těmto členským státům k naplánování těchto převodů delší lhůtu;</w:t>
      </w:r>
    </w:p>
    <w:p w14:paraId="3ECA6890" w14:textId="29DEDC91" w:rsidR="00527280" w:rsidRPr="00BA00C8" w:rsidRDefault="00527280" w:rsidP="00527280">
      <w:pPr>
        <w:pStyle w:val="NormalHanging12a"/>
      </w:pPr>
      <w:r w:rsidRPr="00BA00C8">
        <w:t>B.</w:t>
      </w:r>
      <w:r w:rsidRPr="00BA00C8">
        <w:tab/>
        <w:t>vzhledem k tomu, že lhůta stanovená v čl. 3 odst. 4 nařízení Komise v přenesené pravomoci (EU) 2023/370</w:t>
      </w:r>
      <w:r w:rsidRPr="00BA00C8">
        <w:rPr>
          <w:rStyle w:val="FootnoteReference"/>
          <w:color w:val="000000"/>
        </w:rPr>
        <w:footnoteReference w:id="2"/>
      </w:r>
      <w:r w:rsidRPr="00BA00C8">
        <w:t xml:space="preserve"> uplyn</w:t>
      </w:r>
      <w:r w:rsidR="003E16B3">
        <w:t>ula</w:t>
      </w:r>
      <w:r w:rsidRPr="00BA00C8">
        <w:t xml:space="preserve"> dne 31. května 2025</w:t>
      </w:r>
      <w:r w:rsidR="001F1558">
        <w:t>,</w:t>
      </w:r>
      <w:r w:rsidRPr="00BA00C8">
        <w:t xml:space="preserve"> je proto nanejvýš důležité stanovit pro předkládání žádostí o změnu co nejdříve novou lhůtu – 31. srpna 2025, aby členské státy mohly své převody náležitě naplánovat a zvážit;</w:t>
      </w:r>
    </w:p>
    <w:p w14:paraId="761A2E48" w14:textId="77777777" w:rsidR="00527280" w:rsidRPr="00BA00C8" w:rsidRDefault="00527280" w:rsidP="00527280">
      <w:pPr>
        <w:pStyle w:val="NormalHanging12a"/>
      </w:pPr>
      <w:r w:rsidRPr="00BA00C8">
        <w:t>C.</w:t>
      </w:r>
      <w:r w:rsidRPr="00BA00C8">
        <w:tab/>
        <w:t>vzhledem k tomu, že nařízení v přenesené pravomoci (EU) 2023/370 by proto mělo být odpovídajícím způsobem změněno;</w:t>
      </w:r>
    </w:p>
    <w:p w14:paraId="656E756B" w14:textId="77777777" w:rsidR="00527280" w:rsidRPr="00BA00C8" w:rsidRDefault="00527280" w:rsidP="00527280">
      <w:pPr>
        <w:pStyle w:val="NormalHanging12a"/>
      </w:pPr>
      <w:r w:rsidRPr="00BA00C8">
        <w:t>1.</w:t>
      </w:r>
      <w:r w:rsidRPr="00BA00C8">
        <w:tab/>
        <w:t>prohlašuje, že nevysloví námitku vůči nařízení v přenesené pravomoci;</w:t>
      </w:r>
    </w:p>
    <w:p w14:paraId="599B6E0D" w14:textId="74718445" w:rsidR="00A86109" w:rsidRPr="00BA00C8" w:rsidRDefault="00527280" w:rsidP="00A86109">
      <w:pPr>
        <w:pStyle w:val="NormalHanging12a"/>
      </w:pPr>
      <w:r w:rsidRPr="00BA00C8">
        <w:t>2.</w:t>
      </w:r>
      <w:r w:rsidRPr="00BA00C8">
        <w:tab/>
        <w:t>pověřuje svou předsedkyni, aby předala toto rozhodnutí Radě a Komisi.</w:t>
      </w:r>
    </w:p>
    <w:p w14:paraId="61413B5E" w14:textId="2AC8EDAC" w:rsidR="00E365E1" w:rsidRPr="00BA00C8" w:rsidRDefault="00E365E1" w:rsidP="004E0613"/>
    <w:sectPr w:rsidR="00E365E1" w:rsidRPr="00BA00C8" w:rsidSect="00A861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A4A319" w14:textId="77777777" w:rsidR="004E0613" w:rsidRPr="00A86109" w:rsidRDefault="004E0613">
      <w:r w:rsidRPr="00A86109">
        <w:separator/>
      </w:r>
    </w:p>
  </w:endnote>
  <w:endnote w:type="continuationSeparator" w:id="0">
    <w:p w14:paraId="3C742FA0" w14:textId="77777777" w:rsidR="004E0613" w:rsidRPr="00A86109" w:rsidRDefault="004E0613">
      <w:r w:rsidRPr="00A861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BA5F7" w14:textId="77777777" w:rsidR="00064002" w:rsidRPr="00A861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F5839" w14:textId="77777777" w:rsidR="00064002" w:rsidRPr="00A861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538FD" w14:textId="77777777" w:rsidR="00064002" w:rsidRPr="00A861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FEF78" w14:textId="77777777" w:rsidR="004E0613" w:rsidRPr="00A86109" w:rsidRDefault="004E0613">
      <w:r w:rsidRPr="00A86109">
        <w:separator/>
      </w:r>
    </w:p>
  </w:footnote>
  <w:footnote w:type="continuationSeparator" w:id="0">
    <w:p w14:paraId="566879FB" w14:textId="77777777" w:rsidR="004E0613" w:rsidRPr="00A86109" w:rsidRDefault="004E0613">
      <w:r w:rsidRPr="00A86109">
        <w:continuationSeparator/>
      </w:r>
    </w:p>
  </w:footnote>
  <w:footnote w:id="1">
    <w:p w14:paraId="4E3249AF" w14:textId="2F59E576" w:rsidR="00527280" w:rsidRPr="00A86109" w:rsidRDefault="00527280" w:rsidP="00A86109">
      <w:pPr>
        <w:pStyle w:val="FootnoteText"/>
        <w:ind w:left="567" w:hanging="567"/>
        <w:rPr>
          <w:sz w:val="24"/>
          <w:lang w:val="cs-CZ"/>
        </w:rPr>
      </w:pPr>
      <w:r w:rsidRPr="00A86109">
        <w:rPr>
          <w:rStyle w:val="FootnoteReference"/>
          <w:sz w:val="24"/>
          <w:lang w:val="cs-CZ"/>
        </w:rPr>
        <w:footnoteRef/>
      </w:r>
      <w:r w:rsidR="00A86109" w:rsidRPr="00A86109">
        <w:rPr>
          <w:sz w:val="24"/>
          <w:lang w:val="cs-CZ"/>
        </w:rPr>
        <w:t xml:space="preserve"> </w:t>
      </w:r>
      <w:r w:rsidR="00A86109" w:rsidRPr="00A86109">
        <w:rPr>
          <w:sz w:val="24"/>
          <w:lang w:val="cs-CZ"/>
        </w:rPr>
        <w:tab/>
      </w:r>
      <w:r w:rsidRPr="00A86109">
        <w:rPr>
          <w:sz w:val="24"/>
          <w:lang w:val="cs-CZ"/>
        </w:rPr>
        <w:t>Nařízení Evropského parlamentu a Rady (EU) 2021/2115 ze dne 2. prosince 2021,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č. 1305/2013 a (EU) č. 1307/2013 (</w:t>
      </w:r>
      <w:proofErr w:type="spellStart"/>
      <w:r w:rsidRPr="00A86109">
        <w:rPr>
          <w:sz w:val="24"/>
          <w:lang w:val="cs-CZ"/>
        </w:rPr>
        <w:t>Úř</w:t>
      </w:r>
      <w:proofErr w:type="spellEnd"/>
      <w:r w:rsidRPr="00A86109">
        <w:rPr>
          <w:sz w:val="24"/>
          <w:lang w:val="cs-CZ"/>
        </w:rPr>
        <w:t>. </w:t>
      </w:r>
      <w:proofErr w:type="spellStart"/>
      <w:r w:rsidRPr="00A86109">
        <w:rPr>
          <w:sz w:val="24"/>
          <w:lang w:val="cs-CZ"/>
        </w:rPr>
        <w:t>věst</w:t>
      </w:r>
      <w:proofErr w:type="spellEnd"/>
      <w:r w:rsidRPr="00A86109">
        <w:rPr>
          <w:sz w:val="24"/>
          <w:lang w:val="cs-CZ"/>
        </w:rPr>
        <w:t xml:space="preserve">. L 435, 6.12.2021, s. 1, ELI: </w:t>
      </w:r>
      <w:hyperlink r:id="rId1" w:tooltip="Umožňuje přístup k tomuto dokumentu prostřednictvím identifikátoru URI používaného v ELI." w:history="1">
        <w:r w:rsidRPr="00A86109">
          <w:rPr>
            <w:rStyle w:val="Hyperlink"/>
            <w:sz w:val="24"/>
            <w:lang w:val="cs-CZ"/>
          </w:rPr>
          <w:t>http://data.europa.eu/eli/reg/2021/2115/oj</w:t>
        </w:r>
      </w:hyperlink>
      <w:r w:rsidRPr="00A86109">
        <w:rPr>
          <w:sz w:val="24"/>
          <w:lang w:val="cs-CZ"/>
        </w:rPr>
        <w:t>).</w:t>
      </w:r>
    </w:p>
  </w:footnote>
  <w:footnote w:id="2">
    <w:p w14:paraId="7A419A22" w14:textId="30AA6D48" w:rsidR="00527280" w:rsidRPr="00A86109" w:rsidRDefault="00527280" w:rsidP="00A86109">
      <w:pPr>
        <w:pStyle w:val="FootnoteText"/>
        <w:ind w:left="567" w:hanging="567"/>
        <w:rPr>
          <w:sz w:val="24"/>
          <w:lang w:val="cs-CZ"/>
        </w:rPr>
      </w:pPr>
      <w:r w:rsidRPr="00A86109">
        <w:rPr>
          <w:rStyle w:val="FootnoteReference"/>
          <w:sz w:val="24"/>
          <w:lang w:val="cs-CZ"/>
        </w:rPr>
        <w:footnoteRef/>
      </w:r>
      <w:r w:rsidR="00A86109" w:rsidRPr="00A86109">
        <w:rPr>
          <w:sz w:val="24"/>
          <w:lang w:val="cs-CZ"/>
        </w:rPr>
        <w:t xml:space="preserve"> </w:t>
      </w:r>
      <w:r w:rsidR="00A86109" w:rsidRPr="00A86109">
        <w:rPr>
          <w:sz w:val="24"/>
          <w:lang w:val="cs-CZ"/>
        </w:rPr>
        <w:tab/>
      </w:r>
      <w:r w:rsidRPr="00A86109">
        <w:rPr>
          <w:sz w:val="24"/>
          <w:lang w:val="cs-CZ"/>
        </w:rPr>
        <w:t>Nařízení Komise v přenesené pravomoci (EU) 2023/370 ze dne 13. prosince 2022, kterým se doplňuje nařízení Evropského parlamentu a Rady (EU) 2021/2115, pokud jde o postupy, lhůty pro předkládání žádostí členských států o změny strategických plánů SZP a další případy, pro něž neplatí maximální počet změn strategických plánů SZP (</w:t>
      </w:r>
      <w:proofErr w:type="spellStart"/>
      <w:r w:rsidRPr="00BF200C">
        <w:rPr>
          <w:rStyle w:val="Emphasis"/>
          <w:rFonts w:ascii="Times New Roman" w:hAnsi="Times New Roman" w:cs="Times New Roman"/>
          <w:b w:val="0"/>
          <w:bCs/>
          <w:i w:val="0"/>
          <w:iCs w:val="0"/>
          <w:sz w:val="24"/>
          <w:lang w:val="cs-CZ"/>
        </w:rPr>
        <w:t>Úř</w:t>
      </w:r>
      <w:proofErr w:type="spellEnd"/>
      <w:r w:rsidRPr="00BF200C">
        <w:rPr>
          <w:rStyle w:val="Emphasis"/>
          <w:rFonts w:ascii="Times New Roman" w:hAnsi="Times New Roman" w:cs="Times New Roman"/>
          <w:b w:val="0"/>
          <w:bCs/>
          <w:i w:val="0"/>
          <w:iCs w:val="0"/>
          <w:sz w:val="24"/>
          <w:lang w:val="cs-CZ"/>
        </w:rPr>
        <w:t xml:space="preserve">. </w:t>
      </w:r>
      <w:proofErr w:type="spellStart"/>
      <w:r w:rsidRPr="00BF200C">
        <w:rPr>
          <w:rStyle w:val="Emphasis"/>
          <w:rFonts w:ascii="Times New Roman" w:hAnsi="Times New Roman" w:cs="Times New Roman"/>
          <w:b w:val="0"/>
          <w:bCs/>
          <w:i w:val="0"/>
          <w:iCs w:val="0"/>
          <w:sz w:val="24"/>
          <w:lang w:val="cs-CZ"/>
        </w:rPr>
        <w:t>věst</w:t>
      </w:r>
      <w:proofErr w:type="spellEnd"/>
      <w:r w:rsidRPr="00BF200C">
        <w:rPr>
          <w:rStyle w:val="Emphasis"/>
          <w:rFonts w:ascii="Times New Roman" w:hAnsi="Times New Roman" w:cs="Times New Roman"/>
          <w:b w:val="0"/>
          <w:bCs/>
          <w:i w:val="0"/>
          <w:iCs w:val="0"/>
          <w:sz w:val="24"/>
          <w:lang w:val="cs-CZ"/>
        </w:rPr>
        <w:t>. L 51, 20.2.2023, s. 25, E</w:t>
      </w:r>
      <w:r w:rsidRPr="00A86109">
        <w:rPr>
          <w:sz w:val="24"/>
          <w:lang w:val="cs-CZ"/>
        </w:rPr>
        <w:t xml:space="preserve">LI: </w:t>
      </w:r>
      <w:hyperlink r:id="rId2" w:tooltip="Umožňuje přístup k tomuto dokumentu prostřednictvím identifikátoru URI používaného v ELI." w:history="1">
        <w:r w:rsidRPr="00A86109">
          <w:rPr>
            <w:rStyle w:val="Hyperlink"/>
            <w:sz w:val="24"/>
            <w:lang w:val="cs-CZ"/>
          </w:rPr>
          <w:t>http://data.europa.eu/eli/reg_del/2023/370/oj</w:t>
        </w:r>
      </w:hyperlink>
      <w:r w:rsidRPr="00A86109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2F8F" w14:textId="77777777" w:rsidR="00064002" w:rsidRPr="00A861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1435E" w14:textId="77777777" w:rsidR="00064002" w:rsidRPr="00A861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B7092" w14:textId="77777777" w:rsidR="00064002" w:rsidRPr="00A861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CS"/>
    <w:docVar w:name="dvnumam" w:val="0"/>
    <w:docVar w:name="dvpe" w:val="774.269"/>
    <w:docVar w:name="dvtitre" w:val="Rozhodnutí Evropského parlamentu ze dne 17. června 2025 nevyslovit námitku vůči nařízení Komise v přenesené pravomoci ze dne 21. května 2025, kterým se mění nařízení Komise v přenesené pravomoci (EU) 2023/370, kterým se doplňuje nařízení Evropského parlamentu a Rady (EU) 2021/2115, pokud jde o lhůtu pro předkládání žádostí o změny strategických plánů SZP C(2025)03151 – 2025/2728(DEA))"/>
  </w:docVars>
  <w:rsids>
    <w:rsidRoot w:val="004E0613"/>
    <w:rsid w:val="00002272"/>
    <w:rsid w:val="00064002"/>
    <w:rsid w:val="000677B9"/>
    <w:rsid w:val="000831BA"/>
    <w:rsid w:val="00085E0E"/>
    <w:rsid w:val="000A42CC"/>
    <w:rsid w:val="000D7C9B"/>
    <w:rsid w:val="000E7DD9"/>
    <w:rsid w:val="0010095E"/>
    <w:rsid w:val="00125B37"/>
    <w:rsid w:val="00187494"/>
    <w:rsid w:val="001F1558"/>
    <w:rsid w:val="001F32AE"/>
    <w:rsid w:val="002767FF"/>
    <w:rsid w:val="002B18FE"/>
    <w:rsid w:val="002B4DAE"/>
    <w:rsid w:val="002B5493"/>
    <w:rsid w:val="00322F3A"/>
    <w:rsid w:val="00343214"/>
    <w:rsid w:val="00361C00"/>
    <w:rsid w:val="00395FA1"/>
    <w:rsid w:val="003E15D4"/>
    <w:rsid w:val="003E16B3"/>
    <w:rsid w:val="00411CCE"/>
    <w:rsid w:val="0041666E"/>
    <w:rsid w:val="00421060"/>
    <w:rsid w:val="00471C19"/>
    <w:rsid w:val="004867E3"/>
    <w:rsid w:val="00494A28"/>
    <w:rsid w:val="004C0004"/>
    <w:rsid w:val="004C4256"/>
    <w:rsid w:val="004C5D52"/>
    <w:rsid w:val="004E0613"/>
    <w:rsid w:val="0050519A"/>
    <w:rsid w:val="005072A1"/>
    <w:rsid w:val="00514517"/>
    <w:rsid w:val="00527280"/>
    <w:rsid w:val="0053122F"/>
    <w:rsid w:val="00545827"/>
    <w:rsid w:val="00560270"/>
    <w:rsid w:val="005C2568"/>
    <w:rsid w:val="005F1B17"/>
    <w:rsid w:val="006037C0"/>
    <w:rsid w:val="00617EDD"/>
    <w:rsid w:val="006631B6"/>
    <w:rsid w:val="00680577"/>
    <w:rsid w:val="006A39E8"/>
    <w:rsid w:val="006D62E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88E"/>
    <w:rsid w:val="00A1687D"/>
    <w:rsid w:val="00A43E52"/>
    <w:rsid w:val="00A4678D"/>
    <w:rsid w:val="00A778C7"/>
    <w:rsid w:val="00A86109"/>
    <w:rsid w:val="00AB441E"/>
    <w:rsid w:val="00AB6293"/>
    <w:rsid w:val="00AE0928"/>
    <w:rsid w:val="00AF3B82"/>
    <w:rsid w:val="00B12E95"/>
    <w:rsid w:val="00B22876"/>
    <w:rsid w:val="00B558F0"/>
    <w:rsid w:val="00BA00C8"/>
    <w:rsid w:val="00BD48FE"/>
    <w:rsid w:val="00BD7BD8"/>
    <w:rsid w:val="00BE6ADC"/>
    <w:rsid w:val="00BF200C"/>
    <w:rsid w:val="00C05BFE"/>
    <w:rsid w:val="00C23CD4"/>
    <w:rsid w:val="00C61C0C"/>
    <w:rsid w:val="00C837B9"/>
    <w:rsid w:val="00C941CB"/>
    <w:rsid w:val="00CC2357"/>
    <w:rsid w:val="00CF071A"/>
    <w:rsid w:val="00D058B8"/>
    <w:rsid w:val="00D30986"/>
    <w:rsid w:val="00D56C11"/>
    <w:rsid w:val="00D834A0"/>
    <w:rsid w:val="00D872DF"/>
    <w:rsid w:val="00D91E21"/>
    <w:rsid w:val="00DA7FCD"/>
    <w:rsid w:val="00E365E1"/>
    <w:rsid w:val="00E6155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42F3D"/>
  <w15:chartTrackingRefBased/>
  <w15:docId w15:val="{F860F2B9-06F8-404C-95EE-02C0C4CA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27280"/>
    <w:pPr>
      <w:spacing w:before="480" w:after="240"/>
    </w:pPr>
  </w:style>
  <w:style w:type="paragraph" w:customStyle="1" w:styleId="NormalHanging12a">
    <w:name w:val="NormalHanging12a"/>
    <w:basedOn w:val="Normal"/>
    <w:rsid w:val="0052728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52728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27280"/>
    <w:rPr>
      <w:rFonts w:asciiTheme="minorHAnsi" w:hAnsiTheme="minorHAnsi" w:cs="Calibri" w:hint="default"/>
      <w:b/>
      <w:bCs w:val="0"/>
      <w:i/>
      <w:iCs/>
    </w:rPr>
  </w:style>
  <w:style w:type="paragraph" w:styleId="Revision">
    <w:name w:val="Revision"/>
    <w:hidden/>
    <w:uiPriority w:val="99"/>
    <w:semiHidden/>
    <w:rsid w:val="006D62E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7FB4E-D0D0-42DE-9518-5F67969A6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2106</Characters>
  <Application>Microsoft Office Word</Application>
  <DocSecurity>0</DocSecurity>
  <Lines>70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2025-07-22T14:13:00Z</dcterms:created>
  <dcterms:modified xsi:type="dcterms:W3CDTF">2025-07-22T14:13:00Z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