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250F" w14:paraId="5F89C351" w14:textId="77777777" w:rsidTr="0010095E">
        <w:trPr>
          <w:trHeight w:hRule="exact" w:val="1418"/>
        </w:trPr>
        <w:tc>
          <w:tcPr>
            <w:tcW w:w="6804" w:type="dxa"/>
            <w:shd w:val="clear" w:color="auto" w:fill="auto"/>
            <w:vAlign w:val="center"/>
          </w:tcPr>
          <w:p w14:paraId="4DAD7B9C" w14:textId="77777777" w:rsidR="00751A4A" w:rsidRPr="00E1250F" w:rsidRDefault="009B7F9B" w:rsidP="0010095E">
            <w:pPr>
              <w:pStyle w:val="EPName"/>
            </w:pPr>
            <w:r w:rsidRPr="00E1250F">
              <w:t>European Parliament</w:t>
            </w:r>
          </w:p>
          <w:p w14:paraId="136BE192" w14:textId="77777777" w:rsidR="00751A4A" w:rsidRPr="00E1250F" w:rsidRDefault="005F1B17" w:rsidP="005F1B17">
            <w:pPr>
              <w:pStyle w:val="EPTerm"/>
              <w:rPr>
                <w:rStyle w:val="HideTWBExt"/>
                <w:noProof w:val="0"/>
                <w:vanish w:val="0"/>
                <w:color w:val="auto"/>
              </w:rPr>
            </w:pPr>
            <w:r w:rsidRPr="00E1250F">
              <w:t>2024</w:t>
            </w:r>
            <w:r w:rsidR="00817416" w:rsidRPr="00E1250F">
              <w:t>-202</w:t>
            </w:r>
            <w:r w:rsidRPr="00E1250F">
              <w:t>9</w:t>
            </w:r>
          </w:p>
        </w:tc>
        <w:tc>
          <w:tcPr>
            <w:tcW w:w="2268" w:type="dxa"/>
            <w:shd w:val="clear" w:color="auto" w:fill="auto"/>
          </w:tcPr>
          <w:p w14:paraId="2CB965F9" w14:textId="77777777" w:rsidR="00751A4A" w:rsidRPr="00E1250F" w:rsidRDefault="00187494" w:rsidP="0010095E">
            <w:pPr>
              <w:pStyle w:val="EPLogo"/>
            </w:pPr>
            <w:r w:rsidRPr="00E1250F">
              <w:rPr>
                <w:noProof/>
              </w:rPr>
              <w:drawing>
                <wp:inline distT="0" distB="0" distL="0" distR="0" wp14:anchorId="37C194B3" wp14:editId="18725A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16EDAA" w14:textId="77777777" w:rsidR="00D058B8" w:rsidRPr="00E1250F" w:rsidRDefault="00D058B8" w:rsidP="004C5D52">
      <w:pPr>
        <w:pStyle w:val="LineTop"/>
      </w:pPr>
    </w:p>
    <w:p w14:paraId="61A87A88" w14:textId="77777777" w:rsidR="00680577" w:rsidRPr="00E1250F" w:rsidRDefault="009B7F9B" w:rsidP="00680577">
      <w:pPr>
        <w:pStyle w:val="EPBodyTA1"/>
      </w:pPr>
      <w:r w:rsidRPr="00E1250F">
        <w:t>TEXTS ADOPTED</w:t>
      </w:r>
    </w:p>
    <w:p w14:paraId="1771A334" w14:textId="77777777" w:rsidR="00D058B8" w:rsidRPr="00E1250F" w:rsidRDefault="00D058B8" w:rsidP="00D058B8">
      <w:pPr>
        <w:pStyle w:val="LineBottom"/>
      </w:pPr>
    </w:p>
    <w:p w14:paraId="7D8EB5AA" w14:textId="0A8C4F87" w:rsidR="009B7F9B" w:rsidRPr="00E1250F" w:rsidRDefault="009B7F9B" w:rsidP="009B7F9B">
      <w:pPr>
        <w:pStyle w:val="ATHeading1"/>
      </w:pPr>
      <w:bookmarkStart w:id="0" w:name="TANumber"/>
      <w:r w:rsidRPr="00E1250F">
        <w:t>P10_TA(2025)0</w:t>
      </w:r>
      <w:bookmarkEnd w:id="0"/>
      <w:r w:rsidR="00E1250F" w:rsidRPr="00E1250F">
        <w:t>124</w:t>
      </w:r>
    </w:p>
    <w:p w14:paraId="66DC284D" w14:textId="6018D11E" w:rsidR="009B7F9B" w:rsidRPr="00E1250F" w:rsidRDefault="00FB390C" w:rsidP="009B7F9B">
      <w:pPr>
        <w:pStyle w:val="ATHeading2"/>
      </w:pPr>
      <w:bookmarkStart w:id="1" w:name="title"/>
      <w:r w:rsidRPr="00E1250F">
        <w:t>Non-objection to a delegated act</w:t>
      </w:r>
      <w:bookmarkEnd w:id="1"/>
      <w:r w:rsidRPr="00E1250F">
        <w:t xml:space="preserve">: </w:t>
      </w:r>
      <w:r w:rsidR="007904EB" w:rsidRPr="00E1250F">
        <w:t xml:space="preserve">The </w:t>
      </w:r>
      <w:r w:rsidR="00D70907" w:rsidRPr="00E1250F">
        <w:t>time period to submit requests for amendments of CAP Strategic Plans</w:t>
      </w:r>
      <w:bookmarkStart w:id="2" w:name="_GoBack"/>
      <w:bookmarkEnd w:id="2"/>
    </w:p>
    <w:p w14:paraId="27030165" w14:textId="77777777" w:rsidR="009B7F9B" w:rsidRPr="00E1250F" w:rsidRDefault="009B7F9B" w:rsidP="009B7F9B">
      <w:pPr>
        <w:rPr>
          <w:i/>
          <w:vanish/>
        </w:rPr>
      </w:pPr>
      <w:r w:rsidRPr="00E1250F">
        <w:rPr>
          <w:i/>
        </w:rPr>
        <w:fldChar w:fldCharType="begin"/>
      </w:r>
      <w:r w:rsidRPr="00E1250F">
        <w:rPr>
          <w:i/>
        </w:rPr>
        <w:instrText xml:space="preserve"> TC"(</w:instrText>
      </w:r>
      <w:bookmarkStart w:id="3" w:name="DocNumber"/>
      <w:r w:rsidRPr="00E1250F">
        <w:rPr>
          <w:i/>
        </w:rPr>
        <w:instrText>B10-0276/2025</w:instrText>
      </w:r>
      <w:bookmarkEnd w:id="3"/>
      <w:r w:rsidRPr="00E1250F">
        <w:rPr>
          <w:i/>
        </w:rPr>
        <w:instrText xml:space="preserve">)"\l3 \n&gt; \* MERGEFORMAT </w:instrText>
      </w:r>
      <w:r w:rsidRPr="00E1250F">
        <w:rPr>
          <w:i/>
        </w:rPr>
        <w:fldChar w:fldCharType="end"/>
      </w:r>
    </w:p>
    <w:p w14:paraId="395936FD" w14:textId="77777777" w:rsidR="009B7F9B" w:rsidRPr="00E1250F" w:rsidRDefault="009B7F9B" w:rsidP="009B7F9B">
      <w:pPr>
        <w:rPr>
          <w:vanish/>
        </w:rPr>
      </w:pPr>
      <w:bookmarkStart w:id="4" w:name="PE"/>
      <w:r w:rsidRPr="00E1250F">
        <w:rPr>
          <w:vanish/>
        </w:rPr>
        <w:t>PE774.269</w:t>
      </w:r>
      <w:bookmarkEnd w:id="4"/>
    </w:p>
    <w:p w14:paraId="2E9F63B3" w14:textId="4ACAA5D6" w:rsidR="009B7F9B" w:rsidRPr="00E1250F" w:rsidRDefault="009B7F9B" w:rsidP="00FB390C">
      <w:pPr>
        <w:pStyle w:val="ATHeading3"/>
      </w:pPr>
      <w:bookmarkStart w:id="5" w:name="Sujet"/>
      <w:r w:rsidRPr="00E1250F">
        <w:t xml:space="preserve">European Parliament decision to raise no objections to the Commission delegated regulation of 21 May 2025 amending Commission Delegated Regulation (EU) 2023/370 supplementing Regulation (EU) 2021/2115 of the European Parliament and of the Council as regards the time period to submit requests for amendments of CAP Strategic Plans </w:t>
      </w:r>
      <w:bookmarkStart w:id="6" w:name="References"/>
      <w:bookmarkEnd w:id="5"/>
      <w:r w:rsidR="006957A6" w:rsidRPr="00E1250F">
        <w:t>(</w:t>
      </w:r>
      <w:r w:rsidRPr="00E1250F">
        <w:t>C(2025)03151 – 2025/2728(DEA))</w:t>
      </w:r>
      <w:bookmarkEnd w:id="6"/>
    </w:p>
    <w:p w14:paraId="33C0910F" w14:textId="77777777" w:rsidR="004879F8" w:rsidRPr="00E1250F" w:rsidRDefault="004879F8" w:rsidP="004879F8">
      <w:pPr>
        <w:pStyle w:val="EPComma"/>
      </w:pPr>
      <w:bookmarkStart w:id="7" w:name="TextBodyBegin"/>
      <w:bookmarkEnd w:id="7"/>
      <w:r w:rsidRPr="00E1250F">
        <w:rPr>
          <w:i/>
        </w:rPr>
        <w:t>The European Parliament</w:t>
      </w:r>
      <w:r w:rsidRPr="00E1250F">
        <w:t>,</w:t>
      </w:r>
    </w:p>
    <w:p w14:paraId="7D89CDC7" w14:textId="77777777" w:rsidR="004879F8" w:rsidRPr="00E1250F" w:rsidRDefault="004879F8" w:rsidP="004879F8">
      <w:pPr>
        <w:pStyle w:val="NormalHanging12a"/>
      </w:pPr>
      <w:r w:rsidRPr="00E1250F">
        <w:t>–</w:t>
      </w:r>
      <w:r w:rsidRPr="00E1250F">
        <w:tab/>
        <w:t>having regard to the Commission delegated regulation (C(2025)03151),</w:t>
      </w:r>
    </w:p>
    <w:p w14:paraId="2AA849A0" w14:textId="77777777" w:rsidR="004879F8" w:rsidRPr="00E1250F" w:rsidRDefault="004879F8" w:rsidP="004879F8">
      <w:pPr>
        <w:pStyle w:val="NormalHanging12a"/>
      </w:pPr>
      <w:r w:rsidRPr="00E1250F">
        <w:t>–</w:t>
      </w:r>
      <w:r w:rsidRPr="00E1250F">
        <w:tab/>
        <w:t>having regard to the Commission’s letter of 21 May 2025 asking Parliament to declare that it will raise no objections to the delegated regulation,</w:t>
      </w:r>
    </w:p>
    <w:p w14:paraId="151D3C32" w14:textId="3527DF15" w:rsidR="004879F8" w:rsidRPr="00E1250F" w:rsidRDefault="004879F8" w:rsidP="004879F8">
      <w:pPr>
        <w:pStyle w:val="NormalHanging12a"/>
      </w:pPr>
      <w:r w:rsidRPr="00E1250F">
        <w:t>–</w:t>
      </w:r>
      <w:r w:rsidRPr="00E1250F">
        <w:tab/>
        <w:t xml:space="preserve">having regard to the letter from the Committee on Agriculture and Rural Development to the Chair of the Conference of Committee Chairs of </w:t>
      </w:r>
      <w:r w:rsidR="006957A6" w:rsidRPr="00E1250F">
        <w:t>4</w:t>
      </w:r>
      <w:r w:rsidRPr="00E1250F">
        <w:t xml:space="preserve"> June 2025,</w:t>
      </w:r>
    </w:p>
    <w:p w14:paraId="1D9AFF11" w14:textId="77777777" w:rsidR="004879F8" w:rsidRPr="00E1250F" w:rsidRDefault="004879F8" w:rsidP="004879F8">
      <w:pPr>
        <w:pStyle w:val="NormalHanging12a"/>
      </w:pPr>
      <w:r w:rsidRPr="00E1250F">
        <w:t>–</w:t>
      </w:r>
      <w:r w:rsidRPr="00E1250F">
        <w:tab/>
        <w:t>having regard to Article 290 of the Treaty on the Functioning of the European Union,</w:t>
      </w:r>
    </w:p>
    <w:p w14:paraId="5E37EBCB" w14:textId="77777777" w:rsidR="004879F8" w:rsidRPr="00E1250F" w:rsidRDefault="004879F8" w:rsidP="004879F8">
      <w:pPr>
        <w:pStyle w:val="NormalHanging12a"/>
      </w:pPr>
      <w:r w:rsidRPr="00E1250F">
        <w:t>–</w:t>
      </w:r>
      <w:r w:rsidRPr="00E1250F">
        <w:tab/>
        <w:t xml:space="preserve">having regard to Regulation </w:t>
      </w:r>
      <w:r w:rsidRPr="00E1250F">
        <w:rPr>
          <w:szCs w:val="23"/>
        </w:rPr>
        <w:t>(EU) 2021/2115 of the European Parliament and of the Council</w:t>
      </w:r>
      <w:r w:rsidRPr="00E1250F">
        <w:rPr>
          <w:rStyle w:val="FootnoteReference"/>
          <w:color w:val="000000"/>
          <w:szCs w:val="23"/>
        </w:rPr>
        <w:footnoteReference w:id="1"/>
      </w:r>
      <w:r w:rsidRPr="00E1250F">
        <w:rPr>
          <w:szCs w:val="23"/>
        </w:rPr>
        <w:t>, and in particular Article 122, point (a), thereof</w:t>
      </w:r>
      <w:r w:rsidRPr="00E1250F">
        <w:t>,</w:t>
      </w:r>
    </w:p>
    <w:p w14:paraId="225DA290" w14:textId="77777777" w:rsidR="004879F8" w:rsidRPr="00E1250F" w:rsidRDefault="004879F8" w:rsidP="004879F8">
      <w:pPr>
        <w:pStyle w:val="NormalHanging12a"/>
      </w:pPr>
      <w:r w:rsidRPr="00E1250F">
        <w:t>–</w:t>
      </w:r>
      <w:r w:rsidRPr="00E1250F">
        <w:tab/>
        <w:t>having regard to Rule 114(6) of its Rules of Procedure,</w:t>
      </w:r>
    </w:p>
    <w:p w14:paraId="7D3243A7" w14:textId="0A8B933A" w:rsidR="004879F8" w:rsidRPr="00E1250F" w:rsidRDefault="004879F8" w:rsidP="004879F8">
      <w:pPr>
        <w:pStyle w:val="NormalHanging12a"/>
      </w:pPr>
      <w:r w:rsidRPr="00E1250F">
        <w:t>–</w:t>
      </w:r>
      <w:r w:rsidRPr="00E1250F">
        <w:tab/>
        <w:t>having regard to the recommendation for a decision of the Committee on Agriculture and Rural Development,</w:t>
      </w:r>
    </w:p>
    <w:p w14:paraId="10566DAE" w14:textId="1AE3D04B" w:rsidR="00AC5D75" w:rsidRPr="00E1250F" w:rsidRDefault="00AC5D75" w:rsidP="00E1250F">
      <w:pPr>
        <w:pStyle w:val="NormalHanging12a"/>
        <w:rPr>
          <w:color w:val="000000"/>
        </w:rPr>
      </w:pPr>
      <w:r w:rsidRPr="00E1250F">
        <w:rPr>
          <w:color w:val="000000"/>
          <w:szCs w:val="24"/>
        </w:rPr>
        <w:t xml:space="preserve">– </w:t>
      </w:r>
      <w:r w:rsidRPr="00E1250F">
        <w:rPr>
          <w:color w:val="000000"/>
          <w:szCs w:val="24"/>
        </w:rPr>
        <w:tab/>
      </w:r>
      <w:r w:rsidRPr="00E1250F">
        <w:rPr>
          <w:szCs w:val="24"/>
        </w:rPr>
        <w:t>having</w:t>
      </w:r>
      <w:r w:rsidRPr="00E1250F">
        <w:rPr>
          <w:color w:val="000000"/>
          <w:szCs w:val="24"/>
        </w:rPr>
        <w:t xml:space="preserve"> regard to the fact that no objections have been raised within the period laid down </w:t>
      </w:r>
      <w:r w:rsidRPr="00E1250F">
        <w:rPr>
          <w:color w:val="000000"/>
          <w:szCs w:val="24"/>
        </w:rPr>
        <w:lastRenderedPageBreak/>
        <w:t>in the third and fourth indents of Rule 114(6) of its Rules of Procedure, which expired on 17 June 2025,</w:t>
      </w:r>
    </w:p>
    <w:p w14:paraId="0C5A599A" w14:textId="77777777" w:rsidR="004879F8" w:rsidRPr="00E1250F" w:rsidRDefault="004879F8" w:rsidP="004879F8">
      <w:pPr>
        <w:pStyle w:val="NormalHanging12a"/>
        <w:rPr>
          <w:noProof/>
        </w:rPr>
      </w:pPr>
      <w:r w:rsidRPr="00E1250F">
        <w:t>A.</w:t>
      </w:r>
      <w:r w:rsidRPr="00E1250F">
        <w:tab/>
        <w:t xml:space="preserve">whereas, </w:t>
      </w:r>
      <w:r w:rsidRPr="00E1250F">
        <w:rPr>
          <w:szCs w:val="23"/>
        </w:rPr>
        <w:t>in the current context of ongoing instability in the agricultural sector across the Union several Member States are already encountering difficulties in deciding in the early months of 2025 on the need to review their transfer decisions taken in 2022 pursuant to Article 17(5), Article 88(7) and Article 103 of Regulation (EU) 2021/2115, and it is therefore considered necessary to provide Member States with additional time to plan those transfers;</w:t>
      </w:r>
    </w:p>
    <w:p w14:paraId="012C2D36" w14:textId="2D088465" w:rsidR="004879F8" w:rsidRPr="00E1250F" w:rsidRDefault="004879F8" w:rsidP="004879F8">
      <w:pPr>
        <w:pStyle w:val="NormalHanging12a"/>
      </w:pPr>
      <w:r w:rsidRPr="00E1250F">
        <w:t>B.</w:t>
      </w:r>
      <w:r w:rsidRPr="00E1250F">
        <w:tab/>
        <w:t>whereas the time limit laid down in Article 3(4) of Commission Delegated Regulation (EU) 2023/370</w:t>
      </w:r>
      <w:r w:rsidRPr="00E1250F">
        <w:rPr>
          <w:rStyle w:val="FootnoteReference"/>
          <w:color w:val="000000"/>
        </w:rPr>
        <w:footnoteReference w:id="2"/>
      </w:r>
      <w:r w:rsidRPr="00E1250F">
        <w:t xml:space="preserve"> expire</w:t>
      </w:r>
      <w:r w:rsidR="006957A6" w:rsidRPr="00E1250F">
        <w:t>d</w:t>
      </w:r>
      <w:r w:rsidRPr="00E1250F">
        <w:t xml:space="preserve"> on 31 May 2025</w:t>
      </w:r>
      <w:r w:rsidR="006957A6" w:rsidRPr="00E1250F">
        <w:t>,</w:t>
      </w:r>
      <w:r w:rsidRPr="00E1250F">
        <w:t xml:space="preserve"> it is therefore of utmost importance to establish a new time limit of 31 August 2025 for the submission of requests for amendment as soon as possible, in order to allow for appropriate planning and consideration by Member States;</w:t>
      </w:r>
    </w:p>
    <w:p w14:paraId="16CF0FF1" w14:textId="77777777" w:rsidR="004879F8" w:rsidRPr="00E1250F" w:rsidRDefault="004879F8" w:rsidP="004879F8">
      <w:pPr>
        <w:pStyle w:val="NormalHanging12a"/>
      </w:pPr>
      <w:r w:rsidRPr="00E1250F">
        <w:rPr>
          <w:szCs w:val="23"/>
        </w:rPr>
        <w:t>C.</w:t>
      </w:r>
      <w:r w:rsidRPr="00E1250F">
        <w:rPr>
          <w:szCs w:val="23"/>
        </w:rPr>
        <w:tab/>
      </w:r>
      <w:r w:rsidRPr="00E1250F">
        <w:t xml:space="preserve">whereas </w:t>
      </w:r>
      <w:r w:rsidRPr="00E1250F">
        <w:rPr>
          <w:szCs w:val="23"/>
        </w:rPr>
        <w:t>Delegated Regulation (EU) 2023/370 should therefore be amended accordingly</w:t>
      </w:r>
      <w:r w:rsidRPr="00E1250F">
        <w:rPr>
          <w:noProof/>
        </w:rPr>
        <w:t>;</w:t>
      </w:r>
    </w:p>
    <w:p w14:paraId="20A3412F" w14:textId="77777777" w:rsidR="004879F8" w:rsidRPr="00E1250F" w:rsidRDefault="004879F8" w:rsidP="004879F8">
      <w:pPr>
        <w:pStyle w:val="NormalHanging12a"/>
      </w:pPr>
      <w:r w:rsidRPr="00E1250F">
        <w:t>1.</w:t>
      </w:r>
      <w:r w:rsidRPr="00E1250F">
        <w:tab/>
        <w:t>Declares that it has no objections to the delegated regulation;</w:t>
      </w:r>
    </w:p>
    <w:p w14:paraId="320862A2" w14:textId="77777777" w:rsidR="00E365E1" w:rsidRPr="002D0E38" w:rsidRDefault="004879F8" w:rsidP="00FB390C">
      <w:pPr>
        <w:pStyle w:val="NormalHanging12a"/>
      </w:pPr>
      <w:r w:rsidRPr="00E1250F">
        <w:t>2.</w:t>
      </w:r>
      <w:r w:rsidRPr="00E1250F">
        <w:tab/>
        <w:t>Instructs its President to forward this decision to the Council and the Commission.</w:t>
      </w:r>
    </w:p>
    <w:sectPr w:rsidR="00E365E1" w:rsidRPr="002D0E38" w:rsidSect="002D0E3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370726" w14:textId="77777777" w:rsidR="009B7F9B" w:rsidRPr="002D0E38" w:rsidRDefault="009B7F9B">
      <w:r w:rsidRPr="002D0E38">
        <w:separator/>
      </w:r>
    </w:p>
  </w:endnote>
  <w:endnote w:type="continuationSeparator" w:id="0">
    <w:p w14:paraId="747C39C7" w14:textId="77777777" w:rsidR="009B7F9B" w:rsidRPr="002D0E38" w:rsidRDefault="009B7F9B">
      <w:r w:rsidRPr="002D0E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9848E" w14:textId="77777777" w:rsidR="00064002" w:rsidRPr="002D0E3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183D2" w14:textId="77777777" w:rsidR="00064002" w:rsidRPr="002D0E3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F2BD9" w14:textId="77777777" w:rsidR="00064002" w:rsidRPr="002D0E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391486" w14:textId="77777777" w:rsidR="009B7F9B" w:rsidRPr="002D0E38" w:rsidRDefault="009B7F9B">
      <w:r w:rsidRPr="002D0E38">
        <w:separator/>
      </w:r>
    </w:p>
  </w:footnote>
  <w:footnote w:type="continuationSeparator" w:id="0">
    <w:p w14:paraId="420AE6F1" w14:textId="77777777" w:rsidR="009B7F9B" w:rsidRPr="002D0E38" w:rsidRDefault="009B7F9B">
      <w:r w:rsidRPr="002D0E38">
        <w:continuationSeparator/>
      </w:r>
    </w:p>
  </w:footnote>
  <w:footnote w:id="1">
    <w:p w14:paraId="32B5030A" w14:textId="77777777" w:rsidR="004879F8" w:rsidRPr="002D0E38" w:rsidRDefault="004879F8" w:rsidP="002D0E38">
      <w:pPr>
        <w:pStyle w:val="FootnoteText"/>
        <w:ind w:left="567" w:hanging="567"/>
        <w:rPr>
          <w:sz w:val="24"/>
          <w:lang w:val="en-GB"/>
        </w:rPr>
      </w:pPr>
      <w:r w:rsidRPr="002D0E38">
        <w:rPr>
          <w:rStyle w:val="FootnoteReference"/>
          <w:sz w:val="24"/>
          <w:lang w:val="en-GB"/>
        </w:rPr>
        <w:footnoteRef/>
      </w:r>
      <w:r w:rsidR="002D0E38" w:rsidRPr="002D0E38">
        <w:rPr>
          <w:sz w:val="24"/>
          <w:lang w:val="en-GB"/>
        </w:rPr>
        <w:t xml:space="preserve"> </w:t>
      </w:r>
      <w:r w:rsidR="002D0E38" w:rsidRPr="002D0E38">
        <w:rPr>
          <w:sz w:val="24"/>
          <w:lang w:val="en-GB"/>
        </w:rPr>
        <w:tab/>
      </w:r>
      <w:r w:rsidRPr="002D0E38">
        <w:rPr>
          <w:sz w:val="24"/>
          <w:lang w:val="en-GB"/>
        </w:rPr>
        <w:t xml:space="preserve">Regulation (EU) 2021/2115 of the European Parliament and of the Council of 2 December 2021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Regulations (EU) No 1305/2013 and (EU) No 1307/2013 (OJ </w:t>
      </w:r>
      <w:r w:rsidRPr="002D0E38">
        <w:rPr>
          <w:iCs/>
          <w:sz w:val="24"/>
          <w:lang w:val="en-GB"/>
        </w:rPr>
        <w:t xml:space="preserve">L 435, 6.12.2021, p. 1, </w:t>
      </w:r>
      <w:r w:rsidRPr="002D0E38">
        <w:rPr>
          <w:sz w:val="24"/>
          <w:lang w:val="en-GB"/>
        </w:rPr>
        <w:t xml:space="preserve">ELI: </w:t>
      </w:r>
      <w:hyperlink r:id="rId1" w:tooltip="Gives access to this document through its ELI URI." w:history="1">
        <w:r w:rsidRPr="002D0E38">
          <w:rPr>
            <w:rStyle w:val="Hyperlink"/>
            <w:sz w:val="24"/>
            <w:szCs w:val="24"/>
            <w:lang w:val="en-GB"/>
          </w:rPr>
          <w:t>http://data.europa.eu/eli/reg/2021/2115/oj</w:t>
        </w:r>
      </w:hyperlink>
      <w:r w:rsidRPr="002D0E38">
        <w:rPr>
          <w:sz w:val="24"/>
          <w:lang w:val="en-GB"/>
        </w:rPr>
        <w:t>).</w:t>
      </w:r>
    </w:p>
  </w:footnote>
  <w:footnote w:id="2">
    <w:p w14:paraId="654261A2" w14:textId="77777777" w:rsidR="004879F8" w:rsidRPr="002D0E38" w:rsidRDefault="004879F8" w:rsidP="002D0E38">
      <w:pPr>
        <w:pStyle w:val="FootnoteText"/>
        <w:ind w:left="567" w:hanging="567"/>
        <w:rPr>
          <w:sz w:val="24"/>
          <w:lang w:val="en-GB"/>
        </w:rPr>
      </w:pPr>
      <w:r w:rsidRPr="002D0E38">
        <w:rPr>
          <w:rStyle w:val="FootnoteReference"/>
          <w:sz w:val="24"/>
          <w:lang w:val="en-GB"/>
        </w:rPr>
        <w:footnoteRef/>
      </w:r>
      <w:r w:rsidR="002D0E38" w:rsidRPr="002D0E38">
        <w:rPr>
          <w:sz w:val="24"/>
          <w:lang w:val="en-GB"/>
        </w:rPr>
        <w:t xml:space="preserve"> </w:t>
      </w:r>
      <w:r w:rsidR="002D0E38" w:rsidRPr="002D0E38">
        <w:rPr>
          <w:sz w:val="24"/>
          <w:lang w:val="en-GB"/>
        </w:rPr>
        <w:tab/>
      </w:r>
      <w:r w:rsidRPr="002D0E38">
        <w:rPr>
          <w:sz w:val="24"/>
          <w:lang w:val="en-GB"/>
        </w:rPr>
        <w:t>Commission Delegated Regulation (EU) 2023/370 of 13 December 2022 supplementing Regulation (EU) 2021/2115 of the European Parliament and of the Council with regard to procedures, time limits for submission by Member States of requests for amendments of CAP Strategic Plans, and further cases for which the maximum number of amendments of CAP Strategic Plans does not apply (</w:t>
      </w:r>
      <w:r w:rsidRPr="00E1250F">
        <w:rPr>
          <w:rStyle w:val="Emphasis"/>
          <w:rFonts w:ascii="Times New Roman" w:hAnsi="Times New Roman" w:cs="Times New Roman"/>
          <w:b w:val="0"/>
          <w:i w:val="0"/>
          <w:sz w:val="24"/>
          <w:lang w:val="en-GB"/>
        </w:rPr>
        <w:t>OJ L 51, 20.2.2023, p. 25, E</w:t>
      </w:r>
      <w:r w:rsidRPr="00FB390C">
        <w:rPr>
          <w:sz w:val="24"/>
          <w:lang w:val="en-GB"/>
        </w:rPr>
        <w:t>LI</w:t>
      </w:r>
      <w:r w:rsidRPr="002D0E38">
        <w:rPr>
          <w:sz w:val="24"/>
          <w:lang w:val="en-GB"/>
        </w:rPr>
        <w:t xml:space="preserve">: </w:t>
      </w:r>
      <w:hyperlink r:id="rId2" w:tooltip="Gives access to this document through its ELI URI." w:history="1">
        <w:r w:rsidRPr="002D0E38">
          <w:rPr>
            <w:rStyle w:val="Hyperlink"/>
            <w:sz w:val="24"/>
            <w:lang w:val="en-GB"/>
          </w:rPr>
          <w:t>http://data.europa.eu/eli/reg_del/2023/370/oj</w:t>
        </w:r>
      </w:hyperlink>
      <w:r w:rsidRPr="002D0E38">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C6B7B" w14:textId="77777777" w:rsidR="00064002" w:rsidRPr="002D0E3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B6C75" w14:textId="77777777" w:rsidR="00064002" w:rsidRPr="002D0E3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E138A" w14:textId="77777777" w:rsidR="00064002" w:rsidRPr="002D0E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76/2025"/>
    <w:docVar w:name="dvlangue" w:val="EN"/>
    <w:docVar w:name="dvnumam" w:val="0"/>
    <w:docVar w:name="dvpe" w:val="774.269"/>
    <w:docVar w:name="dvtitre" w:val="European Parliament decision of xx Xxxx 2025 to raise no objections to the Commission delegated regulation of 21 May 2025 amending Commission Delegated Regulation (EU) 2023/370 supplementing Regulation (EU) 2021/2115 of the European Parliament and of the Council as regards the time period to submit requests for amendments of CAP Strategic Plans C(2025)03151 – 2025/2728(DEA))"/>
  </w:docVars>
  <w:rsids>
    <w:rsidRoot w:val="009B7F9B"/>
    <w:rsid w:val="00002272"/>
    <w:rsid w:val="00064002"/>
    <w:rsid w:val="000677B9"/>
    <w:rsid w:val="000831BA"/>
    <w:rsid w:val="000A42CC"/>
    <w:rsid w:val="000E7DD9"/>
    <w:rsid w:val="0010095E"/>
    <w:rsid w:val="00125B37"/>
    <w:rsid w:val="00187494"/>
    <w:rsid w:val="001F32AE"/>
    <w:rsid w:val="002767FF"/>
    <w:rsid w:val="002B18FE"/>
    <w:rsid w:val="002B5493"/>
    <w:rsid w:val="002D0E38"/>
    <w:rsid w:val="00343214"/>
    <w:rsid w:val="00361C00"/>
    <w:rsid w:val="00395FA1"/>
    <w:rsid w:val="003E15D4"/>
    <w:rsid w:val="00411CCE"/>
    <w:rsid w:val="0041666E"/>
    <w:rsid w:val="00421060"/>
    <w:rsid w:val="00471C19"/>
    <w:rsid w:val="004867E3"/>
    <w:rsid w:val="004879F8"/>
    <w:rsid w:val="00494A28"/>
    <w:rsid w:val="004C0004"/>
    <w:rsid w:val="004C5D52"/>
    <w:rsid w:val="0050519A"/>
    <w:rsid w:val="005072A1"/>
    <w:rsid w:val="00514517"/>
    <w:rsid w:val="00545827"/>
    <w:rsid w:val="00560270"/>
    <w:rsid w:val="005C2568"/>
    <w:rsid w:val="005F1B17"/>
    <w:rsid w:val="006037C0"/>
    <w:rsid w:val="006631B6"/>
    <w:rsid w:val="00680577"/>
    <w:rsid w:val="006957A6"/>
    <w:rsid w:val="006F74FA"/>
    <w:rsid w:val="00731ADD"/>
    <w:rsid w:val="00734777"/>
    <w:rsid w:val="00747932"/>
    <w:rsid w:val="00751A4A"/>
    <w:rsid w:val="00756632"/>
    <w:rsid w:val="00762C74"/>
    <w:rsid w:val="00786EC0"/>
    <w:rsid w:val="007904EB"/>
    <w:rsid w:val="007D1690"/>
    <w:rsid w:val="007E22AD"/>
    <w:rsid w:val="00817416"/>
    <w:rsid w:val="00842779"/>
    <w:rsid w:val="00865F67"/>
    <w:rsid w:val="00881A7B"/>
    <w:rsid w:val="008840E5"/>
    <w:rsid w:val="00887B3E"/>
    <w:rsid w:val="008C2AC6"/>
    <w:rsid w:val="00930C23"/>
    <w:rsid w:val="0093193B"/>
    <w:rsid w:val="009509D8"/>
    <w:rsid w:val="00950B64"/>
    <w:rsid w:val="009678A5"/>
    <w:rsid w:val="00981893"/>
    <w:rsid w:val="009B7F9B"/>
    <w:rsid w:val="00A1687D"/>
    <w:rsid w:val="00A43E52"/>
    <w:rsid w:val="00A4678D"/>
    <w:rsid w:val="00A778C7"/>
    <w:rsid w:val="00AB441E"/>
    <w:rsid w:val="00AB6293"/>
    <w:rsid w:val="00AC5D75"/>
    <w:rsid w:val="00AE0928"/>
    <w:rsid w:val="00AF3B82"/>
    <w:rsid w:val="00B12E95"/>
    <w:rsid w:val="00B22876"/>
    <w:rsid w:val="00B2538F"/>
    <w:rsid w:val="00B558F0"/>
    <w:rsid w:val="00BD48FE"/>
    <w:rsid w:val="00BD7BD8"/>
    <w:rsid w:val="00BE6ADC"/>
    <w:rsid w:val="00C05BFE"/>
    <w:rsid w:val="00C23CD4"/>
    <w:rsid w:val="00C26AFF"/>
    <w:rsid w:val="00C61C0C"/>
    <w:rsid w:val="00C941CB"/>
    <w:rsid w:val="00CC2357"/>
    <w:rsid w:val="00CF071A"/>
    <w:rsid w:val="00D058B8"/>
    <w:rsid w:val="00D56C11"/>
    <w:rsid w:val="00D70907"/>
    <w:rsid w:val="00D834A0"/>
    <w:rsid w:val="00D872DF"/>
    <w:rsid w:val="00D91E21"/>
    <w:rsid w:val="00DA7FCD"/>
    <w:rsid w:val="00E1250F"/>
    <w:rsid w:val="00E365E1"/>
    <w:rsid w:val="00E40D9E"/>
    <w:rsid w:val="00E820A4"/>
    <w:rsid w:val="00EB006A"/>
    <w:rsid w:val="00EB2915"/>
    <w:rsid w:val="00EB4772"/>
    <w:rsid w:val="00ED169E"/>
    <w:rsid w:val="00ED4235"/>
    <w:rsid w:val="00F04346"/>
    <w:rsid w:val="00F075DC"/>
    <w:rsid w:val="00F149E9"/>
    <w:rsid w:val="00F5134D"/>
    <w:rsid w:val="00F74202"/>
    <w:rsid w:val="00F87713"/>
    <w:rsid w:val="00FB390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0528CD"/>
  <w15:chartTrackingRefBased/>
  <w15:docId w15:val="{33D74CC0-1A90-4A6D-81F2-66E5280FF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79F8"/>
    <w:pPr>
      <w:spacing w:before="480" w:after="240"/>
    </w:pPr>
  </w:style>
  <w:style w:type="paragraph" w:customStyle="1" w:styleId="NormalHanging12a">
    <w:name w:val="NormalHanging12a"/>
    <w:basedOn w:val="Normal"/>
    <w:rsid w:val="004879F8"/>
    <w:pPr>
      <w:spacing w:after="240"/>
      <w:ind w:left="567" w:hanging="567"/>
    </w:pPr>
  </w:style>
  <w:style w:type="character" w:styleId="Hyperlink">
    <w:name w:val="Hyperlink"/>
    <w:basedOn w:val="DefaultParagraphFont"/>
    <w:uiPriority w:val="99"/>
    <w:unhideWhenUsed/>
    <w:rsid w:val="004879F8"/>
    <w:rPr>
      <w:color w:val="0000FF"/>
      <w:u w:val="single"/>
    </w:rPr>
  </w:style>
  <w:style w:type="character" w:styleId="Emphasis">
    <w:name w:val="Emphasis"/>
    <w:basedOn w:val="DefaultParagraphFont"/>
    <w:uiPriority w:val="20"/>
    <w:qFormat/>
    <w:rsid w:val="004879F8"/>
    <w:rPr>
      <w:rFonts w:asciiTheme="minorHAnsi" w:hAnsiTheme="minorHAnsi" w:cs="Calibri" w:hint="default"/>
      <w:b/>
      <w:bCs w:val="0"/>
      <w:i/>
      <w:iCs/>
    </w:rPr>
  </w:style>
  <w:style w:type="paragraph" w:styleId="BalloonText">
    <w:name w:val="Balloon Text"/>
    <w:basedOn w:val="Normal"/>
    <w:link w:val="BalloonTextChar"/>
    <w:rsid w:val="00FB390C"/>
    <w:rPr>
      <w:rFonts w:ascii="Segoe UI" w:hAnsi="Segoe UI" w:cs="Segoe UI"/>
      <w:sz w:val="18"/>
      <w:szCs w:val="18"/>
    </w:rPr>
  </w:style>
  <w:style w:type="character" w:customStyle="1" w:styleId="BalloonTextChar">
    <w:name w:val="Balloon Text Char"/>
    <w:basedOn w:val="DefaultParagraphFont"/>
    <w:link w:val="BalloonText"/>
    <w:rsid w:val="00FB390C"/>
    <w:rPr>
      <w:rFonts w:ascii="Segoe UI" w:hAnsi="Segoe UI" w:cs="Segoe UI"/>
      <w:sz w:val="18"/>
      <w:szCs w:val="18"/>
    </w:rPr>
  </w:style>
  <w:style w:type="character" w:styleId="CommentReference">
    <w:name w:val="annotation reference"/>
    <w:basedOn w:val="DefaultParagraphFont"/>
    <w:rsid w:val="00FB390C"/>
    <w:rPr>
      <w:sz w:val="16"/>
      <w:szCs w:val="16"/>
    </w:rPr>
  </w:style>
  <w:style w:type="paragraph" w:styleId="CommentText">
    <w:name w:val="annotation text"/>
    <w:basedOn w:val="Normal"/>
    <w:link w:val="CommentTextChar"/>
    <w:rsid w:val="00FB390C"/>
    <w:rPr>
      <w:sz w:val="20"/>
    </w:rPr>
  </w:style>
  <w:style w:type="character" w:customStyle="1" w:styleId="CommentTextChar">
    <w:name w:val="Comment Text Char"/>
    <w:basedOn w:val="DefaultParagraphFont"/>
    <w:link w:val="CommentText"/>
    <w:rsid w:val="00FB390C"/>
  </w:style>
  <w:style w:type="paragraph" w:styleId="CommentSubject">
    <w:name w:val="annotation subject"/>
    <w:basedOn w:val="CommentText"/>
    <w:next w:val="CommentText"/>
    <w:link w:val="CommentSubjectChar"/>
    <w:rsid w:val="00FB390C"/>
    <w:rPr>
      <w:b/>
      <w:bCs/>
    </w:rPr>
  </w:style>
  <w:style w:type="character" w:customStyle="1" w:styleId="CommentSubjectChar">
    <w:name w:val="Comment Subject Char"/>
    <w:basedOn w:val="CommentTextChar"/>
    <w:link w:val="CommentSubject"/>
    <w:rsid w:val="00FB390C"/>
    <w:rPr>
      <w:b/>
      <w:bCs/>
    </w:rPr>
  </w:style>
  <w:style w:type="paragraph" w:styleId="NormalWeb">
    <w:name w:val="Normal (Web)"/>
    <w:basedOn w:val="Normal"/>
    <w:uiPriority w:val="99"/>
    <w:unhideWhenUsed/>
    <w:rsid w:val="00AC5D75"/>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178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3/370/oj" TargetMode="External"/><Relationship Id="rId1" Type="http://schemas.openxmlformats.org/officeDocument/2006/relationships/hyperlink" Target="http://data.europa.eu/eli/reg/2021/21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CAF1D-35B1-48FC-A952-B258E0E4C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402</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SMITH Lyndsey</cp:lastModifiedBy>
  <cp:revision>2</cp:revision>
  <cp:lastPrinted>2004-11-19T15:42:00Z</cp:lastPrinted>
  <dcterms:created xsi:type="dcterms:W3CDTF">2025-06-18T10:29:00Z</dcterms:created>
  <dcterms:modified xsi:type="dcterms:W3CDTF">2025-06-18T10:29:00Z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B10-0276/2025</vt:lpwstr>
  </property>
  <property fmtid="{D5CDD505-2E9C-101B-9397-08002B2CF9AE}" pid="4" name="&lt;Type&gt;">
    <vt:lpwstr>RR</vt:lpwstr>
  </property>
</Properties>
</file>