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5689" w14:paraId="291BDF60" w14:textId="77777777" w:rsidTr="0010095E">
        <w:trPr>
          <w:trHeight w:hRule="exact" w:val="1418"/>
        </w:trPr>
        <w:tc>
          <w:tcPr>
            <w:tcW w:w="6804" w:type="dxa"/>
            <w:shd w:val="clear" w:color="auto" w:fill="auto"/>
            <w:vAlign w:val="center"/>
          </w:tcPr>
          <w:p w14:paraId="2F4F549F" w14:textId="77777777" w:rsidR="00751A4A" w:rsidRPr="00D05689" w:rsidRDefault="00803841" w:rsidP="0010095E">
            <w:pPr>
              <w:pStyle w:val="EPName"/>
            </w:pPr>
            <w:r w:rsidRPr="00D05689">
              <w:t>Parlamento Europeo</w:t>
            </w:r>
          </w:p>
          <w:p w14:paraId="116E24DE" w14:textId="77777777" w:rsidR="00751A4A" w:rsidRPr="00D05689" w:rsidRDefault="005F1B17" w:rsidP="005F1B17">
            <w:pPr>
              <w:pStyle w:val="EPTerm"/>
              <w:rPr>
                <w:rStyle w:val="HideTWBExt"/>
                <w:noProof w:val="0"/>
                <w:vanish w:val="0"/>
                <w:color w:val="auto"/>
              </w:rPr>
            </w:pPr>
            <w:r w:rsidRPr="00D05689">
              <w:t>2024</w:t>
            </w:r>
            <w:r w:rsidR="00817416" w:rsidRPr="00D05689">
              <w:t>-202</w:t>
            </w:r>
            <w:r w:rsidRPr="00D05689">
              <w:t>9</w:t>
            </w:r>
          </w:p>
        </w:tc>
        <w:tc>
          <w:tcPr>
            <w:tcW w:w="2268" w:type="dxa"/>
            <w:shd w:val="clear" w:color="auto" w:fill="auto"/>
          </w:tcPr>
          <w:p w14:paraId="4989089A" w14:textId="77777777" w:rsidR="00751A4A" w:rsidRPr="00D05689" w:rsidRDefault="00187494" w:rsidP="0010095E">
            <w:pPr>
              <w:pStyle w:val="EPLogo"/>
            </w:pPr>
            <w:r w:rsidRPr="00D05689">
              <w:rPr>
                <w:noProof/>
                <w:lang w:val="en-GB"/>
              </w:rPr>
              <w:drawing>
                <wp:inline distT="0" distB="0" distL="0" distR="0" wp14:anchorId="74737270" wp14:editId="0BFA33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554124" w14:textId="77777777" w:rsidR="00D058B8" w:rsidRPr="00D05689" w:rsidRDefault="00D058B8" w:rsidP="004C5D52">
      <w:pPr>
        <w:pStyle w:val="LineTop"/>
      </w:pPr>
    </w:p>
    <w:p w14:paraId="3AB0BEB2" w14:textId="77777777" w:rsidR="00680577" w:rsidRPr="00D05689" w:rsidRDefault="00803841" w:rsidP="00680577">
      <w:pPr>
        <w:pStyle w:val="EPBodyTA1"/>
        <w:rPr>
          <w:lang w:val="es-ES"/>
        </w:rPr>
      </w:pPr>
      <w:r w:rsidRPr="00D05689">
        <w:rPr>
          <w:lang w:val="es-ES"/>
        </w:rPr>
        <w:t>TEXTOS APROBADOS</w:t>
      </w:r>
    </w:p>
    <w:p w14:paraId="29908A7B" w14:textId="77777777" w:rsidR="00D058B8" w:rsidRPr="00D05689" w:rsidRDefault="00D058B8" w:rsidP="00D058B8">
      <w:pPr>
        <w:pStyle w:val="LineBottom"/>
        <w:rPr>
          <w:lang w:val="es-ES"/>
        </w:rPr>
      </w:pPr>
    </w:p>
    <w:p w14:paraId="291D6607" w14:textId="084406F3" w:rsidR="00803841" w:rsidRPr="00D05689" w:rsidRDefault="00803841" w:rsidP="00803841">
      <w:pPr>
        <w:pStyle w:val="ATHeading1"/>
        <w:rPr>
          <w:lang w:val="es-ES"/>
        </w:rPr>
      </w:pPr>
      <w:bookmarkStart w:id="0" w:name="TANumber"/>
      <w:r w:rsidRPr="00D05689">
        <w:rPr>
          <w:lang w:val="es-ES"/>
        </w:rPr>
        <w:t>P10_</w:t>
      </w:r>
      <w:proofErr w:type="gramStart"/>
      <w:r w:rsidRPr="00D05689">
        <w:rPr>
          <w:lang w:val="es-ES"/>
        </w:rPr>
        <w:t>TA(</w:t>
      </w:r>
      <w:proofErr w:type="gramEnd"/>
      <w:r w:rsidRPr="00D05689">
        <w:rPr>
          <w:lang w:val="es-ES"/>
        </w:rPr>
        <w:t>2025)0</w:t>
      </w:r>
      <w:r w:rsidR="00E277B3" w:rsidRPr="00D05689">
        <w:rPr>
          <w:lang w:val="es-ES"/>
        </w:rPr>
        <w:t>124</w:t>
      </w:r>
      <w:bookmarkEnd w:id="0"/>
    </w:p>
    <w:p w14:paraId="67DFF01C" w14:textId="318CFBCD" w:rsidR="00803841" w:rsidRPr="00D05689" w:rsidRDefault="00E277B3" w:rsidP="00803841">
      <w:pPr>
        <w:pStyle w:val="ATHeading2"/>
        <w:rPr>
          <w:lang w:val="es-ES"/>
        </w:rPr>
      </w:pPr>
      <w:bookmarkStart w:id="1" w:name="title"/>
      <w:r w:rsidRPr="00D05689">
        <w:rPr>
          <w:lang w:val="es-ES"/>
        </w:rPr>
        <w:t>No objeción a un acto delegado:</w:t>
      </w:r>
      <w:r w:rsidR="00DF62BA" w:rsidRPr="00D05689">
        <w:rPr>
          <w:lang w:val="es-ES"/>
        </w:rPr>
        <w:t xml:space="preserve"> plazo para presentar solicitudes de modificación de los planes estratégicos de la PAC </w:t>
      </w:r>
      <w:bookmarkEnd w:id="1"/>
    </w:p>
    <w:p w14:paraId="150B4CA6" w14:textId="77777777" w:rsidR="00803841" w:rsidRPr="00D05689" w:rsidRDefault="00803841" w:rsidP="00803841">
      <w:pPr>
        <w:rPr>
          <w:i/>
          <w:vanish/>
          <w:lang w:val="es-ES"/>
        </w:rPr>
      </w:pPr>
      <w:r w:rsidRPr="00D05689">
        <w:rPr>
          <w:i/>
        </w:rPr>
        <w:fldChar w:fldCharType="begin"/>
      </w:r>
      <w:r w:rsidRPr="00D05689">
        <w:rPr>
          <w:i/>
          <w:lang w:val="es-ES"/>
        </w:rPr>
        <w:instrText xml:space="preserve"> TC"(</w:instrText>
      </w:r>
      <w:bookmarkStart w:id="2" w:name="DocNumber"/>
      <w:r w:rsidRPr="00D05689">
        <w:rPr>
          <w:i/>
          <w:lang w:val="es-ES"/>
        </w:rPr>
        <w:instrText>B10-0276/2025</w:instrText>
      </w:r>
      <w:bookmarkEnd w:id="2"/>
      <w:r w:rsidRPr="00D05689">
        <w:rPr>
          <w:i/>
          <w:lang w:val="es-ES"/>
        </w:rPr>
        <w:instrText xml:space="preserve">)"\l3 \n&gt; \* MERGEFORMAT </w:instrText>
      </w:r>
      <w:r w:rsidRPr="00D05689">
        <w:rPr>
          <w:i/>
        </w:rPr>
        <w:fldChar w:fldCharType="end"/>
      </w:r>
    </w:p>
    <w:p w14:paraId="6D88340D" w14:textId="77777777" w:rsidR="00803841" w:rsidRPr="00D05689" w:rsidRDefault="00803841" w:rsidP="00803841">
      <w:pPr>
        <w:rPr>
          <w:vanish/>
        </w:rPr>
      </w:pPr>
      <w:bookmarkStart w:id="3" w:name="PE"/>
      <w:r w:rsidRPr="00D05689">
        <w:rPr>
          <w:vanish/>
        </w:rPr>
        <w:t>PE774.269</w:t>
      </w:r>
      <w:bookmarkEnd w:id="3"/>
    </w:p>
    <w:p w14:paraId="1D41B5F5" w14:textId="7753F6FC" w:rsidR="00803841" w:rsidRPr="00D05689" w:rsidRDefault="004058C3" w:rsidP="00803841">
      <w:pPr>
        <w:pStyle w:val="ATHeading3"/>
      </w:pPr>
      <w:bookmarkStart w:id="4" w:name="Sujet"/>
      <w:r w:rsidRPr="00D05689">
        <w:t>Decisión</w:t>
      </w:r>
      <w:r w:rsidR="00803841" w:rsidRPr="00D05689">
        <w:t xml:space="preserve"> del Parlamento Europeo</w:t>
      </w:r>
      <w:r w:rsidR="00DF62BA" w:rsidRPr="00D05689">
        <w:t xml:space="preserve"> </w:t>
      </w:r>
      <w:r w:rsidR="00803841" w:rsidRPr="00D05689">
        <w:t xml:space="preserve">de no formular objeciones al Reglamento Delegado de la Comisión, de 21 de mayo de 2025, que modifica el Reglamento Delegado (UE) 2023/370 de la Comisión, por el que se completa el Reglamento (UE) 2021/2115 del Parlamento Europeo y del Consejo en lo que respecta al plazo para presentar solicitudes de modificación de los planes estratégicos de la PAC </w:t>
      </w:r>
      <w:bookmarkStart w:id="5" w:name="References"/>
      <w:bookmarkEnd w:id="4"/>
      <w:r w:rsidRPr="00D05689">
        <w:t>(</w:t>
      </w:r>
      <w:proofErr w:type="gramStart"/>
      <w:r w:rsidR="00803841" w:rsidRPr="00D05689">
        <w:t>C(</w:t>
      </w:r>
      <w:proofErr w:type="gramEnd"/>
      <w:r w:rsidR="00803841" w:rsidRPr="00D05689">
        <w:t>2025)03151 – 2025/2728(DEA))</w:t>
      </w:r>
      <w:bookmarkEnd w:id="5"/>
    </w:p>
    <w:p w14:paraId="7CEE4CBF" w14:textId="77777777" w:rsidR="00803841" w:rsidRPr="00D05689" w:rsidRDefault="00803841" w:rsidP="00803841"/>
    <w:p w14:paraId="5D0325EF" w14:textId="77777777" w:rsidR="005275A7" w:rsidRPr="00D05689" w:rsidRDefault="005275A7" w:rsidP="00654EE5">
      <w:pPr>
        <w:pStyle w:val="EPComma"/>
        <w:spacing w:before="120"/>
      </w:pPr>
      <w:bookmarkStart w:id="6" w:name="TextBodyBegin"/>
      <w:bookmarkEnd w:id="6"/>
      <w:r w:rsidRPr="00D05689">
        <w:rPr>
          <w:i/>
        </w:rPr>
        <w:t>El Parlamento Europeo</w:t>
      </w:r>
      <w:r w:rsidRPr="00D05689">
        <w:t>,</w:t>
      </w:r>
    </w:p>
    <w:p w14:paraId="5CD3270D" w14:textId="77777777" w:rsidR="005275A7" w:rsidRPr="00D05689" w:rsidRDefault="005275A7" w:rsidP="005275A7">
      <w:pPr>
        <w:pStyle w:val="NormalHanging12a"/>
      </w:pPr>
      <w:r w:rsidRPr="00D05689">
        <w:t>–</w:t>
      </w:r>
      <w:r w:rsidRPr="00D05689">
        <w:tab/>
        <w:t>Visto el Reglamento Delegado de la Comisión (</w:t>
      </w:r>
      <w:proofErr w:type="gramStart"/>
      <w:r w:rsidRPr="00D05689">
        <w:t>C(</w:t>
      </w:r>
      <w:proofErr w:type="gramEnd"/>
      <w:r w:rsidRPr="00D05689">
        <w:t>2025)03151),</w:t>
      </w:r>
    </w:p>
    <w:p w14:paraId="2B8E06C6" w14:textId="77777777" w:rsidR="005275A7" w:rsidRPr="00D05689" w:rsidRDefault="005275A7" w:rsidP="005275A7">
      <w:pPr>
        <w:pStyle w:val="NormalHanging12a"/>
      </w:pPr>
      <w:r w:rsidRPr="00D05689">
        <w:t>–</w:t>
      </w:r>
      <w:r w:rsidRPr="00D05689">
        <w:tab/>
        <w:t>Vista la carta de la Comisión de 21 de mayo de 2025, por la que le solicita que declare que no formulará objeciones al Reglamento Delegado,</w:t>
      </w:r>
    </w:p>
    <w:p w14:paraId="02A6A6BC" w14:textId="77777777" w:rsidR="005275A7" w:rsidRPr="00D05689" w:rsidRDefault="005275A7" w:rsidP="005275A7">
      <w:pPr>
        <w:pStyle w:val="NormalHanging12a"/>
      </w:pPr>
      <w:r w:rsidRPr="00D05689">
        <w:t>–</w:t>
      </w:r>
      <w:r w:rsidRPr="00D05689">
        <w:tab/>
        <w:t xml:space="preserve">Vista la carta de la Comisión de Agricultura y Desarrollo Rural al presidente de la Conferencia de Presidentes de Comisión de </w:t>
      </w:r>
      <w:r w:rsidR="000F013E" w:rsidRPr="00D05689">
        <w:t>4</w:t>
      </w:r>
      <w:r w:rsidRPr="00D05689">
        <w:t xml:space="preserve"> de junio de 2025,</w:t>
      </w:r>
    </w:p>
    <w:p w14:paraId="4E5734BE" w14:textId="77777777" w:rsidR="005275A7" w:rsidRPr="00D05689" w:rsidRDefault="005275A7" w:rsidP="005275A7">
      <w:pPr>
        <w:pStyle w:val="NormalHanging12a"/>
      </w:pPr>
      <w:r w:rsidRPr="00D05689">
        <w:t>–</w:t>
      </w:r>
      <w:r w:rsidRPr="00D05689">
        <w:tab/>
        <w:t>Visto el artículo 290 del Tratado de Funcionamiento de la Unión Europea,</w:t>
      </w:r>
    </w:p>
    <w:p w14:paraId="028F2A95" w14:textId="77777777" w:rsidR="005275A7" w:rsidRPr="00D05689" w:rsidRDefault="005275A7" w:rsidP="005275A7">
      <w:pPr>
        <w:pStyle w:val="NormalHanging12a"/>
      </w:pPr>
      <w:r w:rsidRPr="00D05689">
        <w:t>–</w:t>
      </w:r>
      <w:r w:rsidRPr="00D05689">
        <w:tab/>
        <w:t>Visto el Reglamento (UE) 2021/2115 del Parlamento Europeo y del Consejo</w:t>
      </w:r>
      <w:r w:rsidRPr="00D05689">
        <w:rPr>
          <w:rStyle w:val="FootnoteReference"/>
          <w:color w:val="000000"/>
          <w:szCs w:val="23"/>
        </w:rPr>
        <w:footnoteReference w:id="1"/>
      </w:r>
      <w:r w:rsidRPr="00D05689">
        <w:t>, y en particular su artículo 122, letra a),</w:t>
      </w:r>
    </w:p>
    <w:p w14:paraId="49613A2B" w14:textId="77777777" w:rsidR="005275A7" w:rsidRPr="00D05689" w:rsidRDefault="005275A7" w:rsidP="005275A7">
      <w:pPr>
        <w:pStyle w:val="NormalHanging12a"/>
      </w:pPr>
      <w:r w:rsidRPr="00D05689">
        <w:t>–</w:t>
      </w:r>
      <w:r w:rsidRPr="00D05689">
        <w:tab/>
        <w:t>Visto el artículo 114, apartado 6, de su Reglamento interno,</w:t>
      </w:r>
    </w:p>
    <w:p w14:paraId="32016BA0" w14:textId="685DCA09" w:rsidR="005275A7" w:rsidRPr="00D05689" w:rsidRDefault="005275A7" w:rsidP="005275A7">
      <w:pPr>
        <w:pStyle w:val="NormalHanging12a"/>
      </w:pPr>
      <w:r w:rsidRPr="00D05689">
        <w:t>–</w:t>
      </w:r>
      <w:r w:rsidRPr="00D05689">
        <w:tab/>
        <w:t>Vista la recomendación de Decisión de la Comisión de Agricultura y Desarrollo Rural,</w:t>
      </w:r>
    </w:p>
    <w:p w14:paraId="711CA032" w14:textId="337F93AB" w:rsidR="00DF62BA" w:rsidRPr="00D05689" w:rsidRDefault="00DF62BA" w:rsidP="005275A7">
      <w:pPr>
        <w:pStyle w:val="NormalHanging12a"/>
        <w:rPr>
          <w:lang w:val="es-ES"/>
        </w:rPr>
      </w:pPr>
      <w:r w:rsidRPr="00D05689">
        <w:rPr>
          <w:lang w:val="es-ES"/>
        </w:rPr>
        <w:t xml:space="preserve">– </w:t>
      </w:r>
      <w:r w:rsidRPr="00D05689">
        <w:rPr>
          <w:lang w:val="es-ES"/>
        </w:rPr>
        <w:tab/>
        <w:t xml:space="preserve">Visto que no se han formulado objeciones dentro del plazo establecido en el artículo 114, apartado 6, tercer y cuarto guion, de su Reglamento interno, que venció el 17 de </w:t>
      </w:r>
      <w:r w:rsidRPr="00D05689">
        <w:rPr>
          <w:lang w:val="es-ES"/>
        </w:rPr>
        <w:lastRenderedPageBreak/>
        <w:t>junio de 2025,</w:t>
      </w:r>
    </w:p>
    <w:p w14:paraId="7B8AA819" w14:textId="77777777" w:rsidR="005275A7" w:rsidRPr="00D05689" w:rsidRDefault="005275A7" w:rsidP="005275A7">
      <w:pPr>
        <w:pStyle w:val="NormalHanging12a"/>
        <w:rPr>
          <w:noProof/>
        </w:rPr>
      </w:pPr>
      <w:r w:rsidRPr="00D05689">
        <w:t>A.</w:t>
      </w:r>
      <w:r w:rsidRPr="00D05689">
        <w:tab/>
        <w:t>Considerando que, en el contexto actual de inestabilidad del sector agrícola en toda la Unión, varios Estados miembros están ya experimentando dificultades para decidir en los primeros meses de 2025 sobre la necesidad de revisar sus decisiones de transferencia tomadas en 2022 con arreglo al artículo 17, apartado 5, el artículo 88, apartado 7, y el artículo 103 del Reglamento (UE) 2021/2115, por lo que se considera necesario dar más tiempo a los Estados miembros para planificar dichas transferencias;</w:t>
      </w:r>
    </w:p>
    <w:p w14:paraId="115FB228" w14:textId="77777777" w:rsidR="005275A7" w:rsidRPr="00D05689" w:rsidRDefault="005275A7" w:rsidP="005275A7">
      <w:pPr>
        <w:pStyle w:val="NormalHanging12a"/>
        <w:widowControl/>
      </w:pPr>
      <w:r w:rsidRPr="00D05689">
        <w:t>B.</w:t>
      </w:r>
      <w:r w:rsidRPr="00D05689">
        <w:tab/>
        <w:t>Considerando que el plazo establecido en el artículo 3, apartado 4, del Reglamento Delegado (UE) 2023/370 de la Comisión</w:t>
      </w:r>
      <w:r w:rsidRPr="00D05689">
        <w:rPr>
          <w:rStyle w:val="FootnoteReference"/>
          <w:color w:val="000000"/>
        </w:rPr>
        <w:footnoteReference w:id="2"/>
      </w:r>
      <w:r w:rsidRPr="00D05689">
        <w:t xml:space="preserve"> venc</w:t>
      </w:r>
      <w:r w:rsidR="000F013E" w:rsidRPr="00D05689">
        <w:t>ió</w:t>
      </w:r>
      <w:r w:rsidRPr="00D05689">
        <w:t xml:space="preserve"> el 31 de mayo de 2025; que, por lo tanto, es de suma importancia establecer lo antes posible el 31 de agosto de 2025 como nuevo plazo para la presentación de solicitudes de modificación, a fin de permitir su planificación y examen adecuados por parte de los Estados miembros;</w:t>
      </w:r>
    </w:p>
    <w:p w14:paraId="1F4271BD" w14:textId="77777777" w:rsidR="005275A7" w:rsidRPr="00D05689" w:rsidRDefault="005275A7" w:rsidP="005275A7">
      <w:pPr>
        <w:pStyle w:val="NormalHanging12a"/>
      </w:pPr>
      <w:r w:rsidRPr="00D05689">
        <w:t>C.</w:t>
      </w:r>
      <w:r w:rsidRPr="00D05689">
        <w:tab/>
        <w:t>Considerando que, por lo tanto, procede modificar el Reglamento Delegado (UE) 2023/370 en consecuencia;</w:t>
      </w:r>
    </w:p>
    <w:p w14:paraId="531224E5" w14:textId="77777777" w:rsidR="005275A7" w:rsidRPr="00D05689" w:rsidRDefault="005275A7" w:rsidP="005275A7">
      <w:pPr>
        <w:pStyle w:val="NormalHanging12a"/>
      </w:pPr>
      <w:r w:rsidRPr="00D05689">
        <w:t>1.</w:t>
      </w:r>
      <w:r w:rsidRPr="00D05689">
        <w:tab/>
        <w:t>Declara que no formulará objeciones al Reglamento Delegado;</w:t>
      </w:r>
    </w:p>
    <w:p w14:paraId="7A1E38BC" w14:textId="77777777" w:rsidR="00E277B3" w:rsidRPr="00D05689" w:rsidRDefault="005275A7" w:rsidP="00654EE5">
      <w:pPr>
        <w:ind w:left="567" w:hanging="567"/>
      </w:pPr>
      <w:r w:rsidRPr="00D05689">
        <w:t>2.</w:t>
      </w:r>
      <w:r w:rsidRPr="00D05689">
        <w:tab/>
        <w:t xml:space="preserve">Encarga a su presidenta que transmita la presente Decisión </w:t>
      </w:r>
      <w:r w:rsidR="0042746A" w:rsidRPr="00D05689">
        <w:t>al Consejo y a la Comisión.</w:t>
      </w:r>
    </w:p>
    <w:sectPr w:rsidR="00E277B3" w:rsidRPr="00D05689" w:rsidSect="004274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1E9D5" w14:textId="77777777" w:rsidR="00803841" w:rsidRPr="0042746A" w:rsidRDefault="00803841">
      <w:r w:rsidRPr="0042746A">
        <w:separator/>
      </w:r>
    </w:p>
  </w:endnote>
  <w:endnote w:type="continuationSeparator" w:id="0">
    <w:p w14:paraId="06F1E9BD" w14:textId="77777777" w:rsidR="00803841" w:rsidRPr="0042746A" w:rsidRDefault="00803841">
      <w:r w:rsidRPr="004274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4E54" w14:textId="77777777" w:rsidR="00064002" w:rsidRPr="004274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26920" w14:textId="77777777" w:rsidR="00064002" w:rsidRPr="004274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BD2E5" w14:textId="77777777" w:rsidR="00064002" w:rsidRPr="004274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D1BD0" w14:textId="77777777" w:rsidR="00803841" w:rsidRPr="0042746A" w:rsidRDefault="00803841">
      <w:r w:rsidRPr="0042746A">
        <w:separator/>
      </w:r>
    </w:p>
  </w:footnote>
  <w:footnote w:type="continuationSeparator" w:id="0">
    <w:p w14:paraId="4153BF49" w14:textId="77777777" w:rsidR="00803841" w:rsidRPr="0042746A" w:rsidRDefault="00803841">
      <w:r w:rsidRPr="0042746A">
        <w:continuationSeparator/>
      </w:r>
    </w:p>
  </w:footnote>
  <w:footnote w:id="1">
    <w:p w14:paraId="0491527D" w14:textId="77777777" w:rsidR="005275A7" w:rsidRPr="0042746A" w:rsidRDefault="005275A7" w:rsidP="0042746A">
      <w:pPr>
        <w:pStyle w:val="FootnoteText"/>
        <w:ind w:left="567" w:hanging="567"/>
        <w:rPr>
          <w:sz w:val="24"/>
          <w:lang w:val="es-ES_tradnl"/>
        </w:rPr>
      </w:pPr>
      <w:r w:rsidRPr="0042746A">
        <w:rPr>
          <w:rStyle w:val="FootnoteReference"/>
          <w:sz w:val="24"/>
          <w:lang w:val="es-ES_tradnl"/>
        </w:rPr>
        <w:footnoteRef/>
      </w:r>
      <w:r w:rsidR="0042746A" w:rsidRPr="0042746A">
        <w:rPr>
          <w:sz w:val="24"/>
          <w:lang w:val="es-ES_tradnl"/>
        </w:rPr>
        <w:t xml:space="preserve"> </w:t>
      </w:r>
      <w:r w:rsidR="0042746A" w:rsidRPr="0042746A">
        <w:rPr>
          <w:sz w:val="24"/>
          <w:lang w:val="es-ES_tradnl"/>
        </w:rPr>
        <w:tab/>
      </w:r>
      <w:r w:rsidRPr="0042746A">
        <w:rPr>
          <w:sz w:val="24"/>
          <w:lang w:val="es-ES_tradnl"/>
        </w:rPr>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42746A">
        <w:rPr>
          <w:sz w:val="24"/>
          <w:lang w:val="es-ES_tradnl"/>
        </w:rPr>
        <w:t>Feader</w:t>
      </w:r>
      <w:proofErr w:type="spellEnd"/>
      <w:r w:rsidRPr="0042746A">
        <w:rPr>
          <w:sz w:val="24"/>
          <w:lang w:val="es-ES_tradnl"/>
        </w:rPr>
        <w:t xml:space="preserve">), y por el que se derogan los Reglamentos (UE) n.º 1305/2013 y (UE) n.º 1307/2013 (DO L 435 de 6.12.2021, p. 1, ELI: </w:t>
      </w:r>
      <w:hyperlink r:id="rId1" w:tooltip="Permite acceder a este documento mediante su identificador uniforme de recursos del ELI." w:history="1">
        <w:r w:rsidRPr="0042746A">
          <w:rPr>
            <w:rStyle w:val="Hyperlink"/>
            <w:sz w:val="24"/>
            <w:lang w:val="es-ES_tradnl"/>
          </w:rPr>
          <w:t>http://data.europa.eu/eli/reg/2021/2115/oj</w:t>
        </w:r>
      </w:hyperlink>
      <w:r w:rsidRPr="0042746A">
        <w:rPr>
          <w:sz w:val="24"/>
          <w:lang w:val="es-ES_tradnl"/>
        </w:rPr>
        <w:t>).</w:t>
      </w:r>
    </w:p>
  </w:footnote>
  <w:footnote w:id="2">
    <w:p w14:paraId="561638CF" w14:textId="77777777" w:rsidR="005275A7" w:rsidRPr="0042746A" w:rsidRDefault="005275A7" w:rsidP="0042746A">
      <w:pPr>
        <w:pStyle w:val="FootnoteText"/>
        <w:ind w:left="567" w:hanging="567"/>
        <w:rPr>
          <w:sz w:val="24"/>
          <w:lang w:val="es-ES_tradnl"/>
        </w:rPr>
      </w:pPr>
      <w:r w:rsidRPr="0042746A">
        <w:rPr>
          <w:rStyle w:val="FootnoteReference"/>
          <w:sz w:val="24"/>
          <w:lang w:val="es-ES_tradnl"/>
        </w:rPr>
        <w:footnoteRef/>
      </w:r>
      <w:r w:rsidR="0042746A" w:rsidRPr="0042746A">
        <w:rPr>
          <w:sz w:val="24"/>
          <w:lang w:val="es-ES_tradnl"/>
        </w:rPr>
        <w:t xml:space="preserve"> </w:t>
      </w:r>
      <w:r w:rsidR="0042746A" w:rsidRPr="0042746A">
        <w:rPr>
          <w:sz w:val="24"/>
          <w:lang w:val="es-ES_tradnl"/>
        </w:rPr>
        <w:tab/>
      </w:r>
      <w:r w:rsidRPr="0042746A">
        <w:rPr>
          <w:sz w:val="24"/>
          <w:lang w:val="es-ES_tradnl"/>
        </w:rPr>
        <w:t xml:space="preserve">Reglamento Delegado (UE) 2023/370 de la Comisión, de 13 de diciembre de 2022, por el que se completa el Reglamento (UE) 2021/2115 del Parlamento Europeo y del Consejo en lo que respecta a los procedimientos, los plazos de presentación por los Estados miembros de solicitudes de modificación de los planes estratégicos de la PAC y otros casos en los que no se aplica el número máximo de modificaciones de los planes estratégicos de la PAC (DO L 51 de 20.2.2023, p. 25, ELI: </w:t>
      </w:r>
      <w:hyperlink r:id="rId2" w:tooltip="Permite acceder a este documento mediante su identificador uniforme de recursos del ELI." w:history="1">
        <w:r w:rsidRPr="0042746A">
          <w:rPr>
            <w:rStyle w:val="Hyperlink"/>
            <w:sz w:val="24"/>
            <w:lang w:val="es-ES_tradnl"/>
          </w:rPr>
          <w:t>http://data.europa.eu/eli/reg_del/2023/370/oj</w:t>
        </w:r>
      </w:hyperlink>
      <w:r w:rsidRPr="0042746A">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02C8" w14:textId="77777777" w:rsidR="00064002" w:rsidRPr="004274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ECF1" w14:textId="77777777" w:rsidR="00064002" w:rsidRPr="004274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D57B4" w14:textId="77777777" w:rsidR="00064002" w:rsidRPr="004274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7792902">
    <w:abstractNumId w:val="9"/>
  </w:num>
  <w:num w:numId="2" w16cid:durableId="1501576293">
    <w:abstractNumId w:val="9"/>
  </w:num>
  <w:num w:numId="3" w16cid:durableId="244460886">
    <w:abstractNumId w:val="7"/>
  </w:num>
  <w:num w:numId="4" w16cid:durableId="704670290">
    <w:abstractNumId w:val="7"/>
  </w:num>
  <w:num w:numId="5" w16cid:durableId="621889936">
    <w:abstractNumId w:val="6"/>
  </w:num>
  <w:num w:numId="6" w16cid:durableId="649481519">
    <w:abstractNumId w:val="6"/>
  </w:num>
  <w:num w:numId="7" w16cid:durableId="1862545692">
    <w:abstractNumId w:val="5"/>
  </w:num>
  <w:num w:numId="8" w16cid:durableId="1450051992">
    <w:abstractNumId w:val="5"/>
  </w:num>
  <w:num w:numId="9" w16cid:durableId="1294139745">
    <w:abstractNumId w:val="4"/>
  </w:num>
  <w:num w:numId="10" w16cid:durableId="1546139718">
    <w:abstractNumId w:val="4"/>
  </w:num>
  <w:num w:numId="11" w16cid:durableId="1680042422">
    <w:abstractNumId w:val="8"/>
  </w:num>
  <w:num w:numId="12" w16cid:durableId="175774956">
    <w:abstractNumId w:val="8"/>
  </w:num>
  <w:num w:numId="13" w16cid:durableId="1527132930">
    <w:abstractNumId w:val="3"/>
  </w:num>
  <w:num w:numId="14" w16cid:durableId="275136212">
    <w:abstractNumId w:val="3"/>
  </w:num>
  <w:num w:numId="15" w16cid:durableId="1679963752">
    <w:abstractNumId w:val="2"/>
  </w:num>
  <w:num w:numId="16" w16cid:durableId="71783879">
    <w:abstractNumId w:val="2"/>
  </w:num>
  <w:num w:numId="17" w16cid:durableId="936324356">
    <w:abstractNumId w:val="1"/>
  </w:num>
  <w:num w:numId="18" w16cid:durableId="1765303695">
    <w:abstractNumId w:val="1"/>
  </w:num>
  <w:num w:numId="19" w16cid:durableId="120998975">
    <w:abstractNumId w:val="0"/>
  </w:num>
  <w:num w:numId="20" w16cid:durableId="794644608">
    <w:abstractNumId w:val="0"/>
  </w:num>
  <w:num w:numId="21" w16cid:durableId="629239310">
    <w:abstractNumId w:val="9"/>
  </w:num>
  <w:num w:numId="22" w16cid:durableId="1253469123">
    <w:abstractNumId w:val="7"/>
  </w:num>
  <w:num w:numId="23" w16cid:durableId="1096097239">
    <w:abstractNumId w:val="6"/>
  </w:num>
  <w:num w:numId="24" w16cid:durableId="187766986">
    <w:abstractNumId w:val="5"/>
  </w:num>
  <w:num w:numId="25" w16cid:durableId="497430400">
    <w:abstractNumId w:val="4"/>
  </w:num>
  <w:num w:numId="26" w16cid:durableId="1436048965">
    <w:abstractNumId w:val="8"/>
  </w:num>
  <w:num w:numId="27" w16cid:durableId="407074641">
    <w:abstractNumId w:val="3"/>
  </w:num>
  <w:num w:numId="28" w16cid:durableId="1968965799">
    <w:abstractNumId w:val="2"/>
  </w:num>
  <w:num w:numId="29" w16cid:durableId="1848131442">
    <w:abstractNumId w:val="1"/>
  </w:num>
  <w:num w:numId="30" w16cid:durableId="728378643">
    <w:abstractNumId w:val="0"/>
  </w:num>
  <w:num w:numId="31" w16cid:durableId="1406688532">
    <w:abstractNumId w:val="9"/>
  </w:num>
  <w:num w:numId="32" w16cid:durableId="958146361">
    <w:abstractNumId w:val="7"/>
  </w:num>
  <w:num w:numId="33" w16cid:durableId="2031952997">
    <w:abstractNumId w:val="6"/>
  </w:num>
  <w:num w:numId="34" w16cid:durableId="1885829994">
    <w:abstractNumId w:val="5"/>
  </w:num>
  <w:num w:numId="35" w16cid:durableId="1881626684">
    <w:abstractNumId w:val="4"/>
  </w:num>
  <w:num w:numId="36" w16cid:durableId="747312661">
    <w:abstractNumId w:val="8"/>
  </w:num>
  <w:num w:numId="37" w16cid:durableId="177349409">
    <w:abstractNumId w:val="3"/>
  </w:num>
  <w:num w:numId="38" w16cid:durableId="1829858191">
    <w:abstractNumId w:val="2"/>
  </w:num>
  <w:num w:numId="39" w16cid:durableId="1480264202">
    <w:abstractNumId w:val="1"/>
  </w:num>
  <w:num w:numId="40" w16cid:durableId="585185743">
    <w:abstractNumId w:val="0"/>
  </w:num>
  <w:num w:numId="41" w16cid:durableId="1121455845">
    <w:abstractNumId w:val="10"/>
  </w:num>
  <w:num w:numId="42" w16cid:durableId="97406871">
    <w:abstractNumId w:val="10"/>
  </w:num>
  <w:num w:numId="43" w16cid:durableId="595090742">
    <w:abstractNumId w:val="10"/>
  </w:num>
  <w:num w:numId="44" w16cid:durableId="964119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6/2025"/>
    <w:docVar w:name="dvlangue" w:val="ES"/>
    <w:docVar w:name="dvnumam" w:val="0"/>
    <w:docVar w:name="dvpe" w:val="774.269"/>
    <w:docVar w:name="dvtitre" w:val="Resolución del Parlamento Europeo, de x de junio de 2025, de no formular objeciones al Reglamento Delegado de la Comisión, de 21 de mayo de 2025, que modifica el Reglamento Delegado (UE) 2023/370 de la Comisión, por el que se completa el Reglamento (UE) 2021/2115 del Parlamento Europeo y del Consejo en lo que respecta al plazo para presentar solicitudes de modificación de los planes estratégicos de la PAC C(2025)03151 – 2025/2728(DEA))"/>
  </w:docVars>
  <w:rsids>
    <w:rsidRoot w:val="00803841"/>
    <w:rsid w:val="00002272"/>
    <w:rsid w:val="00064002"/>
    <w:rsid w:val="000677B9"/>
    <w:rsid w:val="000831BA"/>
    <w:rsid w:val="000A42CC"/>
    <w:rsid w:val="000E7DD9"/>
    <w:rsid w:val="000F013E"/>
    <w:rsid w:val="0010095E"/>
    <w:rsid w:val="00125B37"/>
    <w:rsid w:val="00187494"/>
    <w:rsid w:val="001F32AE"/>
    <w:rsid w:val="002767FF"/>
    <w:rsid w:val="002B18FE"/>
    <w:rsid w:val="002B5493"/>
    <w:rsid w:val="00343214"/>
    <w:rsid w:val="00361C00"/>
    <w:rsid w:val="00391D5D"/>
    <w:rsid w:val="00395FA1"/>
    <w:rsid w:val="003E15D4"/>
    <w:rsid w:val="004058C3"/>
    <w:rsid w:val="00411CCE"/>
    <w:rsid w:val="0041666E"/>
    <w:rsid w:val="00421060"/>
    <w:rsid w:val="0042746A"/>
    <w:rsid w:val="00471C19"/>
    <w:rsid w:val="004867E3"/>
    <w:rsid w:val="00494A28"/>
    <w:rsid w:val="004C0004"/>
    <w:rsid w:val="004C5D52"/>
    <w:rsid w:val="0050519A"/>
    <w:rsid w:val="005072A1"/>
    <w:rsid w:val="00514517"/>
    <w:rsid w:val="005275A7"/>
    <w:rsid w:val="00545827"/>
    <w:rsid w:val="00560270"/>
    <w:rsid w:val="005C2568"/>
    <w:rsid w:val="005F1B17"/>
    <w:rsid w:val="006037C0"/>
    <w:rsid w:val="00654EE5"/>
    <w:rsid w:val="006631B6"/>
    <w:rsid w:val="00680577"/>
    <w:rsid w:val="006F74FA"/>
    <w:rsid w:val="00731ADD"/>
    <w:rsid w:val="00734777"/>
    <w:rsid w:val="00747932"/>
    <w:rsid w:val="00751A4A"/>
    <w:rsid w:val="00756632"/>
    <w:rsid w:val="00762C74"/>
    <w:rsid w:val="00786EC0"/>
    <w:rsid w:val="007D1690"/>
    <w:rsid w:val="007E22AD"/>
    <w:rsid w:val="00803841"/>
    <w:rsid w:val="00812559"/>
    <w:rsid w:val="00817416"/>
    <w:rsid w:val="00842779"/>
    <w:rsid w:val="00865F67"/>
    <w:rsid w:val="00881A7B"/>
    <w:rsid w:val="008840E5"/>
    <w:rsid w:val="00887B3E"/>
    <w:rsid w:val="008C2AC6"/>
    <w:rsid w:val="00930C23"/>
    <w:rsid w:val="0093193B"/>
    <w:rsid w:val="009509D8"/>
    <w:rsid w:val="00950B64"/>
    <w:rsid w:val="00981893"/>
    <w:rsid w:val="00A1687D"/>
    <w:rsid w:val="00A1737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689"/>
    <w:rsid w:val="00D058B8"/>
    <w:rsid w:val="00D56C11"/>
    <w:rsid w:val="00D834A0"/>
    <w:rsid w:val="00D872DF"/>
    <w:rsid w:val="00D91E21"/>
    <w:rsid w:val="00DA7FCD"/>
    <w:rsid w:val="00DF62BA"/>
    <w:rsid w:val="00E277B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718A6"/>
  <w15:chartTrackingRefBased/>
  <w15:docId w15:val="{AB7B4BD1-4042-43A2-97B1-8F537017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75A7"/>
    <w:pPr>
      <w:spacing w:before="480" w:after="240"/>
    </w:pPr>
  </w:style>
  <w:style w:type="paragraph" w:customStyle="1" w:styleId="NormalHanging12a">
    <w:name w:val="NormalHanging12a"/>
    <w:basedOn w:val="Normal"/>
    <w:rsid w:val="005275A7"/>
    <w:pPr>
      <w:spacing w:after="240"/>
      <w:ind w:left="567" w:hanging="567"/>
    </w:pPr>
  </w:style>
  <w:style w:type="character" w:styleId="Hyperlink">
    <w:name w:val="Hyperlink"/>
    <w:basedOn w:val="DefaultParagraphFont"/>
    <w:uiPriority w:val="99"/>
    <w:unhideWhenUsed/>
    <w:rsid w:val="005275A7"/>
    <w:rPr>
      <w:color w:val="0000FF"/>
      <w:u w:val="single"/>
    </w:rPr>
  </w:style>
  <w:style w:type="paragraph" w:styleId="BalloonText">
    <w:name w:val="Balloon Text"/>
    <w:basedOn w:val="Normal"/>
    <w:link w:val="BalloonTextChar"/>
    <w:rsid w:val="00391D5D"/>
    <w:rPr>
      <w:rFonts w:ascii="Segoe UI" w:hAnsi="Segoe UI" w:cs="Segoe UI"/>
      <w:sz w:val="18"/>
      <w:szCs w:val="18"/>
    </w:rPr>
  </w:style>
  <w:style w:type="character" w:customStyle="1" w:styleId="BalloonTextChar">
    <w:name w:val="Balloon Text Char"/>
    <w:basedOn w:val="DefaultParagraphFont"/>
    <w:link w:val="BalloonText"/>
    <w:rsid w:val="00391D5D"/>
    <w:rPr>
      <w:rFonts w:ascii="Segoe UI" w:hAnsi="Segoe UI" w:cs="Segoe UI"/>
      <w:sz w:val="18"/>
      <w:szCs w:val="18"/>
      <w:lang w:val="es-ES_tradnl"/>
    </w:rPr>
  </w:style>
  <w:style w:type="character" w:styleId="CommentReference">
    <w:name w:val="annotation reference"/>
    <w:basedOn w:val="DefaultParagraphFont"/>
    <w:rsid w:val="00E277B3"/>
    <w:rPr>
      <w:sz w:val="16"/>
      <w:szCs w:val="16"/>
    </w:rPr>
  </w:style>
  <w:style w:type="paragraph" w:styleId="CommentText">
    <w:name w:val="annotation text"/>
    <w:basedOn w:val="Normal"/>
    <w:link w:val="CommentTextChar"/>
    <w:rsid w:val="00E277B3"/>
    <w:rPr>
      <w:sz w:val="20"/>
    </w:rPr>
  </w:style>
  <w:style w:type="character" w:customStyle="1" w:styleId="CommentTextChar">
    <w:name w:val="Comment Text Char"/>
    <w:basedOn w:val="DefaultParagraphFont"/>
    <w:link w:val="CommentText"/>
    <w:rsid w:val="00E277B3"/>
    <w:rPr>
      <w:lang w:val="es-ES_tradnl"/>
    </w:rPr>
  </w:style>
  <w:style w:type="paragraph" w:styleId="CommentSubject">
    <w:name w:val="annotation subject"/>
    <w:basedOn w:val="CommentText"/>
    <w:next w:val="CommentText"/>
    <w:link w:val="CommentSubjectChar"/>
    <w:rsid w:val="00E277B3"/>
    <w:rPr>
      <w:b/>
      <w:bCs/>
    </w:rPr>
  </w:style>
  <w:style w:type="character" w:customStyle="1" w:styleId="CommentSubjectChar">
    <w:name w:val="Comment Subject Char"/>
    <w:basedOn w:val="CommentTextChar"/>
    <w:link w:val="CommentSubject"/>
    <w:rsid w:val="00E277B3"/>
    <w:rPr>
      <w:b/>
      <w:bCs/>
      <w:lang w:val="es-ES_tradnl"/>
    </w:rPr>
  </w:style>
  <w:style w:type="paragraph" w:styleId="Revision">
    <w:name w:val="Revision"/>
    <w:hidden/>
    <w:uiPriority w:val="99"/>
    <w:semiHidden/>
    <w:rsid w:val="00D0568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63BB3-DCA3-470B-9DF0-D1435D9EF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LAPORTA GRAU Manuel</cp:lastModifiedBy>
  <cp:revision>2</cp:revision>
  <cp:lastPrinted>2004-11-19T15:42:00Z</cp:lastPrinted>
  <dcterms:created xsi:type="dcterms:W3CDTF">2025-06-18T13:38:00Z</dcterms:created>
  <dcterms:modified xsi:type="dcterms:W3CDTF">2025-06-18T13:38:00Z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B10-0276/2025</vt:lpwstr>
  </property>
  <property fmtid="{D5CDD505-2E9C-101B-9397-08002B2CF9AE}" pid="4" name="&lt;Type&gt;">
    <vt:lpwstr>RR</vt:lpwstr>
  </property>
</Properties>
</file>