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0606" w14:paraId="0EEF8313" w14:textId="77777777" w:rsidTr="0010095E">
        <w:trPr>
          <w:trHeight w:hRule="exact" w:val="1418"/>
        </w:trPr>
        <w:tc>
          <w:tcPr>
            <w:tcW w:w="6804" w:type="dxa"/>
            <w:shd w:val="clear" w:color="auto" w:fill="auto"/>
            <w:vAlign w:val="center"/>
          </w:tcPr>
          <w:p w14:paraId="76C6FF95" w14:textId="126A364A" w:rsidR="00751A4A" w:rsidRPr="00690606" w:rsidRDefault="006C1D0C" w:rsidP="0010095E">
            <w:pPr>
              <w:pStyle w:val="EPName"/>
            </w:pPr>
            <w:r w:rsidRPr="00690606">
              <w:t>Europaparlamentet</w:t>
            </w:r>
          </w:p>
          <w:p w14:paraId="4B48014C" w14:textId="77777777" w:rsidR="00751A4A" w:rsidRPr="00690606" w:rsidRDefault="005F1B17" w:rsidP="005F1B17">
            <w:pPr>
              <w:pStyle w:val="EPTerm"/>
              <w:rPr>
                <w:rStyle w:val="HideTWBExt"/>
                <w:noProof w:val="0"/>
                <w:vanish w:val="0"/>
                <w:color w:val="auto"/>
              </w:rPr>
            </w:pPr>
            <w:r w:rsidRPr="00690606">
              <w:t>2024</w:t>
            </w:r>
            <w:r w:rsidR="00817416" w:rsidRPr="00690606">
              <w:t>-202</w:t>
            </w:r>
            <w:r w:rsidRPr="00690606">
              <w:t>9</w:t>
            </w:r>
          </w:p>
        </w:tc>
        <w:tc>
          <w:tcPr>
            <w:tcW w:w="2268" w:type="dxa"/>
            <w:shd w:val="clear" w:color="auto" w:fill="auto"/>
          </w:tcPr>
          <w:p w14:paraId="2466985A" w14:textId="77777777" w:rsidR="00751A4A" w:rsidRPr="00690606" w:rsidRDefault="00187494" w:rsidP="0010095E">
            <w:pPr>
              <w:pStyle w:val="EPLogo"/>
            </w:pPr>
            <w:r w:rsidRPr="00690606">
              <w:rPr>
                <w:noProof/>
                <w:lang w:val="en-GB"/>
              </w:rPr>
              <w:drawing>
                <wp:inline distT="0" distB="0" distL="0" distR="0" wp14:anchorId="2DC45C98" wp14:editId="6120F7E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84233B" w14:textId="77777777" w:rsidR="00D058B8" w:rsidRPr="00690606" w:rsidRDefault="00D058B8" w:rsidP="004C5D52">
      <w:pPr>
        <w:pStyle w:val="LineTop"/>
      </w:pPr>
    </w:p>
    <w:p w14:paraId="0948522C" w14:textId="77777777" w:rsidR="00680577" w:rsidRPr="00690606" w:rsidRDefault="006C1D0C" w:rsidP="00680577">
      <w:pPr>
        <w:pStyle w:val="EPBodyTA1"/>
      </w:pPr>
      <w:r w:rsidRPr="00690606">
        <w:t>ANTAGNA TEXTER</w:t>
      </w:r>
    </w:p>
    <w:p w14:paraId="36851D41" w14:textId="77777777" w:rsidR="00D058B8" w:rsidRPr="00690606" w:rsidRDefault="00D058B8" w:rsidP="00D058B8">
      <w:pPr>
        <w:pStyle w:val="LineBottom"/>
      </w:pPr>
    </w:p>
    <w:p w14:paraId="2BC01417" w14:textId="77777777" w:rsidR="006C1D0C" w:rsidRPr="00690606" w:rsidRDefault="006C1D0C" w:rsidP="006C1D0C">
      <w:pPr>
        <w:pStyle w:val="ATHeading1"/>
      </w:pPr>
      <w:bookmarkStart w:id="0" w:name="TANumber"/>
      <w:r w:rsidRPr="00690606">
        <w:t>P10_TA(2025)</w:t>
      </w:r>
      <w:bookmarkEnd w:id="0"/>
      <w:r w:rsidR="000B73F7" w:rsidRPr="00690606">
        <w:t>0</w:t>
      </w:r>
      <w:r w:rsidR="000B73F7">
        <w:t>124</w:t>
      </w:r>
    </w:p>
    <w:p w14:paraId="02CF8928" w14:textId="77777777" w:rsidR="006C1D0C" w:rsidRPr="003F3A03" w:rsidRDefault="000B73F7" w:rsidP="006C1D0C">
      <w:pPr>
        <w:pStyle w:val="ATHeading2"/>
      </w:pPr>
      <w:r w:rsidRPr="003F3A03">
        <w:t>Beslut om att inte invända mot en delegerad akt: tidsperioden för inlämnande av begäranden om ändringar av strategiska GJP-planer</w:t>
      </w:r>
    </w:p>
    <w:p w14:paraId="6ECD6BFD" w14:textId="77777777" w:rsidR="006C1D0C" w:rsidRPr="00690606" w:rsidRDefault="006C1D0C" w:rsidP="006C1D0C">
      <w:pPr>
        <w:rPr>
          <w:i/>
          <w:vanish/>
        </w:rPr>
      </w:pPr>
      <w:r w:rsidRPr="003F3A03">
        <w:rPr>
          <w:i/>
        </w:rPr>
        <w:fldChar w:fldCharType="begin"/>
      </w:r>
      <w:r w:rsidRPr="003F3A03">
        <w:rPr>
          <w:i/>
        </w:rPr>
        <w:instrText xml:space="preserve"> TC"(</w:instrText>
      </w:r>
      <w:bookmarkStart w:id="1" w:name="DocNumber"/>
      <w:r w:rsidRPr="003F3A03">
        <w:rPr>
          <w:i/>
        </w:rPr>
        <w:instrText>B10-0276/2025</w:instrText>
      </w:r>
      <w:bookmarkEnd w:id="1"/>
      <w:r w:rsidRPr="003F3A03">
        <w:rPr>
          <w:i/>
        </w:rPr>
        <w:instrText xml:space="preserve">)"\l3 \n&gt; \* MERGEFORMAT </w:instrText>
      </w:r>
      <w:r w:rsidRPr="003F3A03">
        <w:rPr>
          <w:i/>
        </w:rPr>
        <w:fldChar w:fldCharType="end"/>
      </w:r>
    </w:p>
    <w:p w14:paraId="59B4CC69" w14:textId="77777777" w:rsidR="006C1D0C" w:rsidRPr="00690606" w:rsidRDefault="006C1D0C" w:rsidP="006C1D0C">
      <w:pPr>
        <w:rPr>
          <w:vanish/>
        </w:rPr>
      </w:pPr>
      <w:bookmarkStart w:id="2" w:name="PE"/>
      <w:r w:rsidRPr="00690606">
        <w:rPr>
          <w:vanish/>
        </w:rPr>
        <w:t>PE774.269</w:t>
      </w:r>
      <w:bookmarkEnd w:id="2"/>
    </w:p>
    <w:p w14:paraId="0812C086" w14:textId="77777777" w:rsidR="006C1D0C" w:rsidRPr="00690606" w:rsidRDefault="006C1D0C" w:rsidP="006C1D0C">
      <w:pPr>
        <w:pStyle w:val="ATHeading3"/>
      </w:pPr>
      <w:bookmarkStart w:id="3" w:name="Sujet"/>
      <w:r w:rsidRPr="00690606">
        <w:t>Europaparlamentets beslut om att inte invända mot kommissionens delegerade förordning av den 21 maj 2025 om ändring av kommissionens delegerade förordning (EU) 2023/370 om komplettering av Europaparlamentets och rådets förordning (EU) 2021/2115 vad gäller tidsperioden för inlämnande av begäranden om ändringar av strategiska GJP-planer</w:t>
      </w:r>
      <w:bookmarkEnd w:id="3"/>
      <w:r w:rsidRPr="00690606">
        <w:t xml:space="preserve"> </w:t>
      </w:r>
      <w:bookmarkStart w:id="4" w:name="References"/>
      <w:r w:rsidR="004B148C">
        <w:t>(</w:t>
      </w:r>
      <w:r w:rsidRPr="00690606">
        <w:t>C(2025)03151 – 2025/2728(DEA))</w:t>
      </w:r>
      <w:bookmarkEnd w:id="4"/>
    </w:p>
    <w:p w14:paraId="52708921" w14:textId="77777777" w:rsidR="00324A5B" w:rsidRPr="00690606" w:rsidRDefault="00324A5B" w:rsidP="00324A5B">
      <w:pPr>
        <w:pStyle w:val="EPComma"/>
      </w:pPr>
      <w:bookmarkStart w:id="5" w:name="TextBodyBegin"/>
      <w:bookmarkEnd w:id="5"/>
      <w:r w:rsidRPr="00690606">
        <w:rPr>
          <w:i/>
        </w:rPr>
        <w:t>Europaparlamentet fattar detta beslut</w:t>
      </w:r>
    </w:p>
    <w:p w14:paraId="42499686" w14:textId="77777777" w:rsidR="00324A5B" w:rsidRPr="00690606" w:rsidRDefault="00324A5B" w:rsidP="00324A5B">
      <w:pPr>
        <w:pStyle w:val="NormalHanging12a"/>
      </w:pPr>
      <w:r w:rsidRPr="00690606">
        <w:t>–</w:t>
      </w:r>
      <w:r w:rsidRPr="00690606">
        <w:tab/>
        <w:t>med beaktande av kommissionens delegerade förordning (C(2025)03151),</w:t>
      </w:r>
    </w:p>
    <w:p w14:paraId="1C205CDC" w14:textId="77777777" w:rsidR="00324A5B" w:rsidRPr="00690606" w:rsidRDefault="00324A5B" w:rsidP="00324A5B">
      <w:pPr>
        <w:pStyle w:val="NormalHanging12a"/>
      </w:pPr>
      <w:r w:rsidRPr="00690606">
        <w:t>–</w:t>
      </w:r>
      <w:r w:rsidRPr="00690606">
        <w:tab/>
        <w:t>med beaktande av kommissionens skrivelse av den 21 maj 2025, i vilken parlamentet uppmanas att tillkännage att det inte avser att invända mot den delegerade förordningen,</w:t>
      </w:r>
    </w:p>
    <w:p w14:paraId="20973705" w14:textId="77777777" w:rsidR="00324A5B" w:rsidRPr="00690606" w:rsidRDefault="00324A5B" w:rsidP="00324A5B">
      <w:pPr>
        <w:pStyle w:val="NormalHanging12a"/>
      </w:pPr>
      <w:r w:rsidRPr="00690606">
        <w:t>–</w:t>
      </w:r>
      <w:r w:rsidRPr="00690606">
        <w:tab/>
        <w:t xml:space="preserve">med beaktande av skrivelsen av den </w:t>
      </w:r>
      <w:r w:rsidR="00637B3A">
        <w:t>4</w:t>
      </w:r>
      <w:r w:rsidRPr="00690606">
        <w:t xml:space="preserve"> juni 2025 från utskottet för jordbruk och landsbygdens utveckling till utskottsordförandekonferensens ordförande,</w:t>
      </w:r>
    </w:p>
    <w:p w14:paraId="64267F26" w14:textId="77777777" w:rsidR="00324A5B" w:rsidRPr="00690606" w:rsidRDefault="00324A5B" w:rsidP="00324A5B">
      <w:pPr>
        <w:pStyle w:val="NormalHanging12a"/>
      </w:pPr>
      <w:r w:rsidRPr="00690606">
        <w:t>–</w:t>
      </w:r>
      <w:r w:rsidRPr="00690606">
        <w:tab/>
        <w:t>med beaktande av artikel 290 i fördraget om Europeiska unionens funktionssätt,</w:t>
      </w:r>
    </w:p>
    <w:p w14:paraId="33E8C7D2" w14:textId="77777777" w:rsidR="00324A5B" w:rsidRPr="00690606" w:rsidRDefault="00324A5B" w:rsidP="00324A5B">
      <w:pPr>
        <w:pStyle w:val="NormalHanging12a"/>
      </w:pPr>
      <w:r w:rsidRPr="00690606">
        <w:t>–</w:t>
      </w:r>
      <w:r w:rsidRPr="00690606">
        <w:tab/>
        <w:t>med beaktande av Europaparlamentets och rådets förordning (EU) 2021/2115</w:t>
      </w:r>
      <w:r w:rsidRPr="00690606">
        <w:rPr>
          <w:rStyle w:val="FootnoteReference"/>
          <w:color w:val="000000"/>
          <w:szCs w:val="23"/>
        </w:rPr>
        <w:footnoteReference w:id="1"/>
      </w:r>
      <w:r w:rsidRPr="00690606">
        <w:t>, särskilt artikel 122 a,</w:t>
      </w:r>
    </w:p>
    <w:p w14:paraId="0446962A" w14:textId="77777777" w:rsidR="00324A5B" w:rsidRPr="00690606" w:rsidRDefault="00324A5B" w:rsidP="00324A5B">
      <w:pPr>
        <w:pStyle w:val="NormalHanging12a"/>
      </w:pPr>
      <w:r w:rsidRPr="00690606">
        <w:t>–</w:t>
      </w:r>
      <w:r w:rsidRPr="00690606">
        <w:tab/>
        <w:t>med beaktande av artikel 114.6 i arbetsordningen,</w:t>
      </w:r>
    </w:p>
    <w:p w14:paraId="22FB78B1" w14:textId="77777777" w:rsidR="00324A5B" w:rsidRDefault="00324A5B" w:rsidP="00324A5B">
      <w:pPr>
        <w:pStyle w:val="NormalHanging12a"/>
      </w:pPr>
      <w:r w:rsidRPr="00690606">
        <w:t>–</w:t>
      </w:r>
      <w:r w:rsidRPr="00690606">
        <w:tab/>
        <w:t>med beaktande av rekommendationen till beslut från utskottet för jordbruk och landsbygdens utveckling,</w:t>
      </w:r>
    </w:p>
    <w:p w14:paraId="2451D0F4" w14:textId="77777777" w:rsidR="000B73F7" w:rsidRPr="00690606" w:rsidRDefault="000B73F7" w:rsidP="00324A5B">
      <w:pPr>
        <w:pStyle w:val="NormalHanging12a"/>
      </w:pPr>
      <w:r w:rsidRPr="000B73F7">
        <w:t>–</w:t>
      </w:r>
      <w:r w:rsidRPr="000B73F7">
        <w:tab/>
        <w:t>med beaktande av att ingen invändning har gjorts inom den tidsfrist som anges i artikel 11</w:t>
      </w:r>
      <w:r>
        <w:t>4</w:t>
      </w:r>
      <w:r w:rsidRPr="000B73F7">
        <w:t>.6 tredje och fjärde strecksatserna i arbetsordningen, som löpte ut den 1</w:t>
      </w:r>
      <w:r>
        <w:t>7</w:t>
      </w:r>
      <w:r w:rsidRPr="000B73F7">
        <w:t xml:space="preserve"> </w:t>
      </w:r>
      <w:r>
        <w:t>juni</w:t>
      </w:r>
      <w:r w:rsidRPr="000B73F7">
        <w:t xml:space="preserve"> 202</w:t>
      </w:r>
      <w:r>
        <w:t>5</w:t>
      </w:r>
      <w:r w:rsidRPr="000B73F7">
        <w:t xml:space="preserve">, </w:t>
      </w:r>
      <w:r w:rsidRPr="000B73F7">
        <w:lastRenderedPageBreak/>
        <w:t>och av följande skäl:</w:t>
      </w:r>
    </w:p>
    <w:p w14:paraId="71C9F262" w14:textId="77777777" w:rsidR="00324A5B" w:rsidRPr="00690606" w:rsidRDefault="00324A5B" w:rsidP="00324A5B">
      <w:pPr>
        <w:pStyle w:val="NormalHanging12a"/>
        <w:rPr>
          <w:noProof/>
        </w:rPr>
      </w:pPr>
      <w:r w:rsidRPr="00690606">
        <w:t>A.</w:t>
      </w:r>
      <w:r w:rsidRPr="00690606">
        <w:tab/>
        <w:t>Mot bakgrund av den rådande instabiliteten inom jordbrukssektorn i unionen har flera medlemsstater redan svårt att under de första månaderna av 2025 besluta om behovet av att se över de överföringsbeslut som de fattade 2022 i enlighet med artiklarna 17.5, 88.7 och 103 i förordning (EU) 2021/2115, och det anses därför nödvändigt att ge dem mer tid för att planera dessa överföringar.</w:t>
      </w:r>
    </w:p>
    <w:p w14:paraId="6B64A052" w14:textId="77777777" w:rsidR="00324A5B" w:rsidRPr="00690606" w:rsidRDefault="00324A5B" w:rsidP="00324A5B">
      <w:pPr>
        <w:pStyle w:val="NormalHanging12a"/>
      </w:pPr>
      <w:r w:rsidRPr="00690606">
        <w:t>B.</w:t>
      </w:r>
      <w:r w:rsidRPr="00690606">
        <w:tab/>
        <w:t>Den tidsfrist som fastställs i artikel 3.4 i kommissionens delegerade förordning (EU) 2023/370</w:t>
      </w:r>
      <w:r w:rsidRPr="00690606">
        <w:rPr>
          <w:rStyle w:val="FootnoteReference"/>
          <w:color w:val="000000"/>
        </w:rPr>
        <w:footnoteReference w:id="2"/>
      </w:r>
      <w:r w:rsidRPr="00690606">
        <w:t xml:space="preserve"> </w:t>
      </w:r>
      <w:r w:rsidR="00637B3A" w:rsidRPr="00690606">
        <w:t>löp</w:t>
      </w:r>
      <w:r w:rsidR="00637B3A">
        <w:t>te</w:t>
      </w:r>
      <w:r w:rsidR="00637B3A" w:rsidRPr="00690606">
        <w:t xml:space="preserve"> </w:t>
      </w:r>
      <w:r w:rsidRPr="00690606">
        <w:t>ut den 31 maj 2025. Det är därför ytterst viktigt att så snart som möjligt fastställa en ny tidsfrist för inlämnande av begäranden om ändring till den 31 augusti 2025, så att medlemsstaterna kan planera och behandla dem på lämpligt sätt.</w:t>
      </w:r>
    </w:p>
    <w:p w14:paraId="0E675A69" w14:textId="77777777" w:rsidR="00324A5B" w:rsidRPr="00690606" w:rsidRDefault="00324A5B" w:rsidP="00324A5B">
      <w:pPr>
        <w:pStyle w:val="NormalHanging12a"/>
      </w:pPr>
      <w:r w:rsidRPr="00690606">
        <w:t>C.</w:t>
      </w:r>
      <w:r w:rsidRPr="00690606">
        <w:tab/>
        <w:t>Delegerad förordning (EU) 2023/370 bör därför ändras i enlighet med detta.</w:t>
      </w:r>
    </w:p>
    <w:p w14:paraId="2E0421EC" w14:textId="77777777" w:rsidR="00324A5B" w:rsidRPr="00690606" w:rsidRDefault="00324A5B" w:rsidP="00324A5B">
      <w:pPr>
        <w:pStyle w:val="NormalHanging12a"/>
      </w:pPr>
      <w:r w:rsidRPr="00690606">
        <w:t>1.</w:t>
      </w:r>
      <w:r w:rsidRPr="00690606">
        <w:tab/>
        <w:t>Europaparlamentet tillkännager att det inte invänder mot den delegerade förordningen.</w:t>
      </w:r>
    </w:p>
    <w:p w14:paraId="6F9621EA" w14:textId="77777777" w:rsidR="00690606" w:rsidRPr="00690606" w:rsidRDefault="00324A5B" w:rsidP="00690606">
      <w:pPr>
        <w:pStyle w:val="NormalHanging12a"/>
      </w:pPr>
      <w:r w:rsidRPr="00690606">
        <w:t>2.</w:t>
      </w:r>
      <w:r w:rsidRPr="00690606">
        <w:tab/>
        <w:t>Europaparlamentet uppdrar åt talmannen att översända detta beslut till rådet och kommissionen.</w:t>
      </w:r>
    </w:p>
    <w:p w14:paraId="6D9FFD46" w14:textId="77777777" w:rsidR="00E365E1" w:rsidRPr="00690606" w:rsidRDefault="00E365E1" w:rsidP="006C1D0C"/>
    <w:sectPr w:rsidR="00E365E1" w:rsidRPr="00690606" w:rsidSect="0069060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8D328" w14:textId="77777777" w:rsidR="006C1D0C" w:rsidRPr="00690606" w:rsidRDefault="006C1D0C">
      <w:r w:rsidRPr="00690606">
        <w:separator/>
      </w:r>
    </w:p>
  </w:endnote>
  <w:endnote w:type="continuationSeparator" w:id="0">
    <w:p w14:paraId="6BBD5FBD" w14:textId="77777777" w:rsidR="006C1D0C" w:rsidRPr="00690606" w:rsidRDefault="006C1D0C">
      <w:r w:rsidRPr="006906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B9C40" w14:textId="77777777" w:rsidR="00064002" w:rsidRPr="0069060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42312" w14:textId="77777777" w:rsidR="00064002" w:rsidRPr="0069060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23760" w14:textId="77777777" w:rsidR="00064002" w:rsidRPr="0069060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C3B7D" w14:textId="77777777" w:rsidR="006C1D0C" w:rsidRPr="00690606" w:rsidRDefault="006C1D0C">
      <w:r w:rsidRPr="00690606">
        <w:separator/>
      </w:r>
    </w:p>
  </w:footnote>
  <w:footnote w:type="continuationSeparator" w:id="0">
    <w:p w14:paraId="7CC3C2E2" w14:textId="77777777" w:rsidR="006C1D0C" w:rsidRPr="00690606" w:rsidRDefault="006C1D0C">
      <w:r w:rsidRPr="00690606">
        <w:continuationSeparator/>
      </w:r>
    </w:p>
  </w:footnote>
  <w:footnote w:id="1">
    <w:p w14:paraId="1CDFA6AE" w14:textId="77777777" w:rsidR="00324A5B" w:rsidRPr="00690606" w:rsidRDefault="00324A5B" w:rsidP="00690606">
      <w:pPr>
        <w:pStyle w:val="FootnoteText"/>
        <w:ind w:left="567" w:hanging="567"/>
        <w:rPr>
          <w:sz w:val="24"/>
          <w:lang w:val="sv-SE"/>
        </w:rPr>
      </w:pPr>
      <w:r w:rsidRPr="00690606">
        <w:rPr>
          <w:rStyle w:val="FootnoteReference"/>
          <w:sz w:val="24"/>
          <w:lang w:val="sv-SE"/>
        </w:rPr>
        <w:footnoteRef/>
      </w:r>
      <w:r w:rsidR="00690606" w:rsidRPr="00690606">
        <w:rPr>
          <w:sz w:val="24"/>
          <w:lang w:val="sv-SE"/>
        </w:rPr>
        <w:t xml:space="preserve"> </w:t>
      </w:r>
      <w:r w:rsidR="00690606" w:rsidRPr="00690606">
        <w:rPr>
          <w:sz w:val="24"/>
          <w:lang w:val="sv-SE"/>
        </w:rPr>
        <w:tab/>
      </w:r>
      <w:r w:rsidRPr="00690606">
        <w:rPr>
          <w:sz w:val="24"/>
          <w:lang w:val="sv-SE"/>
        </w:rPr>
        <w:t>Europaparlamentets och rådets förordning (EU) 2021/2115 av den 2 december 2021 om fastställande av regler om stöd för de strategiska planer som medlemsstaterna ska upprätta inom ramen för den gemensamma jordbrukspolitiken (strategiska GJP-planer) och som finansieras av Europeiska garantifonden för jordbruket (EGFJ) och Europeiska jordbruksfonden för landsbygdsutveckling (</w:t>
      </w:r>
      <w:proofErr w:type="spellStart"/>
      <w:r w:rsidRPr="00690606">
        <w:rPr>
          <w:sz w:val="24"/>
          <w:lang w:val="sv-SE"/>
        </w:rPr>
        <w:t>Ejflu</w:t>
      </w:r>
      <w:proofErr w:type="spellEnd"/>
      <w:r w:rsidRPr="00690606">
        <w:rPr>
          <w:sz w:val="24"/>
          <w:lang w:val="sv-SE"/>
        </w:rPr>
        <w:t xml:space="preserve">) samt om upphävande av förordningarna (EU) nr 1305/2013 och (EU) nr 1307/2013 (EUT L 435, 6.12.2021, s. 1, ELI: </w:t>
      </w:r>
      <w:hyperlink r:id="rId1" w:tooltip="Ger åtkomst till dokumentet via dess ELI-adress." w:history="1">
        <w:r w:rsidRPr="00690606">
          <w:rPr>
            <w:rStyle w:val="Hyperlink"/>
            <w:sz w:val="24"/>
            <w:lang w:val="sv-SE"/>
          </w:rPr>
          <w:t>http://data.europa.eu/eli/reg/2021/2115/oj</w:t>
        </w:r>
      </w:hyperlink>
      <w:r w:rsidRPr="00690606">
        <w:rPr>
          <w:sz w:val="24"/>
          <w:lang w:val="sv-SE"/>
        </w:rPr>
        <w:t>).</w:t>
      </w:r>
    </w:p>
  </w:footnote>
  <w:footnote w:id="2">
    <w:p w14:paraId="4B0A35CE" w14:textId="77777777" w:rsidR="00324A5B" w:rsidRPr="00690606" w:rsidRDefault="00324A5B" w:rsidP="00690606">
      <w:pPr>
        <w:pStyle w:val="FootnoteText"/>
        <w:ind w:left="567" w:hanging="567"/>
        <w:rPr>
          <w:sz w:val="24"/>
          <w:lang w:val="sv-SE"/>
        </w:rPr>
      </w:pPr>
      <w:r w:rsidRPr="00690606">
        <w:rPr>
          <w:rStyle w:val="FootnoteReference"/>
          <w:sz w:val="24"/>
          <w:lang w:val="sv-SE"/>
        </w:rPr>
        <w:footnoteRef/>
      </w:r>
      <w:r w:rsidR="00690606" w:rsidRPr="00690606">
        <w:rPr>
          <w:sz w:val="24"/>
          <w:lang w:val="sv-SE"/>
        </w:rPr>
        <w:t xml:space="preserve"> </w:t>
      </w:r>
      <w:r w:rsidR="00690606" w:rsidRPr="00690606">
        <w:rPr>
          <w:sz w:val="24"/>
          <w:lang w:val="sv-SE"/>
        </w:rPr>
        <w:tab/>
      </w:r>
      <w:r w:rsidRPr="00690606">
        <w:rPr>
          <w:sz w:val="24"/>
          <w:lang w:val="sv-SE"/>
        </w:rPr>
        <w:t>Kommissionens delegerade förordning (EU) 2023/370 av den 13 december 2022 om komplettering av Europaparlamentets och rådets förordning (EU) 2021/2115 vad gäller förfaranden, tidsfrister för medlemsstaternas inlämnande av begäranden om ändringar av strategiska GJP-planer och ytterligare fall där det högsta antalet ändringar av strategiska GJP-planer inte tillämpas (</w:t>
      </w:r>
      <w:r w:rsidRPr="00637B3A">
        <w:rPr>
          <w:rStyle w:val="Emphasis"/>
          <w:rFonts w:ascii="Times New Roman" w:hAnsi="Times New Roman" w:cs="Times New Roman"/>
          <w:b w:val="0"/>
          <w:i w:val="0"/>
          <w:sz w:val="24"/>
          <w:lang w:val="sv-SE"/>
        </w:rPr>
        <w:t>EUT L 51, 20.2.2023, s. 25, E</w:t>
      </w:r>
      <w:r w:rsidRPr="00637B3A">
        <w:rPr>
          <w:sz w:val="24"/>
          <w:lang w:val="sv-SE"/>
        </w:rPr>
        <w:t>LI</w:t>
      </w:r>
      <w:r w:rsidRPr="00690606">
        <w:rPr>
          <w:sz w:val="24"/>
          <w:lang w:val="sv-SE"/>
        </w:rPr>
        <w:t xml:space="preserve">: </w:t>
      </w:r>
      <w:hyperlink r:id="rId2" w:tooltip="Ger åtkomst till dokumentet via dess ELI-adress." w:history="1">
        <w:r w:rsidRPr="00690606">
          <w:rPr>
            <w:rStyle w:val="Hyperlink"/>
            <w:sz w:val="24"/>
            <w:lang w:val="sv-SE"/>
          </w:rPr>
          <w:t>http://data.europa.eu/eli/reg_del/2023/370/oj</w:t>
        </w:r>
      </w:hyperlink>
      <w:r w:rsidRPr="0069060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B2788" w14:textId="77777777" w:rsidR="00064002" w:rsidRPr="0069060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AF788" w14:textId="77777777" w:rsidR="00064002" w:rsidRPr="0069060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1C488" w14:textId="77777777" w:rsidR="00064002" w:rsidRPr="0069060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9170537">
    <w:abstractNumId w:val="9"/>
  </w:num>
  <w:num w:numId="2" w16cid:durableId="544760238">
    <w:abstractNumId w:val="9"/>
  </w:num>
  <w:num w:numId="3" w16cid:durableId="671639938">
    <w:abstractNumId w:val="7"/>
  </w:num>
  <w:num w:numId="4" w16cid:durableId="204755290">
    <w:abstractNumId w:val="7"/>
  </w:num>
  <w:num w:numId="5" w16cid:durableId="1934433090">
    <w:abstractNumId w:val="6"/>
  </w:num>
  <w:num w:numId="6" w16cid:durableId="132334602">
    <w:abstractNumId w:val="6"/>
  </w:num>
  <w:num w:numId="7" w16cid:durableId="414984728">
    <w:abstractNumId w:val="5"/>
  </w:num>
  <w:num w:numId="8" w16cid:durableId="256329830">
    <w:abstractNumId w:val="5"/>
  </w:num>
  <w:num w:numId="9" w16cid:durableId="777606780">
    <w:abstractNumId w:val="4"/>
  </w:num>
  <w:num w:numId="10" w16cid:durableId="77212182">
    <w:abstractNumId w:val="4"/>
  </w:num>
  <w:num w:numId="11" w16cid:durableId="1319534227">
    <w:abstractNumId w:val="8"/>
  </w:num>
  <w:num w:numId="12" w16cid:durableId="659045885">
    <w:abstractNumId w:val="8"/>
  </w:num>
  <w:num w:numId="13" w16cid:durableId="2136679951">
    <w:abstractNumId w:val="3"/>
  </w:num>
  <w:num w:numId="14" w16cid:durableId="1225070975">
    <w:abstractNumId w:val="3"/>
  </w:num>
  <w:num w:numId="15" w16cid:durableId="506871717">
    <w:abstractNumId w:val="2"/>
  </w:num>
  <w:num w:numId="16" w16cid:durableId="778723434">
    <w:abstractNumId w:val="2"/>
  </w:num>
  <w:num w:numId="17" w16cid:durableId="489106247">
    <w:abstractNumId w:val="1"/>
  </w:num>
  <w:num w:numId="18" w16cid:durableId="1455439281">
    <w:abstractNumId w:val="1"/>
  </w:num>
  <w:num w:numId="19" w16cid:durableId="712002343">
    <w:abstractNumId w:val="0"/>
  </w:num>
  <w:num w:numId="20" w16cid:durableId="700782675">
    <w:abstractNumId w:val="0"/>
  </w:num>
  <w:num w:numId="21" w16cid:durableId="1412892715">
    <w:abstractNumId w:val="9"/>
  </w:num>
  <w:num w:numId="22" w16cid:durableId="1510635984">
    <w:abstractNumId w:val="7"/>
  </w:num>
  <w:num w:numId="23" w16cid:durableId="1121921668">
    <w:abstractNumId w:val="6"/>
  </w:num>
  <w:num w:numId="24" w16cid:durableId="1383365309">
    <w:abstractNumId w:val="5"/>
  </w:num>
  <w:num w:numId="25" w16cid:durableId="1517382920">
    <w:abstractNumId w:val="4"/>
  </w:num>
  <w:num w:numId="26" w16cid:durableId="1374692478">
    <w:abstractNumId w:val="8"/>
  </w:num>
  <w:num w:numId="27" w16cid:durableId="544222084">
    <w:abstractNumId w:val="3"/>
  </w:num>
  <w:num w:numId="28" w16cid:durableId="982349307">
    <w:abstractNumId w:val="2"/>
  </w:num>
  <w:num w:numId="29" w16cid:durableId="270623685">
    <w:abstractNumId w:val="1"/>
  </w:num>
  <w:num w:numId="30" w16cid:durableId="1808815559">
    <w:abstractNumId w:val="0"/>
  </w:num>
  <w:num w:numId="31" w16cid:durableId="1735423639">
    <w:abstractNumId w:val="9"/>
  </w:num>
  <w:num w:numId="32" w16cid:durableId="1561213197">
    <w:abstractNumId w:val="7"/>
  </w:num>
  <w:num w:numId="33" w16cid:durableId="773986970">
    <w:abstractNumId w:val="6"/>
  </w:num>
  <w:num w:numId="34" w16cid:durableId="501043743">
    <w:abstractNumId w:val="5"/>
  </w:num>
  <w:num w:numId="35" w16cid:durableId="1994485373">
    <w:abstractNumId w:val="4"/>
  </w:num>
  <w:num w:numId="36" w16cid:durableId="354161500">
    <w:abstractNumId w:val="8"/>
  </w:num>
  <w:num w:numId="37" w16cid:durableId="1707681287">
    <w:abstractNumId w:val="3"/>
  </w:num>
  <w:num w:numId="38" w16cid:durableId="1576428052">
    <w:abstractNumId w:val="2"/>
  </w:num>
  <w:num w:numId="39" w16cid:durableId="724530105">
    <w:abstractNumId w:val="1"/>
  </w:num>
  <w:num w:numId="40" w16cid:durableId="1797140595">
    <w:abstractNumId w:val="0"/>
  </w:num>
  <w:num w:numId="41" w16cid:durableId="2054765923">
    <w:abstractNumId w:val="10"/>
  </w:num>
  <w:num w:numId="42" w16cid:durableId="398212848">
    <w:abstractNumId w:val="10"/>
  </w:num>
  <w:num w:numId="43" w16cid:durableId="968973543">
    <w:abstractNumId w:val="10"/>
  </w:num>
  <w:num w:numId="44" w16cid:durableId="271451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6/2025"/>
    <w:docVar w:name="dvlangue" w:val="SV"/>
    <w:docVar w:name="dvnumam" w:val="0"/>
    <w:docVar w:name="dvpe" w:val="774.269"/>
    <w:docVar w:name="dvtitre" w:val="Europaparlamentets beslut av den xx xx 2025 om att inte invända mot kommissionens delegerade förordning av den 21 maj 2025 om ändring av kommissionens delegerade förordning (EU) 2023/370 om komplettering av Europaparlamentets och rådets förordning (EU) 2021/2115 vad gäller tidsperioden för inlämnande av begäranden om ändringar av strategiska GJP-planer C(2025)03151 – 2025/2728(DEA))"/>
  </w:docVars>
  <w:rsids>
    <w:rsidRoot w:val="006C1D0C"/>
    <w:rsid w:val="00002272"/>
    <w:rsid w:val="00064002"/>
    <w:rsid w:val="000677B9"/>
    <w:rsid w:val="000831BA"/>
    <w:rsid w:val="000A42CC"/>
    <w:rsid w:val="000B73F7"/>
    <w:rsid w:val="000E7DD9"/>
    <w:rsid w:val="0010095E"/>
    <w:rsid w:val="00125B37"/>
    <w:rsid w:val="00187494"/>
    <w:rsid w:val="001F32AE"/>
    <w:rsid w:val="002767FF"/>
    <w:rsid w:val="002B18FE"/>
    <w:rsid w:val="002B5493"/>
    <w:rsid w:val="00324A5B"/>
    <w:rsid w:val="00343214"/>
    <w:rsid w:val="00361C00"/>
    <w:rsid w:val="00395FA1"/>
    <w:rsid w:val="003E15D4"/>
    <w:rsid w:val="003F3A03"/>
    <w:rsid w:val="00411CCE"/>
    <w:rsid w:val="0041666E"/>
    <w:rsid w:val="00421060"/>
    <w:rsid w:val="00471C19"/>
    <w:rsid w:val="004867E3"/>
    <w:rsid w:val="00494A28"/>
    <w:rsid w:val="004B148C"/>
    <w:rsid w:val="004C0004"/>
    <w:rsid w:val="004C5D52"/>
    <w:rsid w:val="0050519A"/>
    <w:rsid w:val="005072A1"/>
    <w:rsid w:val="00514517"/>
    <w:rsid w:val="00545827"/>
    <w:rsid w:val="00560270"/>
    <w:rsid w:val="0058282A"/>
    <w:rsid w:val="005934B0"/>
    <w:rsid w:val="005C2568"/>
    <w:rsid w:val="005F1B17"/>
    <w:rsid w:val="006037C0"/>
    <w:rsid w:val="00637B3A"/>
    <w:rsid w:val="006631B6"/>
    <w:rsid w:val="00680577"/>
    <w:rsid w:val="00690606"/>
    <w:rsid w:val="006C1D0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683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340"/>
    <w:rsid w:val="00D56C11"/>
    <w:rsid w:val="00D834A0"/>
    <w:rsid w:val="00D872DF"/>
    <w:rsid w:val="00D91E21"/>
    <w:rsid w:val="00DA4A7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B9CA9"/>
  <w15:chartTrackingRefBased/>
  <w15:docId w15:val="{7FB5C238-F16C-4384-99FC-89806486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24A5B"/>
    <w:pPr>
      <w:spacing w:before="480" w:after="240"/>
    </w:pPr>
  </w:style>
  <w:style w:type="paragraph" w:customStyle="1" w:styleId="NormalHanging12a">
    <w:name w:val="NormalHanging12a"/>
    <w:basedOn w:val="Normal"/>
    <w:rsid w:val="00324A5B"/>
    <w:pPr>
      <w:spacing w:after="240"/>
      <w:ind w:left="567" w:hanging="567"/>
    </w:pPr>
  </w:style>
  <w:style w:type="character" w:styleId="Hyperlink">
    <w:name w:val="Hyperlink"/>
    <w:basedOn w:val="DefaultParagraphFont"/>
    <w:uiPriority w:val="99"/>
    <w:unhideWhenUsed/>
    <w:rsid w:val="00324A5B"/>
    <w:rPr>
      <w:color w:val="0000FF"/>
      <w:u w:val="single"/>
    </w:rPr>
  </w:style>
  <w:style w:type="character" w:styleId="Emphasis">
    <w:name w:val="Emphasis"/>
    <w:basedOn w:val="DefaultParagraphFont"/>
    <w:uiPriority w:val="20"/>
    <w:qFormat/>
    <w:rsid w:val="00324A5B"/>
    <w:rPr>
      <w:rFonts w:asciiTheme="minorHAnsi" w:hAnsiTheme="minorHAnsi" w:cs="Calibri" w:hint="default"/>
      <w:b/>
      <w:bCs w:val="0"/>
      <w:i/>
      <w:iCs/>
    </w:rPr>
  </w:style>
  <w:style w:type="character" w:styleId="FollowedHyperlink">
    <w:name w:val="FollowedHyperlink"/>
    <w:basedOn w:val="DefaultParagraphFont"/>
    <w:rsid w:val="00637B3A"/>
    <w:rPr>
      <w:color w:val="954F72" w:themeColor="followedHyperlink"/>
      <w:u w:val="single"/>
    </w:rPr>
  </w:style>
  <w:style w:type="paragraph" w:styleId="BalloonText">
    <w:name w:val="Balloon Text"/>
    <w:basedOn w:val="Normal"/>
    <w:link w:val="BalloonTextChar"/>
    <w:rsid w:val="000B73F7"/>
    <w:rPr>
      <w:rFonts w:ascii="Segoe UI" w:hAnsi="Segoe UI" w:cs="Segoe UI"/>
      <w:sz w:val="18"/>
      <w:szCs w:val="18"/>
    </w:rPr>
  </w:style>
  <w:style w:type="character" w:customStyle="1" w:styleId="BalloonTextChar">
    <w:name w:val="Balloon Text Char"/>
    <w:basedOn w:val="DefaultParagraphFont"/>
    <w:link w:val="BalloonText"/>
    <w:rsid w:val="000B73F7"/>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568BB-A618-4F6D-8EFE-6A6EAA0B1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2025-07-22T15:03:00Z</dcterms:created>
  <dcterms:modified xsi:type="dcterms:W3CDTF">2025-07-22T15:03:00Z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B10-0276/2025</vt:lpwstr>
  </property>
  <property fmtid="{D5CDD505-2E9C-101B-9397-08002B2CF9AE}" pid="4" name="&lt;Type&gt;">
    <vt:lpwstr>RR</vt:lpwstr>
  </property>
</Properties>
</file>