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66482" w14:paraId="14EB9DC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275F12F" w14:textId="77777777" w:rsidR="00751A4A" w:rsidRPr="00466482" w:rsidRDefault="00A63DD8" w:rsidP="0010095E">
            <w:pPr>
              <w:pStyle w:val="EPName"/>
            </w:pPr>
            <w:r w:rsidRPr="00466482">
              <w:t>Parlament Ewropew</w:t>
            </w:r>
          </w:p>
          <w:p w14:paraId="61B28FF5" w14:textId="77777777" w:rsidR="00751A4A" w:rsidRPr="0046648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66482">
              <w:t>2024</w:t>
            </w:r>
            <w:r w:rsidR="00817416" w:rsidRPr="00466482">
              <w:t>-202</w:t>
            </w:r>
            <w:r w:rsidRPr="00466482">
              <w:t>9</w:t>
            </w:r>
          </w:p>
        </w:tc>
        <w:tc>
          <w:tcPr>
            <w:tcW w:w="2268" w:type="dxa"/>
            <w:shd w:val="clear" w:color="auto" w:fill="auto"/>
          </w:tcPr>
          <w:p w14:paraId="1A499BD3" w14:textId="77777777" w:rsidR="00751A4A" w:rsidRPr="00466482" w:rsidRDefault="00187494" w:rsidP="0010095E">
            <w:pPr>
              <w:pStyle w:val="EPLogo"/>
            </w:pPr>
            <w:r w:rsidRPr="00466482">
              <w:rPr>
                <w:noProof/>
                <w:lang w:val="en-GB"/>
              </w:rPr>
              <w:drawing>
                <wp:inline distT="0" distB="0" distL="0" distR="0" wp14:anchorId="780A02B7" wp14:editId="33172C3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E0FE67B" w14:textId="77777777" w:rsidR="00D058B8" w:rsidRPr="00466482" w:rsidRDefault="00D058B8" w:rsidP="004C5D52">
      <w:pPr>
        <w:pStyle w:val="LineTop"/>
      </w:pPr>
    </w:p>
    <w:p w14:paraId="3309CFB5" w14:textId="77777777" w:rsidR="00680577" w:rsidRPr="00466482" w:rsidRDefault="00A63DD8" w:rsidP="00680577">
      <w:pPr>
        <w:pStyle w:val="EPBodyTA1"/>
      </w:pPr>
      <w:r w:rsidRPr="00466482">
        <w:t>TESTI ADOTTATI</w:t>
      </w:r>
    </w:p>
    <w:p w14:paraId="1A72101F" w14:textId="77777777" w:rsidR="00D058B8" w:rsidRPr="00466482" w:rsidRDefault="00D058B8" w:rsidP="00D058B8">
      <w:pPr>
        <w:pStyle w:val="LineBottom"/>
      </w:pPr>
    </w:p>
    <w:p w14:paraId="24E14609" w14:textId="77777777" w:rsidR="00A63DD8" w:rsidRPr="00466482" w:rsidRDefault="00A63DD8" w:rsidP="00A63DD8">
      <w:pPr>
        <w:pStyle w:val="ATHeading1"/>
      </w:pPr>
      <w:bookmarkStart w:id="0" w:name="TANumber"/>
      <w:r w:rsidRPr="00466482">
        <w:t>P10_TA(2025)0</w:t>
      </w:r>
      <w:bookmarkEnd w:id="0"/>
      <w:r w:rsidR="00BA3F5D">
        <w:t>125</w:t>
      </w:r>
    </w:p>
    <w:p w14:paraId="714899C3" w14:textId="77777777" w:rsidR="00A63DD8" w:rsidRPr="00466482" w:rsidRDefault="00A63DD8" w:rsidP="00A63DD8">
      <w:pPr>
        <w:pStyle w:val="ATHeading2"/>
      </w:pPr>
      <w:bookmarkStart w:id="1" w:name="title"/>
      <w:r w:rsidRPr="00466482">
        <w:t xml:space="preserve">Assistenza </w:t>
      </w:r>
      <w:proofErr w:type="spellStart"/>
      <w:r w:rsidRPr="00466482">
        <w:t>makrofinanzjarja</w:t>
      </w:r>
      <w:proofErr w:type="spellEnd"/>
      <w:r w:rsidRPr="00466482">
        <w:t xml:space="preserve"> lir-Repubblika Għarbija tal-Eġittu</w:t>
      </w:r>
      <w:bookmarkEnd w:id="1"/>
    </w:p>
    <w:p w14:paraId="093FCD85" w14:textId="77777777" w:rsidR="00A63DD8" w:rsidRPr="00466482" w:rsidRDefault="00A63DD8" w:rsidP="00A63DD8">
      <w:pPr>
        <w:rPr>
          <w:i/>
          <w:vanish/>
        </w:rPr>
      </w:pPr>
      <w:r w:rsidRPr="00466482">
        <w:rPr>
          <w:i/>
        </w:rPr>
        <w:fldChar w:fldCharType="begin"/>
      </w:r>
      <w:r w:rsidRPr="00466482">
        <w:rPr>
          <w:i/>
        </w:rPr>
        <w:instrText xml:space="preserve"> TC"(</w:instrText>
      </w:r>
      <w:bookmarkStart w:id="2" w:name="DocNumber"/>
      <w:r w:rsidRPr="00466482">
        <w:rPr>
          <w:i/>
        </w:rPr>
        <w:instrText>A10-0037/2025</w:instrText>
      </w:r>
      <w:bookmarkEnd w:id="2"/>
      <w:r w:rsidRPr="00466482">
        <w:rPr>
          <w:i/>
        </w:rPr>
        <w:instrText xml:space="preserve"> - Rapporteur: Céline Imart)"\l3 \n&gt; \* MERGEFORMAT </w:instrText>
      </w:r>
      <w:r w:rsidRPr="00466482">
        <w:rPr>
          <w:i/>
        </w:rPr>
        <w:fldChar w:fldCharType="end"/>
      </w:r>
    </w:p>
    <w:p w14:paraId="6FBC2E92" w14:textId="77777777" w:rsidR="00A63DD8" w:rsidRPr="00466482" w:rsidRDefault="00A63DD8" w:rsidP="00A63DD8">
      <w:pPr>
        <w:rPr>
          <w:vanish/>
        </w:rPr>
      </w:pPr>
      <w:bookmarkStart w:id="3" w:name="Commission"/>
      <w:r w:rsidRPr="00466482">
        <w:rPr>
          <w:vanish/>
        </w:rPr>
        <w:t>Kumitat għall-Kummerċ Internazzjonali</w:t>
      </w:r>
      <w:bookmarkEnd w:id="3"/>
    </w:p>
    <w:p w14:paraId="21538D47" w14:textId="77777777" w:rsidR="00A63DD8" w:rsidRPr="00466482" w:rsidRDefault="00A63DD8" w:rsidP="00A63DD8">
      <w:pPr>
        <w:rPr>
          <w:vanish/>
        </w:rPr>
      </w:pPr>
      <w:bookmarkStart w:id="4" w:name="PE"/>
      <w:r w:rsidRPr="00466482">
        <w:rPr>
          <w:vanish/>
        </w:rPr>
        <w:t>PE765.300</w:t>
      </w:r>
      <w:bookmarkEnd w:id="4"/>
    </w:p>
    <w:p w14:paraId="1D5FA88C" w14:textId="77777777" w:rsidR="00A63DD8" w:rsidRPr="00466482" w:rsidRDefault="00A63DD8" w:rsidP="00A63DD8">
      <w:pPr>
        <w:pStyle w:val="ATHeading3"/>
      </w:pPr>
      <w:bookmarkStart w:id="5" w:name="Sujet"/>
      <w:r w:rsidRPr="00466482">
        <w:t xml:space="preserve">Riżoluzzjoni leġiżlattiva tal-Parlament Ewropew tat-18 ta' Ġunju 2025 dwar il-proposta għal deċiżjoni tal-Parlament Ewropew u tal-Kunsill dwar l-għoti ta’ assistenza </w:t>
      </w:r>
      <w:proofErr w:type="spellStart"/>
      <w:r w:rsidRPr="00466482">
        <w:t>makrofinanzjarja</w:t>
      </w:r>
      <w:proofErr w:type="spellEnd"/>
      <w:r w:rsidRPr="00466482">
        <w:t xml:space="preserve"> lir-Repubblika Għarbija tal-Eġittu</w:t>
      </w:r>
      <w:bookmarkEnd w:id="5"/>
      <w:r w:rsidRPr="00466482">
        <w:t xml:space="preserve"> </w:t>
      </w:r>
      <w:bookmarkStart w:id="6" w:name="References"/>
      <w:r w:rsidRPr="00466482">
        <w:t>(COM(2024)0461 – C10-0009/2024 – 2024/0071(COD))</w:t>
      </w:r>
      <w:bookmarkEnd w:id="6"/>
    </w:p>
    <w:p w14:paraId="79D1CED5" w14:textId="77777777" w:rsidR="00054E7B" w:rsidRPr="00466482" w:rsidRDefault="00054E7B" w:rsidP="00054E7B">
      <w:pPr>
        <w:pStyle w:val="NormalBold"/>
      </w:pPr>
      <w:r w:rsidRPr="00466482">
        <w:t>(Proċedura leġiżlattiva ordinarja: l-ewwel qari)</w:t>
      </w:r>
    </w:p>
    <w:p w14:paraId="00F8C8A1" w14:textId="77777777" w:rsidR="00054E7B" w:rsidRPr="00466482" w:rsidRDefault="00054E7B" w:rsidP="00054E7B">
      <w:pPr>
        <w:pStyle w:val="EPComma"/>
      </w:pPr>
      <w:r w:rsidRPr="00466482">
        <w:rPr>
          <w:i/>
        </w:rPr>
        <w:t>Il-Parlament Ewropew</w:t>
      </w:r>
      <w:r w:rsidRPr="00466482">
        <w:t>,</w:t>
      </w:r>
    </w:p>
    <w:p w14:paraId="633576B8" w14:textId="77777777" w:rsidR="00054E7B" w:rsidRPr="00466482" w:rsidRDefault="00054E7B" w:rsidP="00054E7B">
      <w:pPr>
        <w:pStyle w:val="NormalHanging12a"/>
      </w:pPr>
      <w:r w:rsidRPr="00466482">
        <w:t>–</w:t>
      </w:r>
      <w:r w:rsidRPr="00466482">
        <w:tab/>
        <w:t>wara li kkunsidra l-proposta tal-Kummissjoni lill-Parlament Ewropew u lill-Kunsill (COM(2024)0461),</w:t>
      </w:r>
    </w:p>
    <w:p w14:paraId="15184D76" w14:textId="77777777" w:rsidR="00054E7B" w:rsidRPr="00466482" w:rsidRDefault="00054E7B" w:rsidP="00054E7B">
      <w:pPr>
        <w:pStyle w:val="NormalHanging12a"/>
      </w:pPr>
      <w:r w:rsidRPr="00466482">
        <w:t>–</w:t>
      </w:r>
      <w:r w:rsidRPr="00466482">
        <w:tab/>
        <w:t>wara li kkunsidra l-Artikolu 294(2) u l-Artikolu 212 tat-Trattat dwar il-Funzjonament tal-Unjoni Ewropea, skont liema artikoli l-Kummissjoni ppreżentat il-proposta lill-Parlament (C10</w:t>
      </w:r>
      <w:r w:rsidRPr="00466482">
        <w:noBreakHyphen/>
        <w:t>0009/2024),</w:t>
      </w:r>
    </w:p>
    <w:p w14:paraId="606053EC" w14:textId="77777777" w:rsidR="00054E7B" w:rsidRDefault="00054E7B" w:rsidP="00054E7B">
      <w:pPr>
        <w:pStyle w:val="NormalHanging12a"/>
      </w:pPr>
      <w:r w:rsidRPr="00466482">
        <w:t>–</w:t>
      </w:r>
      <w:r w:rsidRPr="00466482">
        <w:tab/>
        <w:t>wara li kkunsidra l-Artikolu 294(3) tat-Trattat dwar il-Funzjonament tal-Unjoni Ewropea,</w:t>
      </w:r>
    </w:p>
    <w:p w14:paraId="6A807D71" w14:textId="77777777" w:rsidR="00685918" w:rsidRPr="00466482" w:rsidRDefault="00685918" w:rsidP="00054E7B">
      <w:pPr>
        <w:pStyle w:val="NormalHanging12a"/>
      </w:pPr>
      <w:r w:rsidRPr="00466482">
        <w:t>–</w:t>
      </w:r>
      <w:r w:rsidRPr="00466482">
        <w:tab/>
      </w:r>
      <w:r w:rsidRPr="00685918">
        <w:t>wara li kkunsidra l-ftehim proviżorju approvat mill-kumitat responsabbli skont l-Artikolu 75(4) tar-Regoli ta' Proċedura tiegħu u l-impenn mogħti mir-rappreżentant tal-Kunsill permezz ta' ittra tat-28 ta' Mejju 2025 li japprova l-pożizzjoni tal-Parlament, skont l-Artikolu 294(4) tat-Trattat dwar il-Funzjonament tal-Unjoni Ewropea,</w:t>
      </w:r>
    </w:p>
    <w:p w14:paraId="5E5949CA" w14:textId="77777777" w:rsidR="00054E7B" w:rsidRPr="00466482" w:rsidRDefault="00054E7B" w:rsidP="00054E7B">
      <w:pPr>
        <w:pStyle w:val="NormalHanging12a"/>
      </w:pPr>
      <w:r w:rsidRPr="00466482">
        <w:t>–</w:t>
      </w:r>
      <w:r w:rsidRPr="00466482">
        <w:tab/>
        <w:t xml:space="preserve">wara li kkunsidra l-valutazzjoni </w:t>
      </w:r>
      <w:proofErr w:type="spellStart"/>
      <w:r w:rsidRPr="00466482">
        <w:t>baġitarja</w:t>
      </w:r>
      <w:proofErr w:type="spellEnd"/>
      <w:r w:rsidRPr="00466482">
        <w:t xml:space="preserve"> meħuda mill-Kumitat għall-Baġits,</w:t>
      </w:r>
    </w:p>
    <w:p w14:paraId="2270C03F" w14:textId="77777777" w:rsidR="00054E7B" w:rsidRPr="00466482" w:rsidRDefault="00054E7B" w:rsidP="00054E7B">
      <w:pPr>
        <w:pStyle w:val="NormalHanging12a"/>
      </w:pPr>
      <w:r w:rsidRPr="00466482">
        <w:t>–</w:t>
      </w:r>
      <w:r w:rsidRPr="00466482">
        <w:tab/>
        <w:t>wara li kkunsidra l-Artikolu 60 tar-Regoli ta’ Proċedura tiegħu,</w:t>
      </w:r>
    </w:p>
    <w:p w14:paraId="5A8C0002" w14:textId="77777777" w:rsidR="00054E7B" w:rsidRPr="00466482" w:rsidRDefault="00054E7B" w:rsidP="00054E7B">
      <w:pPr>
        <w:pStyle w:val="NormalHanging12a"/>
      </w:pPr>
      <w:r w:rsidRPr="00466482">
        <w:t>–</w:t>
      </w:r>
      <w:r w:rsidRPr="00466482">
        <w:tab/>
        <w:t>wara li kkunsidra l-opinjoni tal-Kumitat għall-Affarijiet Barranin,</w:t>
      </w:r>
    </w:p>
    <w:p w14:paraId="47E945BC" w14:textId="77777777" w:rsidR="00054E7B" w:rsidRPr="00466482" w:rsidRDefault="00054E7B" w:rsidP="00054E7B">
      <w:pPr>
        <w:pStyle w:val="NormalHanging12a"/>
      </w:pPr>
      <w:r w:rsidRPr="00466482">
        <w:t>–</w:t>
      </w:r>
      <w:r w:rsidRPr="00466482">
        <w:tab/>
        <w:t>wara li kkunsidra r-rapport tal-Kumitat għall-Kummerċ Internazzjonali (A10-0037/2025),</w:t>
      </w:r>
    </w:p>
    <w:p w14:paraId="5B25248C" w14:textId="77777777" w:rsidR="00054E7B" w:rsidRPr="00466482" w:rsidRDefault="00054E7B" w:rsidP="00054E7B">
      <w:pPr>
        <w:pStyle w:val="NormalHanging12a"/>
      </w:pPr>
      <w:r w:rsidRPr="00466482">
        <w:t>1.</w:t>
      </w:r>
      <w:r w:rsidRPr="00466482">
        <w:tab/>
        <w:t>Jadotta l-pożizzjoni fl-ewwel qari li tidher hawn taħt;</w:t>
      </w:r>
    </w:p>
    <w:p w14:paraId="3AF7F43D" w14:textId="77777777" w:rsidR="00054E7B" w:rsidRPr="00466482" w:rsidRDefault="00054E7B" w:rsidP="00054E7B">
      <w:pPr>
        <w:pStyle w:val="NormalHanging12a"/>
      </w:pPr>
      <w:r w:rsidRPr="00466482">
        <w:lastRenderedPageBreak/>
        <w:t>2.</w:t>
      </w:r>
      <w:r w:rsidRPr="00466482">
        <w:tab/>
        <w:t xml:space="preserve">Jitlob lill-Kummissjoni terġa’ tirreferi l-kwistjoni lill-Parlament jekk tibdel il-proposta tagħha, </w:t>
      </w:r>
      <w:proofErr w:type="spellStart"/>
      <w:r w:rsidRPr="00466482">
        <w:t>temendaha</w:t>
      </w:r>
      <w:proofErr w:type="spellEnd"/>
      <w:r w:rsidRPr="00466482">
        <w:t xml:space="preserve"> b’mod sustanzjali jew ikollha l-ħsieb li </w:t>
      </w:r>
      <w:proofErr w:type="spellStart"/>
      <w:r w:rsidRPr="00466482">
        <w:t>temendaha</w:t>
      </w:r>
      <w:proofErr w:type="spellEnd"/>
      <w:r w:rsidRPr="00466482">
        <w:t xml:space="preserve"> b’mod sustanzjali;</w:t>
      </w:r>
    </w:p>
    <w:p w14:paraId="556198C8" w14:textId="77777777" w:rsidR="00054E7B" w:rsidRPr="00466482" w:rsidRDefault="00054E7B" w:rsidP="00054E7B">
      <w:pPr>
        <w:widowControl/>
        <w:ind w:left="567" w:hanging="567"/>
      </w:pPr>
      <w:r w:rsidRPr="00466482">
        <w:t>3.</w:t>
      </w:r>
      <w:r w:rsidRPr="00466482">
        <w:tab/>
        <w:t>Jagħti istruzzjonijiet lill-President tiegħu biex tgħaddi l-pożizzjoni tal-Parlament lill-Kunsill u lill-Kummissjoni kif ukoll lill-parlamenti nazzjonali.</w:t>
      </w:r>
    </w:p>
    <w:p w14:paraId="1C2F1B95" w14:textId="77777777" w:rsidR="00054E7B" w:rsidRPr="00466482" w:rsidRDefault="00054E7B" w:rsidP="00054E7B">
      <w:pPr>
        <w:widowControl/>
        <w:ind w:left="567" w:hanging="567"/>
      </w:pPr>
    </w:p>
    <w:p w14:paraId="5641DE52" w14:textId="77777777" w:rsidR="00CD4C15" w:rsidRDefault="00CD4C15">
      <w:pPr>
        <w:widowControl/>
      </w:pPr>
      <w:r>
        <w:br w:type="page"/>
      </w:r>
    </w:p>
    <w:p w14:paraId="37FADCA9" w14:textId="77777777" w:rsidR="00685918" w:rsidRPr="00685918" w:rsidRDefault="00685918" w:rsidP="00933D54">
      <w:pPr>
        <w:autoSpaceDE w:val="0"/>
        <w:autoSpaceDN w:val="0"/>
        <w:adjustRightInd w:val="0"/>
        <w:spacing w:after="240"/>
        <w:rPr>
          <w:bCs/>
        </w:rPr>
      </w:pPr>
      <w:r w:rsidRPr="00685918">
        <w:rPr>
          <w:b/>
          <w:bCs/>
        </w:rPr>
        <w:lastRenderedPageBreak/>
        <w:t>P10_TC1-COD(2024)0071</w:t>
      </w:r>
    </w:p>
    <w:p w14:paraId="2DF01650" w14:textId="77777777" w:rsidR="00CD4C15" w:rsidRDefault="00685918" w:rsidP="00685918">
      <w:pPr>
        <w:autoSpaceDE w:val="0"/>
        <w:autoSpaceDN w:val="0"/>
        <w:adjustRightInd w:val="0"/>
        <w:spacing w:after="240"/>
        <w:rPr>
          <w:color w:val="000000"/>
        </w:rPr>
      </w:pPr>
      <w:r w:rsidRPr="00685918">
        <w:rPr>
          <w:b/>
          <w:bCs/>
        </w:rPr>
        <w:t>Pożizzjoni tal-Parlament Ewropew adottata fl-ewwel qari fit-18 ta' Ġunju 2025 bil-ħsieb tal-adozzjoni tad-Deċiżjoni (UE) 2025/… tal-Parlament Ewropew u tal-Kunsill</w:t>
      </w:r>
      <w:bookmarkStart w:id="7" w:name="_DV_M1"/>
      <w:bookmarkStart w:id="8" w:name="_DV_M2"/>
      <w:bookmarkEnd w:id="7"/>
      <w:bookmarkEnd w:id="8"/>
      <w:r>
        <w:rPr>
          <w:b/>
          <w:bCs/>
        </w:rPr>
        <w:t xml:space="preserve"> </w:t>
      </w:r>
      <w:r w:rsidR="00CD4C15" w:rsidRPr="00685918">
        <w:rPr>
          <w:b/>
          <w:color w:val="000000"/>
        </w:rPr>
        <w:t xml:space="preserve">li tipprovdi assistenza </w:t>
      </w:r>
      <w:proofErr w:type="spellStart"/>
      <w:r w:rsidR="00CD4C15" w:rsidRPr="00685918">
        <w:rPr>
          <w:b/>
          <w:color w:val="000000"/>
        </w:rPr>
        <w:t>makrofinanzjarja</w:t>
      </w:r>
      <w:proofErr w:type="spellEnd"/>
      <w:r w:rsidR="00CD4C15" w:rsidRPr="00685918">
        <w:rPr>
          <w:b/>
          <w:color w:val="000000"/>
        </w:rPr>
        <w:t xml:space="preserve"> lir-Repubblika Għarbija tal-Eġittu</w:t>
      </w:r>
    </w:p>
    <w:p w14:paraId="6B24A63B" w14:textId="7E21047F" w:rsidR="00054E7B" w:rsidRPr="00250ED5" w:rsidRDefault="00250ED5" w:rsidP="00250ED5">
      <w:pPr>
        <w:widowControl/>
        <w:jc w:val="both"/>
        <w:rPr>
          <w:rFonts w:eastAsia="Calibri"/>
          <w:i/>
          <w:szCs w:val="24"/>
          <w:lang w:eastAsia="en-US"/>
        </w:rPr>
      </w:pPr>
      <w:r w:rsidRPr="00250ED5">
        <w:rPr>
          <w:rFonts w:eastAsia="Calibri"/>
          <w:i/>
          <w:szCs w:val="24"/>
          <w:lang w:eastAsia="en-US"/>
        </w:rPr>
        <w:t xml:space="preserve">(Peress li ntlaħaq ftehim bejn il-Parlament u l-Kunsill, il-pożizzjoni tal-Parlament taqbel mal-att leġiżlattiv finali, </w:t>
      </w:r>
      <w:r w:rsidRPr="00250ED5">
        <w:rPr>
          <w:rFonts w:eastAsia="Calibri"/>
          <w:i/>
          <w:szCs w:val="24"/>
          <w:lang w:eastAsia="en-US"/>
        </w:rPr>
        <w:t>id-Deċiżjoni</w:t>
      </w:r>
      <w:r w:rsidRPr="00250ED5">
        <w:rPr>
          <w:rFonts w:eastAsia="Calibri"/>
          <w:i/>
          <w:szCs w:val="24"/>
          <w:lang w:eastAsia="en-US"/>
        </w:rPr>
        <w:t xml:space="preserve"> (UE) </w:t>
      </w:r>
      <w:r w:rsidRPr="00250ED5">
        <w:rPr>
          <w:rFonts w:eastAsia="Calibri"/>
          <w:i/>
          <w:szCs w:val="24"/>
          <w:lang w:eastAsia="en-US"/>
        </w:rPr>
        <w:t>2025</w:t>
      </w:r>
      <w:r w:rsidRPr="00250ED5">
        <w:rPr>
          <w:rFonts w:eastAsia="Calibri"/>
          <w:i/>
          <w:szCs w:val="24"/>
          <w:lang w:eastAsia="en-US"/>
        </w:rPr>
        <w:t>/</w:t>
      </w:r>
      <w:r w:rsidRPr="00250ED5">
        <w:rPr>
          <w:rFonts w:eastAsia="Calibri"/>
          <w:i/>
          <w:szCs w:val="24"/>
          <w:lang w:eastAsia="en-US"/>
        </w:rPr>
        <w:t>1267</w:t>
      </w:r>
      <w:r w:rsidRPr="00250ED5">
        <w:rPr>
          <w:rFonts w:eastAsia="Calibri"/>
          <w:i/>
          <w:szCs w:val="24"/>
          <w:lang w:eastAsia="en-US"/>
        </w:rPr>
        <w:t>.)</w:t>
      </w:r>
    </w:p>
    <w:sectPr w:rsidR="00054E7B" w:rsidRPr="00250ED5" w:rsidSect="0046648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D4CDAC" w14:textId="77777777" w:rsidR="00A63DD8" w:rsidRPr="00466482" w:rsidRDefault="00A63DD8">
      <w:r w:rsidRPr="00466482">
        <w:separator/>
      </w:r>
    </w:p>
  </w:endnote>
  <w:endnote w:type="continuationSeparator" w:id="0">
    <w:p w14:paraId="11FEDA73" w14:textId="77777777" w:rsidR="00A63DD8" w:rsidRPr="00466482" w:rsidRDefault="00A63DD8">
      <w:r w:rsidRPr="0046648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2AF472" w14:textId="77777777" w:rsidR="00064002" w:rsidRPr="0046648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1806C8" w14:textId="77777777" w:rsidR="00064002" w:rsidRPr="0046648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9A0243" w14:textId="77777777" w:rsidR="00064002" w:rsidRPr="0046648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7F9B0F" w14:textId="77777777" w:rsidR="00A63DD8" w:rsidRPr="00466482" w:rsidRDefault="00A63DD8">
      <w:r w:rsidRPr="00466482">
        <w:separator/>
      </w:r>
    </w:p>
  </w:footnote>
  <w:footnote w:type="continuationSeparator" w:id="0">
    <w:p w14:paraId="29F5DE14" w14:textId="77777777" w:rsidR="00A63DD8" w:rsidRPr="00466482" w:rsidRDefault="00A63DD8">
      <w:r w:rsidRPr="0046648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75CC8B" w14:textId="77777777" w:rsidR="00064002" w:rsidRPr="0046648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6E0976" w14:textId="77777777" w:rsidR="00064002" w:rsidRPr="0046648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B467D5" w14:textId="77777777" w:rsidR="00064002" w:rsidRPr="0046648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820003536">
    <w:abstractNumId w:val="9"/>
  </w:num>
  <w:num w:numId="2" w16cid:durableId="1175412819">
    <w:abstractNumId w:val="9"/>
  </w:num>
  <w:num w:numId="3" w16cid:durableId="1073432358">
    <w:abstractNumId w:val="7"/>
  </w:num>
  <w:num w:numId="4" w16cid:durableId="757869263">
    <w:abstractNumId w:val="7"/>
  </w:num>
  <w:num w:numId="5" w16cid:durableId="1149518428">
    <w:abstractNumId w:val="6"/>
  </w:num>
  <w:num w:numId="6" w16cid:durableId="1854222383">
    <w:abstractNumId w:val="6"/>
  </w:num>
  <w:num w:numId="7" w16cid:durableId="892228328">
    <w:abstractNumId w:val="5"/>
  </w:num>
  <w:num w:numId="8" w16cid:durableId="1629121150">
    <w:abstractNumId w:val="5"/>
  </w:num>
  <w:num w:numId="9" w16cid:durableId="1505050942">
    <w:abstractNumId w:val="4"/>
  </w:num>
  <w:num w:numId="10" w16cid:durableId="422915200">
    <w:abstractNumId w:val="4"/>
  </w:num>
  <w:num w:numId="11" w16cid:durableId="1844196753">
    <w:abstractNumId w:val="8"/>
  </w:num>
  <w:num w:numId="12" w16cid:durableId="232472444">
    <w:abstractNumId w:val="8"/>
  </w:num>
  <w:num w:numId="13" w16cid:durableId="1658875166">
    <w:abstractNumId w:val="3"/>
  </w:num>
  <w:num w:numId="14" w16cid:durableId="1315523134">
    <w:abstractNumId w:val="3"/>
  </w:num>
  <w:num w:numId="15" w16cid:durableId="607927306">
    <w:abstractNumId w:val="2"/>
  </w:num>
  <w:num w:numId="16" w16cid:durableId="287980459">
    <w:abstractNumId w:val="2"/>
  </w:num>
  <w:num w:numId="17" w16cid:durableId="1455560741">
    <w:abstractNumId w:val="1"/>
  </w:num>
  <w:num w:numId="18" w16cid:durableId="191115490">
    <w:abstractNumId w:val="1"/>
  </w:num>
  <w:num w:numId="19" w16cid:durableId="1480882422">
    <w:abstractNumId w:val="0"/>
  </w:num>
  <w:num w:numId="20" w16cid:durableId="1506824910">
    <w:abstractNumId w:val="0"/>
  </w:num>
  <w:num w:numId="21" w16cid:durableId="1087965768">
    <w:abstractNumId w:val="9"/>
  </w:num>
  <w:num w:numId="22" w16cid:durableId="1823278102">
    <w:abstractNumId w:val="7"/>
  </w:num>
  <w:num w:numId="23" w16cid:durableId="1845047756">
    <w:abstractNumId w:val="6"/>
  </w:num>
  <w:num w:numId="24" w16cid:durableId="653871104">
    <w:abstractNumId w:val="5"/>
  </w:num>
  <w:num w:numId="25" w16cid:durableId="1139809035">
    <w:abstractNumId w:val="4"/>
  </w:num>
  <w:num w:numId="26" w16cid:durableId="588589182">
    <w:abstractNumId w:val="8"/>
  </w:num>
  <w:num w:numId="27" w16cid:durableId="373848046">
    <w:abstractNumId w:val="3"/>
  </w:num>
  <w:num w:numId="28" w16cid:durableId="726416816">
    <w:abstractNumId w:val="2"/>
  </w:num>
  <w:num w:numId="29" w16cid:durableId="863203633">
    <w:abstractNumId w:val="1"/>
  </w:num>
  <w:num w:numId="30" w16cid:durableId="285934877">
    <w:abstractNumId w:val="0"/>
  </w:num>
  <w:num w:numId="31" w16cid:durableId="1611931486">
    <w:abstractNumId w:val="9"/>
  </w:num>
  <w:num w:numId="32" w16cid:durableId="85855968">
    <w:abstractNumId w:val="7"/>
  </w:num>
  <w:num w:numId="33" w16cid:durableId="350690911">
    <w:abstractNumId w:val="6"/>
  </w:num>
  <w:num w:numId="34" w16cid:durableId="2027823476">
    <w:abstractNumId w:val="5"/>
  </w:num>
  <w:num w:numId="35" w16cid:durableId="81493303">
    <w:abstractNumId w:val="4"/>
  </w:num>
  <w:num w:numId="36" w16cid:durableId="201749993">
    <w:abstractNumId w:val="8"/>
  </w:num>
  <w:num w:numId="37" w16cid:durableId="439223344">
    <w:abstractNumId w:val="3"/>
  </w:num>
  <w:num w:numId="38" w16cid:durableId="27536332">
    <w:abstractNumId w:val="2"/>
  </w:num>
  <w:num w:numId="39" w16cid:durableId="1237863697">
    <w:abstractNumId w:val="1"/>
  </w:num>
  <w:num w:numId="40" w16cid:durableId="1853032363">
    <w:abstractNumId w:val="0"/>
  </w:num>
  <w:num w:numId="41" w16cid:durableId="1002128801">
    <w:abstractNumId w:val="10"/>
  </w:num>
  <w:num w:numId="42" w16cid:durableId="987398061">
    <w:abstractNumId w:val="10"/>
  </w:num>
  <w:num w:numId="43" w16cid:durableId="2056880045">
    <w:abstractNumId w:val="10"/>
  </w:num>
  <w:num w:numId="44" w16cid:durableId="148158063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37/2025"/>
    <w:docVar w:name="dvlangue" w:val="MT"/>
    <w:docVar w:name="dvnumam" w:val="41"/>
    <w:docVar w:name="dvpe" w:val="765.300"/>
    <w:docVar w:name="dvrapporteur" w:val="Rapporteur: "/>
    <w:docVar w:name="dvstar" w:val="***I"/>
    <w:docVar w:name="dvtitre" w:val="Riżoluzzjoni leġiżlattiva tal-Parlament Ewropew tat-18 ta' Ġunju 2025 dwar il-proposta għal deċiżjoni tal-Parlament Ewropew u tal-Kunsill dwar l-għoti ta’ assistenza makrofinanzjarja lir-Repubblika Għarbija tal-Eġittu(COM(2024)0461 – C10-0009/2024 – 2024/0071(COD))"/>
  </w:docVars>
  <w:rsids>
    <w:rsidRoot w:val="00A63DD8"/>
    <w:rsid w:val="00002272"/>
    <w:rsid w:val="00054E7B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50ED5"/>
    <w:rsid w:val="002767FF"/>
    <w:rsid w:val="002B18FE"/>
    <w:rsid w:val="002B5493"/>
    <w:rsid w:val="00343214"/>
    <w:rsid w:val="00361C00"/>
    <w:rsid w:val="00395FA1"/>
    <w:rsid w:val="003B4A2B"/>
    <w:rsid w:val="003E15D4"/>
    <w:rsid w:val="00411CCE"/>
    <w:rsid w:val="0041666E"/>
    <w:rsid w:val="00421060"/>
    <w:rsid w:val="00466482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85918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33D54"/>
    <w:rsid w:val="009509D8"/>
    <w:rsid w:val="00950B64"/>
    <w:rsid w:val="00981893"/>
    <w:rsid w:val="00A1687D"/>
    <w:rsid w:val="00A43E52"/>
    <w:rsid w:val="00A4678D"/>
    <w:rsid w:val="00A63DD8"/>
    <w:rsid w:val="00A778C7"/>
    <w:rsid w:val="00AB441E"/>
    <w:rsid w:val="00AB6293"/>
    <w:rsid w:val="00AE0928"/>
    <w:rsid w:val="00AF3B82"/>
    <w:rsid w:val="00B12E95"/>
    <w:rsid w:val="00B22876"/>
    <w:rsid w:val="00B558F0"/>
    <w:rsid w:val="00BA3F5D"/>
    <w:rsid w:val="00BD48FE"/>
    <w:rsid w:val="00BD7BD8"/>
    <w:rsid w:val="00BE6ADC"/>
    <w:rsid w:val="00C05BFE"/>
    <w:rsid w:val="00C23CD4"/>
    <w:rsid w:val="00C61C0C"/>
    <w:rsid w:val="00C941CB"/>
    <w:rsid w:val="00CC2357"/>
    <w:rsid w:val="00CD4C15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71BCCF"/>
  <w15:chartTrackingRefBased/>
  <w15:docId w15:val="{49300B06-4BCC-4BE2-A40B-D17E85733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link w:val="BVIfnrCharCharCharCharCharChar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054E7B"/>
    <w:pPr>
      <w:spacing w:after="120"/>
    </w:pPr>
  </w:style>
  <w:style w:type="paragraph" w:customStyle="1" w:styleId="NormalBold">
    <w:name w:val="NormalBold"/>
    <w:basedOn w:val="Normal"/>
    <w:link w:val="NormalBoldChar"/>
    <w:rsid w:val="00054E7B"/>
    <w:rPr>
      <w:b/>
    </w:rPr>
  </w:style>
  <w:style w:type="paragraph" w:customStyle="1" w:styleId="NormalHanging12a">
    <w:name w:val="NormalHanging12a"/>
    <w:basedOn w:val="Normal"/>
    <w:link w:val="NormalHanging12aChar"/>
    <w:rsid w:val="00054E7B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054E7B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054E7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054E7B"/>
    <w:pPr>
      <w:spacing w:before="240"/>
    </w:pPr>
    <w:rPr>
      <w:b/>
    </w:rPr>
  </w:style>
  <w:style w:type="paragraph" w:customStyle="1" w:styleId="EPComma">
    <w:name w:val="EPComma"/>
    <w:basedOn w:val="Normal"/>
    <w:rsid w:val="00054E7B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locked/>
    <w:rsid w:val="00054E7B"/>
    <w:rPr>
      <w:b/>
      <w:sz w:val="24"/>
      <w:lang w:val="mt-MT"/>
    </w:rPr>
  </w:style>
  <w:style w:type="character" w:customStyle="1" w:styleId="NormalHanging12aChar">
    <w:name w:val="NormalHanging12a Char"/>
    <w:basedOn w:val="DefaultParagraphFont"/>
    <w:link w:val="NormalHanging12a"/>
    <w:locked/>
    <w:rsid w:val="00054E7B"/>
    <w:rPr>
      <w:sz w:val="24"/>
      <w:lang w:val="mt-MT"/>
    </w:rPr>
  </w:style>
  <w:style w:type="character" w:customStyle="1" w:styleId="Normal6Char">
    <w:name w:val="Normal6 Char"/>
    <w:basedOn w:val="DefaultParagraphFont"/>
    <w:link w:val="Normal6"/>
    <w:locked/>
    <w:rsid w:val="00054E7B"/>
    <w:rPr>
      <w:sz w:val="24"/>
      <w:lang w:val="mt-MT"/>
    </w:rPr>
  </w:style>
  <w:style w:type="paragraph" w:customStyle="1" w:styleId="Normal6">
    <w:name w:val="Normal6"/>
    <w:basedOn w:val="Normal"/>
    <w:link w:val="Normal6Char"/>
    <w:rsid w:val="00054E7B"/>
    <w:pPr>
      <w:spacing w:after="120"/>
    </w:pPr>
  </w:style>
  <w:style w:type="paragraph" w:customStyle="1" w:styleId="ColumnHeading">
    <w:name w:val="ColumnHeading"/>
    <w:basedOn w:val="Normal"/>
    <w:rsid w:val="00054E7B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054E7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styleId="Hyperlink">
    <w:name w:val="Hyperlink"/>
    <w:basedOn w:val="DefaultParagraphFont"/>
    <w:rsid w:val="00054E7B"/>
    <w:rPr>
      <w:color w:val="0563C1" w:themeColor="hyperlink"/>
      <w:u w:val="single"/>
    </w:rPr>
  </w:style>
  <w:style w:type="character" w:customStyle="1" w:styleId="AmNumberTabsChar">
    <w:name w:val="AmNumberTabs Char"/>
    <w:basedOn w:val="DefaultParagraphFont"/>
    <w:link w:val="AmNumberTabs"/>
    <w:rsid w:val="00054E7B"/>
    <w:rPr>
      <w:b/>
      <w:sz w:val="24"/>
      <w:lang w:val="mt-MT"/>
    </w:rPr>
  </w:style>
  <w:style w:type="character" w:customStyle="1" w:styleId="NormalBold12bChar">
    <w:name w:val="NormalBold12b Char"/>
    <w:basedOn w:val="AmNumberTabsChar"/>
    <w:link w:val="NormalBold12b"/>
    <w:rsid w:val="00054E7B"/>
    <w:rPr>
      <w:b/>
      <w:sz w:val="24"/>
      <w:lang w:val="mt-MT"/>
    </w:rPr>
  </w:style>
  <w:style w:type="paragraph" w:customStyle="1" w:styleId="Text1">
    <w:name w:val="Text 1"/>
    <w:basedOn w:val="Normal"/>
    <w:rsid w:val="00CD4C15"/>
    <w:pPr>
      <w:widowControl/>
      <w:spacing w:before="120" w:after="120" w:line="360" w:lineRule="auto"/>
      <w:ind w:left="850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CD4C15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CD4C15"/>
    <w:pPr>
      <w:widowControl/>
      <w:spacing w:before="120" w:after="120" w:line="360" w:lineRule="auto"/>
      <w:ind w:left="1417" w:hanging="567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CD4C15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CD4C15"/>
    <w:pPr>
      <w:keepNext/>
      <w:widowControl/>
      <w:tabs>
        <w:tab w:val="left" w:pos="5669"/>
      </w:tabs>
      <w:spacing w:before="720" w:line="360" w:lineRule="auto"/>
    </w:pPr>
    <w:rPr>
      <w:rFonts w:eastAsiaTheme="minorHAnsi"/>
      <w:i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CD4C15"/>
    <w:pPr>
      <w:keepNext/>
      <w:widowControl/>
      <w:spacing w:before="120" w:line="360" w:lineRule="auto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CD4C15"/>
    <w:pPr>
      <w:keepNext/>
      <w:widowControl/>
      <w:spacing w:before="360" w:after="120" w:line="360" w:lineRule="auto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CD4C15"/>
    <w:pPr>
      <w:keepNext/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CD4C15"/>
    <w:pPr>
      <w:keepNext/>
      <w:widowControl/>
      <w:spacing w:before="600" w:after="120" w:line="360" w:lineRule="auto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CD4C15"/>
    <w:pPr>
      <w:widowControl/>
      <w:tabs>
        <w:tab w:val="left" w:pos="5669"/>
      </w:tabs>
      <w:spacing w:line="360" w:lineRule="auto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CD4C15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Sous-titreobjet">
    <w:name w:val="Sous-titre objet"/>
    <w:basedOn w:val="Normal"/>
    <w:rsid w:val="00CD4C15"/>
    <w:pPr>
      <w:widowControl/>
      <w:spacing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CD4C15"/>
    <w:pPr>
      <w:widowControl/>
      <w:spacing w:before="360" w:after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Normal"/>
    <w:rsid w:val="00CD4C15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BVIfnrCharCharCharCharCharChar">
    <w:name w:val="BVI fnr Char Char Char Char Char Char"/>
    <w:basedOn w:val="Normal"/>
    <w:link w:val="FootnoteReference"/>
    <w:uiPriority w:val="99"/>
    <w:rsid w:val="00CD4C15"/>
    <w:pPr>
      <w:widowControl/>
    </w:pPr>
    <w:rPr>
      <w:sz w:val="20"/>
      <w:vertAlign w:val="superscript"/>
      <w:lang w:val="en-GB"/>
    </w:rPr>
  </w:style>
  <w:style w:type="character" w:styleId="CommentReference">
    <w:name w:val="annotation reference"/>
    <w:basedOn w:val="DefaultParagraphFont"/>
    <w:rsid w:val="00685918"/>
    <w:rPr>
      <w:sz w:val="16"/>
      <w:szCs w:val="16"/>
    </w:rPr>
  </w:style>
  <w:style w:type="paragraph" w:styleId="CommentText">
    <w:name w:val="annotation text"/>
    <w:basedOn w:val="Normal"/>
    <w:link w:val="CommentTextChar"/>
    <w:rsid w:val="00685918"/>
    <w:rPr>
      <w:sz w:val="20"/>
      <w:lang w:val="en-GB"/>
    </w:rPr>
  </w:style>
  <w:style w:type="character" w:customStyle="1" w:styleId="CommentTextChar">
    <w:name w:val="Comment Text Char"/>
    <w:basedOn w:val="DefaultParagraphFont"/>
    <w:link w:val="CommentText"/>
    <w:rsid w:val="00685918"/>
  </w:style>
  <w:style w:type="paragraph" w:styleId="BalloonText">
    <w:name w:val="Balloon Text"/>
    <w:basedOn w:val="Normal"/>
    <w:link w:val="BalloonTextChar"/>
    <w:rsid w:val="0068591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85918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822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A54A04-473A-427C-AA89-2562EB188E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247</Words>
  <Characters>2186</Characters>
  <Application>Microsoft Office Word</Application>
  <DocSecurity>0</DocSecurity>
  <Lines>18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ZAHRA Ritienne</dc:creator>
  <cp:keywords/>
  <cp:lastModifiedBy>CAMILLERI Denise</cp:lastModifiedBy>
  <cp:revision>2</cp:revision>
  <cp:lastPrinted>2004-11-19T15:42:00Z</cp:lastPrinted>
  <dcterms:created xsi:type="dcterms:W3CDTF">2025-09-25T08:31:00Z</dcterms:created>
  <dcterms:modified xsi:type="dcterms:W3CDTF">2025-09-25T08:31:00Z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P10_TA(2025)0125_</vt:lpwstr>
  </property>
  <property fmtid="{D5CDD505-2E9C-101B-9397-08002B2CF9AE}" pid="4" name="&lt;Type&gt;">
    <vt:lpwstr>RR</vt:lpwstr>
  </property>
</Properties>
</file>