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4EB" w14:paraId="03637E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B2E0D4" w14:textId="77777777" w:rsidR="00751A4A" w:rsidRPr="00FF54EB" w:rsidRDefault="00B61968" w:rsidP="0010095E">
            <w:pPr>
              <w:pStyle w:val="EPName"/>
            </w:pPr>
            <w:r w:rsidRPr="009B485B">
              <w:t>Europa-Parlamentet</w:t>
            </w:r>
          </w:p>
          <w:p w14:paraId="7467E441" w14:textId="77777777" w:rsidR="00751A4A" w:rsidRPr="00FF54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4EB">
              <w:t>2024</w:t>
            </w:r>
            <w:r w:rsidR="00817416" w:rsidRPr="00FF54EB">
              <w:t>-202</w:t>
            </w:r>
            <w:r w:rsidRPr="00FF54EB">
              <w:t>9</w:t>
            </w:r>
          </w:p>
        </w:tc>
        <w:tc>
          <w:tcPr>
            <w:tcW w:w="2268" w:type="dxa"/>
            <w:shd w:val="clear" w:color="auto" w:fill="auto"/>
          </w:tcPr>
          <w:p w14:paraId="50AC7724" w14:textId="77777777" w:rsidR="00751A4A" w:rsidRPr="009B485B" w:rsidRDefault="00187494" w:rsidP="0010095E">
            <w:pPr>
              <w:pStyle w:val="EPLogo"/>
            </w:pPr>
            <w:r w:rsidRPr="009B485B">
              <w:rPr>
                <w:noProof/>
                <w:lang w:val="en-GB"/>
              </w:rPr>
              <w:drawing>
                <wp:inline distT="0" distB="0" distL="0" distR="0" wp14:anchorId="4FB31745" wp14:editId="24908D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0F5C5" w14:textId="77777777" w:rsidR="00D058B8" w:rsidRPr="00FF54EB" w:rsidRDefault="00D058B8" w:rsidP="004C5D52">
      <w:pPr>
        <w:pStyle w:val="LineTop"/>
      </w:pPr>
    </w:p>
    <w:p w14:paraId="0EE13E64" w14:textId="77777777" w:rsidR="00680577" w:rsidRPr="00FF54EB" w:rsidRDefault="00B61968" w:rsidP="00680577">
      <w:pPr>
        <w:pStyle w:val="EPBodyTA1"/>
      </w:pPr>
      <w:r w:rsidRPr="00FF54EB">
        <w:t>VEDTAGNE TEKSTER</w:t>
      </w:r>
    </w:p>
    <w:p w14:paraId="7223422A" w14:textId="77777777" w:rsidR="00D058B8" w:rsidRPr="00FF54EB" w:rsidRDefault="00D058B8" w:rsidP="00D058B8">
      <w:pPr>
        <w:pStyle w:val="LineBottom"/>
      </w:pPr>
    </w:p>
    <w:p w14:paraId="4DAE3C2B" w14:textId="4AED6A4C" w:rsidR="00B61968" w:rsidRPr="004F77D6" w:rsidRDefault="00B61968" w:rsidP="00B61968">
      <w:pPr>
        <w:pStyle w:val="ATHeading1"/>
      </w:pPr>
      <w:bookmarkStart w:id="0" w:name="TANumber"/>
      <w:r w:rsidRPr="004F77D6">
        <w:t>P10_TA(2025)0</w:t>
      </w:r>
      <w:r w:rsidR="00753189">
        <w:t>126</w:t>
      </w:r>
      <w:bookmarkEnd w:id="0"/>
    </w:p>
    <w:p w14:paraId="304721A7" w14:textId="77777777" w:rsidR="00B61968" w:rsidRPr="004F77D6" w:rsidRDefault="00B61968" w:rsidP="00B61968">
      <w:pPr>
        <w:pStyle w:val="ATHeading2"/>
      </w:pPr>
      <w:bookmarkStart w:id="1" w:name="title"/>
      <w:r w:rsidRPr="004F77D6">
        <w:t>Unionens vedtagelse af aftalen om fortolkningen og anvendelsen af energichartertraktaten</w:t>
      </w:r>
      <w:bookmarkEnd w:id="1"/>
    </w:p>
    <w:p w14:paraId="33E2C9F4" w14:textId="77777777" w:rsidR="00B61968" w:rsidRPr="009B485B" w:rsidRDefault="00B61968" w:rsidP="00B61968">
      <w:pPr>
        <w:rPr>
          <w:i/>
          <w:vanish/>
        </w:rPr>
      </w:pPr>
      <w:r w:rsidRPr="009B485B">
        <w:rPr>
          <w:i/>
        </w:rPr>
        <w:fldChar w:fldCharType="begin"/>
      </w:r>
      <w:r w:rsidRPr="009B485B">
        <w:rPr>
          <w:i/>
        </w:rPr>
        <w:instrText xml:space="preserve"> TC"(</w:instrText>
      </w:r>
      <w:bookmarkStart w:id="2" w:name="DocNumber"/>
      <w:r w:rsidRPr="009B485B">
        <w:rPr>
          <w:i/>
        </w:rPr>
        <w:instrText>A10-0009/2025</w:instrText>
      </w:r>
      <w:bookmarkEnd w:id="2"/>
      <w:r w:rsidRPr="009B485B">
        <w:rPr>
          <w:i/>
        </w:rPr>
        <w:instrText xml:space="preserve"> - Ordfører: Anna Cavazzini, Borys Budka)"\l3 \n&gt; \* MERGEFORMAT </w:instrText>
      </w:r>
      <w:r w:rsidRPr="009B485B">
        <w:rPr>
          <w:i/>
        </w:rPr>
        <w:fldChar w:fldCharType="end"/>
      </w:r>
    </w:p>
    <w:p w14:paraId="1E6A57A8" w14:textId="77777777" w:rsidR="00B61968" w:rsidRPr="004F77D6" w:rsidRDefault="00B61968" w:rsidP="00B61968">
      <w:pPr>
        <w:rPr>
          <w:vanish/>
        </w:rPr>
      </w:pPr>
      <w:bookmarkStart w:id="3" w:name="Commission"/>
      <w:r w:rsidRPr="00FF54EB">
        <w:rPr>
          <w:vanish/>
        </w:rPr>
        <w:t xml:space="preserve">Udvalget om </w:t>
      </w:r>
      <w:r w:rsidRPr="004F77D6">
        <w:rPr>
          <w:vanish/>
        </w:rPr>
        <w:t>International Handel, Udvalget om Industri, Forskning og Energi</w:t>
      </w:r>
      <w:bookmarkEnd w:id="3"/>
    </w:p>
    <w:p w14:paraId="70B17C7A" w14:textId="77777777" w:rsidR="00B61968" w:rsidRPr="004F77D6" w:rsidRDefault="00B61968" w:rsidP="00B61968">
      <w:pPr>
        <w:rPr>
          <w:vanish/>
        </w:rPr>
      </w:pPr>
      <w:bookmarkStart w:id="4" w:name="PE"/>
      <w:r w:rsidRPr="004F77D6">
        <w:rPr>
          <w:vanish/>
        </w:rPr>
        <w:t>PE767.940</w:t>
      </w:r>
      <w:bookmarkEnd w:id="4"/>
    </w:p>
    <w:p w14:paraId="64015A37" w14:textId="7E4C6624" w:rsidR="00B61968" w:rsidRPr="004F77D6" w:rsidRDefault="00B61968" w:rsidP="00B61968">
      <w:pPr>
        <w:pStyle w:val="ATHeading3"/>
      </w:pPr>
      <w:bookmarkStart w:id="5" w:name="Sujet"/>
      <w:r w:rsidRPr="004F77D6">
        <w:t xml:space="preserve">Europa-Parlamentets lovgivningsmæssige beslutning af </w:t>
      </w:r>
      <w:r w:rsidR="000C13A3" w:rsidRPr="004F77D6">
        <w:t>18</w:t>
      </w:r>
      <w:r w:rsidRPr="004F77D6">
        <w:t>. juni 2025 om forslag til Europa-Parlamentets og Rådets afgørelse om Unionens vedtagelse af aftalen om fortolkningen og anvendelsen af energichartertraktaten mellem Den Europæiske Union, Det Europæiske Atomenergifællesskab og deres medlemsstater</w:t>
      </w:r>
      <w:bookmarkEnd w:id="5"/>
      <w:r w:rsidRPr="004F77D6">
        <w:t xml:space="preserve"> </w:t>
      </w:r>
      <w:bookmarkStart w:id="6" w:name="References"/>
      <w:r w:rsidRPr="004F77D6">
        <w:t>(</w:t>
      </w:r>
      <w:proofErr w:type="gramStart"/>
      <w:r w:rsidRPr="004F77D6">
        <w:t>COM(</w:t>
      </w:r>
      <w:proofErr w:type="gramEnd"/>
      <w:r w:rsidRPr="004F77D6">
        <w:t>2024)0257 – C10-0058/2024 – 2024/0148(COD))</w:t>
      </w:r>
      <w:bookmarkEnd w:id="6"/>
    </w:p>
    <w:p w14:paraId="22EEE09A" w14:textId="77777777" w:rsidR="00B61968" w:rsidRPr="009B485B" w:rsidRDefault="00B61968" w:rsidP="00B61968"/>
    <w:p w14:paraId="412B27A5" w14:textId="77777777" w:rsidR="001C6029" w:rsidRPr="004F77D6" w:rsidRDefault="001C6029" w:rsidP="001C6029">
      <w:pPr>
        <w:pStyle w:val="NormalBold"/>
      </w:pPr>
      <w:bookmarkStart w:id="7" w:name="TextBodyBegin"/>
      <w:bookmarkEnd w:id="7"/>
      <w:r w:rsidRPr="004F77D6">
        <w:t>(Almindelig lovgivningsprocedure: førstebehandling)</w:t>
      </w:r>
    </w:p>
    <w:p w14:paraId="2F9CCB85" w14:textId="77777777" w:rsidR="001C6029" w:rsidRPr="004F77D6" w:rsidRDefault="001C6029" w:rsidP="001C6029">
      <w:pPr>
        <w:pStyle w:val="EPComma"/>
      </w:pPr>
      <w:r w:rsidRPr="004F77D6">
        <w:rPr>
          <w:i/>
        </w:rPr>
        <w:t>Europa-Parlamentet</w:t>
      </w:r>
      <w:r w:rsidRPr="004F77D6">
        <w:t>,</w:t>
      </w:r>
    </w:p>
    <w:p w14:paraId="2D387A58" w14:textId="77777777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der henviser til Kommissionens forslag til Europa-Parlamentet og Rådet (</w:t>
      </w:r>
      <w:proofErr w:type="gramStart"/>
      <w:r w:rsidRPr="004F77D6">
        <w:t>COM(</w:t>
      </w:r>
      <w:proofErr w:type="gramEnd"/>
      <w:r w:rsidRPr="004F77D6">
        <w:t>2024)0257),</w:t>
      </w:r>
    </w:p>
    <w:p w14:paraId="6ABA5151" w14:textId="77777777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der henviser til artikel 294, stk. 2, og artikel 194 i traktaten om Den Europæiske Unions funktionsmåde, på grundlag af hvilke Kommissionen har forelagt forslaget for Parlamentet (C10</w:t>
      </w:r>
      <w:r w:rsidRPr="004F77D6">
        <w:noBreakHyphen/>
        <w:t>0058/2024),</w:t>
      </w:r>
    </w:p>
    <w:p w14:paraId="08CE77FB" w14:textId="77777777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der henviser til artikel 294, stk. 3, i traktaten om Den Europæiske Unions funktionsmåde,</w:t>
      </w:r>
    </w:p>
    <w:p w14:paraId="156BE242" w14:textId="3DDC6D92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der henviser til udtalelse af 4. december 2024 fra Det Europæiske Økonomiske og Sociale Udvalg</w:t>
      </w:r>
      <w:r w:rsidRPr="009B485B">
        <w:rPr>
          <w:rStyle w:val="FootnoteReference"/>
        </w:rPr>
        <w:footnoteReference w:id="1"/>
      </w:r>
      <w:r w:rsidRPr="009B485B">
        <w:t>,</w:t>
      </w:r>
    </w:p>
    <w:p w14:paraId="66D3C408" w14:textId="77777777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efter høring af Regionsudvalget,</w:t>
      </w:r>
    </w:p>
    <w:p w14:paraId="77C4C0DF" w14:textId="77777777" w:rsidR="00D233AD" w:rsidRPr="004F77D6" w:rsidRDefault="00D233AD" w:rsidP="00D233AD">
      <w:pPr>
        <w:pStyle w:val="NormalHanging12a"/>
      </w:pPr>
      <w:r w:rsidRPr="004F77D6">
        <w:t>–</w:t>
      </w:r>
      <w:r w:rsidRPr="004F77D6">
        <w:tab/>
        <w:t>der henviser til, at de kompetente udvalg har godkendt den foreløbige aftale i henhold til forretningsordenens artikel 75, stk. 4, og at Rådets repræsentant ved skrivelse af 14. maj 2025 forpligtede sig til at godkende Europa-Parlamentets holdning, jf. artikel 294, stk. 4, i traktaten om Den Europæiske Unions funktionsmåde,</w:t>
      </w:r>
    </w:p>
    <w:p w14:paraId="651460BD" w14:textId="77777777" w:rsidR="001C6029" w:rsidRPr="004F77D6" w:rsidRDefault="001C6029" w:rsidP="001C6029">
      <w:pPr>
        <w:pStyle w:val="NormalHanging12a"/>
      </w:pPr>
      <w:r w:rsidRPr="004F77D6">
        <w:lastRenderedPageBreak/>
        <w:t>–</w:t>
      </w:r>
      <w:r w:rsidRPr="004F77D6">
        <w:tab/>
        <w:t>der henviser til forretningsordenens artikel 60,</w:t>
      </w:r>
    </w:p>
    <w:p w14:paraId="59D019D6" w14:textId="77777777" w:rsidR="001C6029" w:rsidRPr="004F77D6" w:rsidRDefault="001C6029" w:rsidP="001C6029">
      <w:pPr>
        <w:pStyle w:val="NormalHanging12a"/>
      </w:pPr>
      <w:r w:rsidRPr="004F77D6">
        <w:t>–</w:t>
      </w:r>
      <w:r w:rsidRPr="004F77D6">
        <w:tab/>
        <w:t>der henviser til betænkning fra Udvalget om International Handel og Udvalget om Industri, Forskning og Energi (A10-0009/2025),</w:t>
      </w:r>
    </w:p>
    <w:p w14:paraId="1F7C0527" w14:textId="3CDF13D9" w:rsidR="001C6029" w:rsidRPr="004F77D6" w:rsidRDefault="001C6029" w:rsidP="001C6029">
      <w:pPr>
        <w:pStyle w:val="NormalHanging12a"/>
      </w:pPr>
      <w:r w:rsidRPr="004F77D6">
        <w:t>1.</w:t>
      </w:r>
      <w:r w:rsidRPr="004F77D6">
        <w:tab/>
        <w:t xml:space="preserve">vedtager </w:t>
      </w:r>
      <w:r w:rsidR="006D1807" w:rsidRPr="004F77D6">
        <w:t xml:space="preserve">nedenstående </w:t>
      </w:r>
      <w:r w:rsidRPr="004F77D6">
        <w:t>holdning ved førstebehandling;</w:t>
      </w:r>
    </w:p>
    <w:p w14:paraId="73DE7DE9" w14:textId="77777777" w:rsidR="001C6029" w:rsidRPr="004F77D6" w:rsidRDefault="001C6029" w:rsidP="001C6029">
      <w:pPr>
        <w:pStyle w:val="NormalHanging12a"/>
      </w:pPr>
      <w:r w:rsidRPr="004F77D6">
        <w:t>2.</w:t>
      </w:r>
      <w:r w:rsidRPr="004F77D6">
        <w:tab/>
        <w:t>anmoder om fornyet forelæggelse, hvis Kommissionen erstatter, i væsentlig grad ændrer eller agter i væsentlig grad at ændre sit forslag;</w:t>
      </w:r>
    </w:p>
    <w:p w14:paraId="39913E31" w14:textId="77777777" w:rsidR="00F732BB" w:rsidRPr="004F77D6" w:rsidRDefault="001C6029" w:rsidP="00F732BB">
      <w:pPr>
        <w:pStyle w:val="NormalHanging12a"/>
      </w:pPr>
      <w:r w:rsidRPr="004F77D6">
        <w:t>3.</w:t>
      </w:r>
      <w:r w:rsidRPr="004F77D6">
        <w:tab/>
        <w:t>pålægger sin formand at sende Parlamentets holdning til Rådet og Kommissionen samt til de nationale parlamenter.</w:t>
      </w:r>
    </w:p>
    <w:p w14:paraId="140BC308" w14:textId="77777777" w:rsidR="000C13A3" w:rsidRPr="004F77D6" w:rsidRDefault="000C13A3" w:rsidP="00B61968">
      <w:pPr>
        <w:sectPr w:rsidR="000C13A3" w:rsidRPr="004F77D6" w:rsidSect="00F732B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245CC98" w14:textId="77777777" w:rsidR="000C13A3" w:rsidRPr="004F77D6" w:rsidRDefault="000C13A3" w:rsidP="000C13A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4F77D6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4F77D6">
        <w:rPr>
          <w:rFonts w:eastAsia="Calibri"/>
          <w:b/>
          <w:bCs/>
          <w:color w:val="000000"/>
        </w:rPr>
        <w:t>COD(</w:t>
      </w:r>
      <w:proofErr w:type="gramEnd"/>
      <w:r w:rsidRPr="004F77D6">
        <w:rPr>
          <w:rFonts w:eastAsia="Calibri"/>
          <w:b/>
          <w:bCs/>
          <w:color w:val="000000"/>
        </w:rPr>
        <w:t>2024)0148</w:t>
      </w:r>
    </w:p>
    <w:p w14:paraId="6AC6B005" w14:textId="4C6FCA2B" w:rsidR="00E365E1" w:rsidRDefault="000C13A3" w:rsidP="000C13A3">
      <w:pPr>
        <w:rPr>
          <w:rFonts w:eastAsia="Calibri"/>
          <w:b/>
          <w:szCs w:val="22"/>
          <w:lang w:eastAsia="en-US"/>
        </w:rPr>
      </w:pPr>
      <w:r w:rsidRPr="004F77D6">
        <w:rPr>
          <w:b/>
        </w:rPr>
        <w:t xml:space="preserve">Europa-Parlamentets holdning fastlagt ved førstebehandlingen den </w:t>
      </w:r>
      <w:r w:rsidR="006D1807" w:rsidRPr="004F77D6">
        <w:rPr>
          <w:b/>
        </w:rPr>
        <w:t>18</w:t>
      </w:r>
      <w:r w:rsidRPr="004F77D6">
        <w:rPr>
          <w:b/>
        </w:rPr>
        <w:t xml:space="preserve">. juni 2025 med henblik på vedtagelse af Europa-Parlamentets og Rådets </w:t>
      </w:r>
      <w:r w:rsidRPr="004F77D6">
        <w:rPr>
          <w:rFonts w:eastAsia="Calibri"/>
          <w:b/>
        </w:rPr>
        <w:t xml:space="preserve">afgørelse </w:t>
      </w:r>
      <w:r w:rsidRPr="004F77D6">
        <w:rPr>
          <w:b/>
        </w:rPr>
        <w:t xml:space="preserve">(EU) </w:t>
      </w:r>
      <w:r w:rsidRPr="004F77D6">
        <w:rPr>
          <w:rFonts w:eastAsia="Calibri"/>
          <w:b/>
        </w:rPr>
        <w:t>202</w:t>
      </w:r>
      <w:r w:rsidR="006D1807" w:rsidRPr="004F77D6">
        <w:rPr>
          <w:rFonts w:eastAsia="Calibri"/>
          <w:b/>
        </w:rPr>
        <w:t>5</w:t>
      </w:r>
      <w:r w:rsidRPr="004F77D6">
        <w:rPr>
          <w:rFonts w:eastAsia="Calibri"/>
          <w:b/>
        </w:rPr>
        <w:t xml:space="preserve">/… </w:t>
      </w:r>
      <w:r w:rsidRPr="004F77D6">
        <w:rPr>
          <w:rFonts w:eastAsia="Calibri"/>
          <w:b/>
          <w:szCs w:val="22"/>
          <w:lang w:eastAsia="en-US"/>
        </w:rPr>
        <w:t>om Unionens godkendelse af aftalen om fortolkningen og anvendelsen af energichartertraktaten</w:t>
      </w:r>
    </w:p>
    <w:p w14:paraId="7133B5D9" w14:textId="77777777" w:rsidR="00BA331A" w:rsidRDefault="00BA331A" w:rsidP="000C13A3">
      <w:pPr>
        <w:rPr>
          <w:rFonts w:eastAsia="Calibri"/>
          <w:b/>
          <w:szCs w:val="22"/>
          <w:lang w:eastAsia="en-US"/>
        </w:rPr>
      </w:pPr>
    </w:p>
    <w:p w14:paraId="5B3A6EB5" w14:textId="77777777" w:rsidR="00BA331A" w:rsidRDefault="00BA331A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8" w:name="_GoBack"/>
      <w:bookmarkEnd w:id="8"/>
    </w:p>
    <w:p w14:paraId="5184C793" w14:textId="099AE3E9" w:rsidR="00BA331A" w:rsidRPr="00BA331A" w:rsidRDefault="00BA331A" w:rsidP="000C13A3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afgørelse </w:t>
      </w:r>
      <w:r w:rsidRPr="00F95CDF">
        <w:rPr>
          <w:i/>
        </w:rPr>
        <w:t>(EU) 202</w:t>
      </w:r>
      <w:r>
        <w:rPr>
          <w:i/>
        </w:rPr>
        <w:t>5</w:t>
      </w:r>
      <w:r w:rsidRPr="00F95CDF">
        <w:rPr>
          <w:i/>
        </w:rPr>
        <w:t>/1</w:t>
      </w:r>
      <w:r>
        <w:rPr>
          <w:i/>
        </w:rPr>
        <w:t>904</w:t>
      </w:r>
      <w:r w:rsidRPr="00F95CDF">
        <w:rPr>
          <w:i/>
        </w:rPr>
        <w:t>.)</w:t>
      </w:r>
    </w:p>
    <w:sectPr w:rsidR="00BA331A" w:rsidRPr="00BA331A" w:rsidSect="00BA331A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785A2" w14:textId="77777777" w:rsidR="00B61968" w:rsidRPr="00F732BB" w:rsidRDefault="00B61968">
      <w:r w:rsidRPr="00F732BB">
        <w:separator/>
      </w:r>
    </w:p>
  </w:endnote>
  <w:endnote w:type="continuationSeparator" w:id="0">
    <w:p w14:paraId="1040CEF0" w14:textId="77777777" w:rsidR="00B61968" w:rsidRPr="00F732BB" w:rsidRDefault="00B61968">
      <w:r w:rsidRPr="00F732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1B97" w14:textId="77777777" w:rsidR="00B61968" w:rsidRPr="00F732BB" w:rsidRDefault="00B61968">
      <w:r w:rsidRPr="00F732BB">
        <w:separator/>
      </w:r>
    </w:p>
  </w:footnote>
  <w:footnote w:type="continuationSeparator" w:id="0">
    <w:p w14:paraId="16659ACE" w14:textId="77777777" w:rsidR="00B61968" w:rsidRPr="00F732BB" w:rsidRDefault="00B61968">
      <w:r w:rsidRPr="00F732BB">
        <w:continuationSeparator/>
      </w:r>
    </w:p>
  </w:footnote>
  <w:footnote w:id="1">
    <w:p w14:paraId="3133F910" w14:textId="4875CD49" w:rsidR="001C6029" w:rsidRPr="00F732BB" w:rsidRDefault="001C6029" w:rsidP="00F732BB">
      <w:pPr>
        <w:pStyle w:val="FootnoteText"/>
        <w:ind w:left="567" w:hanging="567"/>
        <w:rPr>
          <w:sz w:val="24"/>
          <w:lang w:val="da-DK"/>
        </w:rPr>
      </w:pPr>
      <w:r w:rsidRPr="00F732BB">
        <w:rPr>
          <w:rStyle w:val="FootnoteReference"/>
          <w:sz w:val="24"/>
          <w:lang w:val="da-DK"/>
        </w:rPr>
        <w:footnoteRef/>
      </w:r>
      <w:r w:rsidR="00F732BB" w:rsidRPr="00F732BB">
        <w:rPr>
          <w:sz w:val="24"/>
          <w:lang w:val="da-DK"/>
        </w:rPr>
        <w:t xml:space="preserve"> </w:t>
      </w:r>
      <w:r w:rsidR="00F732BB" w:rsidRPr="00F732BB">
        <w:rPr>
          <w:sz w:val="24"/>
          <w:lang w:val="da-DK"/>
        </w:rPr>
        <w:tab/>
      </w:r>
      <w:r w:rsidR="006D1807">
        <w:rPr>
          <w:sz w:val="24"/>
          <w:lang w:val="da-DK"/>
        </w:rPr>
        <w:t>Udtalelse af 4.12.2024 (</w:t>
      </w:r>
      <w:r w:rsidR="006D1807" w:rsidRPr="006D1807">
        <w:rPr>
          <w:sz w:val="24"/>
          <w:lang w:val="da-DK"/>
        </w:rPr>
        <w:t xml:space="preserve">EUT C, C/2025/776, 11.2.2025, ELI: </w:t>
      </w:r>
      <w:hyperlink r:id="rId1" w:history="1">
        <w:r w:rsidR="006D1807" w:rsidRPr="006D1807">
          <w:rPr>
            <w:rStyle w:val="Hyperlink"/>
            <w:sz w:val="24"/>
            <w:lang w:val="da-DK"/>
          </w:rPr>
          <w:t>http://data.europa.eu/eli/C/2025/776/oj</w:t>
        </w:r>
      </w:hyperlink>
      <w:r w:rsidR="006D1807">
        <w:rPr>
          <w:sz w:val="24"/>
          <w:lang w:val="da-DK"/>
        </w:rPr>
        <w:t>)</w:t>
      </w:r>
      <w:r w:rsidRPr="00F732BB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5785746">
    <w:abstractNumId w:val="9"/>
  </w:num>
  <w:num w:numId="2" w16cid:durableId="1984461369">
    <w:abstractNumId w:val="9"/>
  </w:num>
  <w:num w:numId="3" w16cid:durableId="416249754">
    <w:abstractNumId w:val="7"/>
  </w:num>
  <w:num w:numId="4" w16cid:durableId="205946367">
    <w:abstractNumId w:val="7"/>
  </w:num>
  <w:num w:numId="5" w16cid:durableId="1790202780">
    <w:abstractNumId w:val="6"/>
  </w:num>
  <w:num w:numId="6" w16cid:durableId="728112685">
    <w:abstractNumId w:val="6"/>
  </w:num>
  <w:num w:numId="7" w16cid:durableId="24258323">
    <w:abstractNumId w:val="5"/>
  </w:num>
  <w:num w:numId="8" w16cid:durableId="2098937672">
    <w:abstractNumId w:val="5"/>
  </w:num>
  <w:num w:numId="9" w16cid:durableId="1563906977">
    <w:abstractNumId w:val="4"/>
  </w:num>
  <w:num w:numId="10" w16cid:durableId="1152719931">
    <w:abstractNumId w:val="4"/>
  </w:num>
  <w:num w:numId="11" w16cid:durableId="1711032031">
    <w:abstractNumId w:val="8"/>
  </w:num>
  <w:num w:numId="12" w16cid:durableId="782770686">
    <w:abstractNumId w:val="8"/>
  </w:num>
  <w:num w:numId="13" w16cid:durableId="1950164642">
    <w:abstractNumId w:val="3"/>
  </w:num>
  <w:num w:numId="14" w16cid:durableId="566571314">
    <w:abstractNumId w:val="3"/>
  </w:num>
  <w:num w:numId="15" w16cid:durableId="1868828940">
    <w:abstractNumId w:val="2"/>
  </w:num>
  <w:num w:numId="16" w16cid:durableId="718436633">
    <w:abstractNumId w:val="2"/>
  </w:num>
  <w:num w:numId="17" w16cid:durableId="262806601">
    <w:abstractNumId w:val="1"/>
  </w:num>
  <w:num w:numId="18" w16cid:durableId="1143741109">
    <w:abstractNumId w:val="1"/>
  </w:num>
  <w:num w:numId="19" w16cid:durableId="756292650">
    <w:abstractNumId w:val="0"/>
  </w:num>
  <w:num w:numId="20" w16cid:durableId="1987054134">
    <w:abstractNumId w:val="0"/>
  </w:num>
  <w:num w:numId="21" w16cid:durableId="30036778">
    <w:abstractNumId w:val="9"/>
  </w:num>
  <w:num w:numId="22" w16cid:durableId="1977949355">
    <w:abstractNumId w:val="7"/>
  </w:num>
  <w:num w:numId="23" w16cid:durableId="1869878407">
    <w:abstractNumId w:val="6"/>
  </w:num>
  <w:num w:numId="24" w16cid:durableId="1652252043">
    <w:abstractNumId w:val="5"/>
  </w:num>
  <w:num w:numId="25" w16cid:durableId="2007856513">
    <w:abstractNumId w:val="4"/>
  </w:num>
  <w:num w:numId="26" w16cid:durableId="1827357648">
    <w:abstractNumId w:val="8"/>
  </w:num>
  <w:num w:numId="27" w16cid:durableId="1712001528">
    <w:abstractNumId w:val="3"/>
  </w:num>
  <w:num w:numId="28" w16cid:durableId="2047951360">
    <w:abstractNumId w:val="2"/>
  </w:num>
  <w:num w:numId="29" w16cid:durableId="1165585618">
    <w:abstractNumId w:val="1"/>
  </w:num>
  <w:num w:numId="30" w16cid:durableId="1048334897">
    <w:abstractNumId w:val="0"/>
  </w:num>
  <w:num w:numId="31" w16cid:durableId="1136684240">
    <w:abstractNumId w:val="9"/>
  </w:num>
  <w:num w:numId="32" w16cid:durableId="1238438764">
    <w:abstractNumId w:val="7"/>
  </w:num>
  <w:num w:numId="33" w16cid:durableId="343938780">
    <w:abstractNumId w:val="6"/>
  </w:num>
  <w:num w:numId="34" w16cid:durableId="1055198934">
    <w:abstractNumId w:val="5"/>
  </w:num>
  <w:num w:numId="35" w16cid:durableId="1125923955">
    <w:abstractNumId w:val="4"/>
  </w:num>
  <w:num w:numId="36" w16cid:durableId="676881181">
    <w:abstractNumId w:val="8"/>
  </w:num>
  <w:num w:numId="37" w16cid:durableId="1850635117">
    <w:abstractNumId w:val="3"/>
  </w:num>
  <w:num w:numId="38" w16cid:durableId="1058086940">
    <w:abstractNumId w:val="2"/>
  </w:num>
  <w:num w:numId="39" w16cid:durableId="694891737">
    <w:abstractNumId w:val="1"/>
  </w:num>
  <w:num w:numId="40" w16cid:durableId="2147162508">
    <w:abstractNumId w:val="0"/>
  </w:num>
  <w:num w:numId="41" w16cid:durableId="975572102">
    <w:abstractNumId w:val="10"/>
  </w:num>
  <w:num w:numId="42" w16cid:durableId="540090492">
    <w:abstractNumId w:val="10"/>
  </w:num>
  <w:num w:numId="43" w16cid:durableId="859584430">
    <w:abstractNumId w:val="10"/>
  </w:num>
  <w:num w:numId="44" w16cid:durableId="1666594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DA"/>
    <w:docVar w:name="dvnumam" w:val="0"/>
    <w:docVar w:name="dvpe" w:val="767.940"/>
    <w:docVar w:name="dvrapporteur" w:val="Ordfører: "/>
    <w:docVar w:name="dvstar" w:val="***I"/>
    <w:docVar w:name="dvtitre" w:val="Europa-Parlamentets lovgivningsmæssige beslutning af xx. juni 2025 om forslag til Europa-Parlamentets og Rådets afgørelse om Unionens vedtagelse af aftalen om fortolkningen og anvendelsen af energichartertraktaten mellem Den Europæiske Union, Det Europæiske Atomenergifællesskab og deres medlemsstater(COM(2024)0257 – C10-0058/2024 – 2024/0148(COD))"/>
  </w:docVars>
  <w:rsids>
    <w:rsidRoot w:val="00B61968"/>
    <w:rsid w:val="00002272"/>
    <w:rsid w:val="00064002"/>
    <w:rsid w:val="000677B9"/>
    <w:rsid w:val="000831BA"/>
    <w:rsid w:val="000A42CC"/>
    <w:rsid w:val="000C13A3"/>
    <w:rsid w:val="000E0202"/>
    <w:rsid w:val="000E7DD9"/>
    <w:rsid w:val="0010095E"/>
    <w:rsid w:val="00125B37"/>
    <w:rsid w:val="00187494"/>
    <w:rsid w:val="001C602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7D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807"/>
    <w:rsid w:val="006F74FA"/>
    <w:rsid w:val="00731ADD"/>
    <w:rsid w:val="00734777"/>
    <w:rsid w:val="00747932"/>
    <w:rsid w:val="00751A4A"/>
    <w:rsid w:val="00753189"/>
    <w:rsid w:val="00756632"/>
    <w:rsid w:val="00762C74"/>
    <w:rsid w:val="00786EC0"/>
    <w:rsid w:val="007B0AD2"/>
    <w:rsid w:val="007D1690"/>
    <w:rsid w:val="007E22AD"/>
    <w:rsid w:val="00817416"/>
    <w:rsid w:val="00841AD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8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968"/>
    <w:rsid w:val="00BA33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F5A"/>
    <w:rsid w:val="00D233A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2BB"/>
    <w:rsid w:val="00F74202"/>
    <w:rsid w:val="00F87713"/>
    <w:rsid w:val="00FB4360"/>
    <w:rsid w:val="00FD0C70"/>
    <w:rsid w:val="00FF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60AA5"/>
  <w15:chartTrackingRefBased/>
  <w15:docId w15:val="{EAE70A79-C992-4F23-940B-5B689428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6029"/>
    <w:pPr>
      <w:spacing w:before="480" w:after="240"/>
    </w:pPr>
  </w:style>
  <w:style w:type="paragraph" w:customStyle="1" w:styleId="NormalBold">
    <w:name w:val="NormalBold"/>
    <w:basedOn w:val="Normal"/>
    <w:rsid w:val="001C6029"/>
    <w:rPr>
      <w:b/>
    </w:rPr>
  </w:style>
  <w:style w:type="paragraph" w:customStyle="1" w:styleId="NormalHanging12a">
    <w:name w:val="NormalHanging12a"/>
    <w:basedOn w:val="Normal"/>
    <w:rsid w:val="001C6029"/>
    <w:pPr>
      <w:spacing w:after="240"/>
      <w:ind w:left="567" w:hanging="567"/>
    </w:pPr>
  </w:style>
  <w:style w:type="paragraph" w:customStyle="1" w:styleId="EPFooter2">
    <w:name w:val="EPFooter2"/>
    <w:basedOn w:val="Normal"/>
    <w:next w:val="Normal"/>
    <w:rsid w:val="000C13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C13A3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C13A3"/>
    <w:pPr>
      <w:spacing w:after="240"/>
      <w:jc w:val="center"/>
    </w:pPr>
  </w:style>
  <w:style w:type="paragraph" w:customStyle="1" w:styleId="EPFooter">
    <w:name w:val="EPFooter"/>
    <w:basedOn w:val="Normal"/>
    <w:rsid w:val="000C13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uiPriority w:val="99"/>
    <w:unhideWhenUsed/>
    <w:rsid w:val="000C13A3"/>
    <w:rPr>
      <w:color w:val="0000FF"/>
      <w:u w:val="single"/>
    </w:rPr>
  </w:style>
  <w:style w:type="character" w:styleId="CommentReference">
    <w:name w:val="annotation reference"/>
    <w:basedOn w:val="DefaultParagraphFont"/>
    <w:rsid w:val="000C13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13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13A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C1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13A3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0C13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13A3"/>
    <w:rPr>
      <w:rFonts w:ascii="Segoe UI" w:hAnsi="Segoe UI" w:cs="Segoe UI"/>
      <w:sz w:val="18"/>
      <w:szCs w:val="18"/>
      <w:lang w:val="da-DK"/>
    </w:rPr>
  </w:style>
  <w:style w:type="paragraph" w:styleId="Footer">
    <w:name w:val="footer"/>
    <w:basedOn w:val="Normal"/>
    <w:link w:val="FooterChar"/>
    <w:rsid w:val="006D18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1807"/>
    <w:rPr>
      <w:sz w:val="24"/>
      <w:lang w:val="da-DK"/>
    </w:rPr>
  </w:style>
  <w:style w:type="character" w:styleId="FollowedHyperlink">
    <w:name w:val="FollowedHyperlink"/>
    <w:basedOn w:val="DefaultParagraphFont"/>
    <w:rsid w:val="000E0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F58C7-55A4-407B-B413-40F97651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297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2025-09-25T08:51:00Z</dcterms:created>
  <dcterms:modified xsi:type="dcterms:W3CDTF">2025-09-25T08:51:00Z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