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B5EC0" w14:paraId="3048106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6FC0976" w14:textId="77777777" w:rsidR="00751A4A" w:rsidRPr="009B5EC0" w:rsidRDefault="00C01259" w:rsidP="0010095E">
            <w:pPr>
              <w:pStyle w:val="EPName"/>
            </w:pPr>
            <w:r w:rsidRPr="009B5EC0">
              <w:t>Europski parlament</w:t>
            </w:r>
          </w:p>
          <w:p w14:paraId="7E03D0DA" w14:textId="77777777" w:rsidR="00751A4A" w:rsidRPr="009B5EC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B5EC0">
              <w:t>2024</w:t>
            </w:r>
            <w:r w:rsidR="00817416" w:rsidRPr="009B5EC0">
              <w:t>-202</w:t>
            </w:r>
            <w:r w:rsidRPr="009B5EC0">
              <w:t>9</w:t>
            </w:r>
          </w:p>
        </w:tc>
        <w:tc>
          <w:tcPr>
            <w:tcW w:w="2268" w:type="dxa"/>
            <w:shd w:val="clear" w:color="auto" w:fill="auto"/>
          </w:tcPr>
          <w:p w14:paraId="737024FE" w14:textId="77777777" w:rsidR="00751A4A" w:rsidRPr="009B5EC0" w:rsidRDefault="00187494" w:rsidP="0010095E">
            <w:pPr>
              <w:pStyle w:val="EPLogo"/>
            </w:pPr>
            <w:r w:rsidRPr="009B5EC0">
              <w:rPr>
                <w:noProof/>
                <w:lang w:val="en-GB"/>
              </w:rPr>
              <w:drawing>
                <wp:inline distT="0" distB="0" distL="0" distR="0" wp14:anchorId="0936E33D" wp14:editId="19B8526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7A9D0BA" w14:textId="77777777" w:rsidR="00D058B8" w:rsidRPr="009B5EC0" w:rsidRDefault="00D058B8" w:rsidP="004C5D52">
      <w:pPr>
        <w:pStyle w:val="LineTop"/>
      </w:pPr>
    </w:p>
    <w:p w14:paraId="28B947D6" w14:textId="77777777" w:rsidR="00680577" w:rsidRPr="009B5EC0" w:rsidRDefault="00C01259" w:rsidP="00680577">
      <w:pPr>
        <w:pStyle w:val="EPBodyTA1"/>
      </w:pPr>
      <w:r w:rsidRPr="009B5EC0">
        <w:t>USVOJENI TEKSTOVI</w:t>
      </w:r>
    </w:p>
    <w:p w14:paraId="6705B588" w14:textId="77777777" w:rsidR="00D058B8" w:rsidRPr="009B5EC0" w:rsidRDefault="00D058B8" w:rsidP="00D058B8">
      <w:pPr>
        <w:pStyle w:val="LineBottom"/>
      </w:pPr>
    </w:p>
    <w:p w14:paraId="6112059C" w14:textId="77777777" w:rsidR="00C01259" w:rsidRPr="009B5EC0" w:rsidRDefault="00C01259" w:rsidP="00C01259">
      <w:pPr>
        <w:pStyle w:val="ATHeading1"/>
      </w:pPr>
      <w:bookmarkStart w:id="0" w:name="TANumber"/>
      <w:r w:rsidRPr="009B5EC0">
        <w:t>P10_TA(2025)0</w:t>
      </w:r>
      <w:r w:rsidR="00DA17D2">
        <w:t>126</w:t>
      </w:r>
      <w:bookmarkEnd w:id="0"/>
    </w:p>
    <w:p w14:paraId="0B6E1E65" w14:textId="77777777" w:rsidR="00C01259" w:rsidRPr="009B5EC0" w:rsidRDefault="00DD2962" w:rsidP="00C01259">
      <w:pPr>
        <w:pStyle w:val="ATHeading2"/>
      </w:pPr>
      <w:bookmarkStart w:id="1" w:name="title"/>
      <w:r w:rsidRPr="00DD2962">
        <w:rPr>
          <w:bCs/>
        </w:rPr>
        <w:t>Donošenje od strane Unije Sporazuma o tumačenju i primjeni Ugovora o Energetskoj povelji</w:t>
      </w:r>
      <w:bookmarkEnd w:id="1"/>
    </w:p>
    <w:p w14:paraId="1A90D1AD" w14:textId="77777777" w:rsidR="00C01259" w:rsidRPr="009B5EC0" w:rsidRDefault="00C01259" w:rsidP="00C01259">
      <w:pPr>
        <w:rPr>
          <w:i/>
          <w:vanish/>
        </w:rPr>
      </w:pPr>
      <w:r w:rsidRPr="009B5EC0">
        <w:rPr>
          <w:i/>
        </w:rPr>
        <w:fldChar w:fldCharType="begin"/>
      </w:r>
      <w:r w:rsidRPr="009B5EC0">
        <w:rPr>
          <w:i/>
        </w:rPr>
        <w:instrText xml:space="preserve"> TC"(</w:instrText>
      </w:r>
      <w:bookmarkStart w:id="2" w:name="DocNumber"/>
      <w:r w:rsidRPr="009B5EC0">
        <w:rPr>
          <w:i/>
        </w:rPr>
        <w:instrText>A10-0009/2025</w:instrText>
      </w:r>
      <w:bookmarkEnd w:id="2"/>
      <w:r w:rsidRPr="009B5EC0">
        <w:rPr>
          <w:i/>
        </w:rPr>
        <w:instrText xml:space="preserve"> - Izvjestitelji: Anna Cavazzini, Borys Budka)"\l3 \n&gt; \* MERGEFORMAT </w:instrText>
      </w:r>
      <w:r w:rsidRPr="009B5EC0">
        <w:rPr>
          <w:i/>
        </w:rPr>
        <w:fldChar w:fldCharType="end"/>
      </w:r>
    </w:p>
    <w:p w14:paraId="40C88A2D" w14:textId="77777777" w:rsidR="00C01259" w:rsidRPr="009B5EC0" w:rsidRDefault="00C01259" w:rsidP="00C01259">
      <w:pPr>
        <w:rPr>
          <w:vanish/>
        </w:rPr>
      </w:pPr>
      <w:bookmarkStart w:id="3" w:name="Commission"/>
      <w:r w:rsidRPr="009B5EC0">
        <w:rPr>
          <w:vanish/>
        </w:rPr>
        <w:t>Odbor za međunarodnu trgovinu, Odbor za industriju, istraživanje i energetiku</w:t>
      </w:r>
      <w:bookmarkEnd w:id="3"/>
    </w:p>
    <w:p w14:paraId="6869C041" w14:textId="77777777" w:rsidR="00C01259" w:rsidRPr="009B5EC0" w:rsidRDefault="00C01259" w:rsidP="00C01259">
      <w:pPr>
        <w:rPr>
          <w:vanish/>
        </w:rPr>
      </w:pPr>
      <w:bookmarkStart w:id="4" w:name="PE"/>
      <w:r w:rsidRPr="009B5EC0">
        <w:rPr>
          <w:vanish/>
        </w:rPr>
        <w:t>PE767.940</w:t>
      </w:r>
      <w:bookmarkEnd w:id="4"/>
    </w:p>
    <w:p w14:paraId="3C016AA2" w14:textId="77777777" w:rsidR="00C01259" w:rsidRPr="009B5EC0" w:rsidRDefault="00C01259" w:rsidP="00C01259">
      <w:pPr>
        <w:pStyle w:val="ATHeading3"/>
      </w:pPr>
      <w:bookmarkStart w:id="5" w:name="Sujet"/>
      <w:r w:rsidRPr="009B5EC0">
        <w:t>Zakonodavna rezoluc</w:t>
      </w:r>
      <w:r w:rsidR="00DD2962">
        <w:t>ija Europskog parlamenta od 18. lipnja</w:t>
      </w:r>
      <w:r w:rsidRPr="009B5EC0">
        <w:t xml:space="preserve"> 2025. o Prijedlogu odluke Europskog parlamenta i Vijeća o donošenju od strane Unije Sporazuma o tumačenju i primjeni Ugovora o Energetskoj povelji između Europske unije, Europske zajednice za atomsku energiju i njihovih država članica</w:t>
      </w:r>
      <w:bookmarkEnd w:id="5"/>
      <w:r w:rsidRPr="009B5EC0">
        <w:t xml:space="preserve"> </w:t>
      </w:r>
      <w:bookmarkStart w:id="6" w:name="References"/>
      <w:r w:rsidRPr="009B5EC0">
        <w:t>(COM(2024)0257 – C10-0058/2024 – 2024/0148(COD))</w:t>
      </w:r>
      <w:bookmarkEnd w:id="6"/>
    </w:p>
    <w:p w14:paraId="1D64ADB5" w14:textId="77777777" w:rsidR="00C01259" w:rsidRPr="009B5EC0" w:rsidRDefault="00C01259" w:rsidP="00C01259"/>
    <w:p w14:paraId="3A68BEF6" w14:textId="77777777" w:rsidR="00574FB0" w:rsidRPr="009B5EC0" w:rsidRDefault="00574FB0" w:rsidP="00574FB0">
      <w:pPr>
        <w:pStyle w:val="NormalBold"/>
      </w:pPr>
      <w:bookmarkStart w:id="7" w:name="TextBodyBegin"/>
      <w:bookmarkEnd w:id="7"/>
      <w:r w:rsidRPr="009B5EC0">
        <w:t>(Redovni zakonodavni postupak: prvo čitanje)</w:t>
      </w:r>
    </w:p>
    <w:p w14:paraId="5F72C4C6" w14:textId="77777777" w:rsidR="00574FB0" w:rsidRPr="009B5EC0" w:rsidRDefault="00574FB0" w:rsidP="00574FB0">
      <w:pPr>
        <w:pStyle w:val="EPComma"/>
      </w:pPr>
      <w:r w:rsidRPr="009B5EC0">
        <w:rPr>
          <w:i/>
        </w:rPr>
        <w:t>Europski parlament</w:t>
      </w:r>
      <w:r w:rsidRPr="009B5EC0">
        <w:t>,</w:t>
      </w:r>
    </w:p>
    <w:p w14:paraId="50F3BEDD" w14:textId="77777777" w:rsidR="00574FB0" w:rsidRPr="009B5EC0" w:rsidRDefault="00574FB0" w:rsidP="00574FB0">
      <w:pPr>
        <w:pStyle w:val="NormalHanging12a"/>
      </w:pPr>
      <w:r w:rsidRPr="009B5EC0">
        <w:t>–</w:t>
      </w:r>
      <w:r w:rsidRPr="009B5EC0">
        <w:tab/>
        <w:t>uzimajući u obzir Prijedlog Komisije upućen Europskom parlamentu i Vijeću (COM(2024)0257),</w:t>
      </w:r>
    </w:p>
    <w:p w14:paraId="31EE0372" w14:textId="77777777" w:rsidR="00574FB0" w:rsidRPr="009B5EC0" w:rsidRDefault="00574FB0" w:rsidP="00574FB0">
      <w:pPr>
        <w:pStyle w:val="NormalHanging12a"/>
      </w:pPr>
      <w:r w:rsidRPr="009B5EC0">
        <w:t>–</w:t>
      </w:r>
      <w:r w:rsidRPr="009B5EC0">
        <w:tab/>
        <w:t>uzimajući u obzir članak 294. stavak 2. i članak 194. Ugovora o funkcioniranju Europske unije, u skladu s kojima je Komisija podnijela Prijedlog Parlamentu (C10</w:t>
      </w:r>
      <w:r w:rsidRPr="009B5EC0">
        <w:noBreakHyphen/>
        <w:t>0058/2024),</w:t>
      </w:r>
    </w:p>
    <w:p w14:paraId="1306FA1E" w14:textId="77777777" w:rsidR="00574FB0" w:rsidRDefault="00574FB0" w:rsidP="00574FB0">
      <w:pPr>
        <w:pStyle w:val="NormalHanging12a"/>
      </w:pPr>
      <w:r w:rsidRPr="009B5EC0">
        <w:t>–</w:t>
      </w:r>
      <w:r w:rsidRPr="009B5EC0">
        <w:tab/>
        <w:t>uzimajući u obzir članak 294. stavak 3. Ugovora o funkcioniranju Europske unije,</w:t>
      </w:r>
    </w:p>
    <w:p w14:paraId="0DB6123D" w14:textId="08841017" w:rsidR="00574FB0" w:rsidRPr="009B5EC0" w:rsidRDefault="00574FB0" w:rsidP="00574FB0">
      <w:pPr>
        <w:pStyle w:val="NormalHanging12a"/>
      </w:pPr>
      <w:r w:rsidRPr="009B5EC0">
        <w:t>–</w:t>
      </w:r>
      <w:r w:rsidRPr="009B5EC0">
        <w:tab/>
        <w:t>uzimajući u obzir mišljenje Europskoga gospodarskog i socijalnog odbora od 4. prosinca 2024.</w:t>
      </w:r>
      <w:r w:rsidRPr="009B5EC0">
        <w:rPr>
          <w:rStyle w:val="FootnoteReference"/>
        </w:rPr>
        <w:footnoteReference w:id="1"/>
      </w:r>
      <w:r w:rsidRPr="009B5EC0">
        <w:t>,</w:t>
      </w:r>
    </w:p>
    <w:p w14:paraId="1CE670A0" w14:textId="77777777" w:rsidR="00574FB0" w:rsidRDefault="00574FB0" w:rsidP="00574FB0">
      <w:pPr>
        <w:pStyle w:val="NormalHanging12a"/>
      </w:pPr>
      <w:r w:rsidRPr="009B5EC0">
        <w:t>–</w:t>
      </w:r>
      <w:r w:rsidRPr="009B5EC0">
        <w:tab/>
        <w:t>nakon savjetovanja s Odborom regija,</w:t>
      </w:r>
    </w:p>
    <w:p w14:paraId="4F7B6205" w14:textId="77777777" w:rsidR="00834274" w:rsidRPr="009B5EC0" w:rsidRDefault="00834274" w:rsidP="00574FB0">
      <w:pPr>
        <w:pStyle w:val="NormalHanging12a"/>
      </w:pPr>
      <w:r w:rsidRPr="009B5EC0">
        <w:t>–</w:t>
      </w:r>
      <w:r w:rsidRPr="009B5EC0">
        <w:tab/>
      </w:r>
      <w:r w:rsidRPr="00D241AD">
        <w:t>uzimaju</w:t>
      </w:r>
      <w:r>
        <w:t xml:space="preserve">ći u obzir privremeni sporazum </w:t>
      </w:r>
      <w:r w:rsidRPr="00D241AD">
        <w:t>koji su odobrili nadležni odbori u skladu s člankom 74. stavkom 4. Poslovnika te činjenicu da se predsta</w:t>
      </w:r>
      <w:r>
        <w:t>vnik Vijeća pismom od 14. svibnja</w:t>
      </w:r>
      <w:r w:rsidRPr="00D241AD">
        <w:t xml:space="preserve"> 202</w:t>
      </w:r>
      <w:r>
        <w:t>5</w:t>
      </w:r>
      <w:r w:rsidRPr="00D241AD">
        <w:t>. obvezao prihvatiti stajalište Europskog parlamenta u skladu s člankom 294. stavkom 4. Ugovora o funkcioniranju Europske unije</w:t>
      </w:r>
      <w:r>
        <w:t>,</w:t>
      </w:r>
    </w:p>
    <w:p w14:paraId="4B6C46FD" w14:textId="77777777" w:rsidR="00574FB0" w:rsidRPr="009B5EC0" w:rsidRDefault="00574FB0" w:rsidP="00574FB0">
      <w:pPr>
        <w:pStyle w:val="NormalHanging12a"/>
      </w:pPr>
      <w:r w:rsidRPr="009B5EC0">
        <w:lastRenderedPageBreak/>
        <w:t>–</w:t>
      </w:r>
      <w:r w:rsidRPr="009B5EC0">
        <w:tab/>
        <w:t>uzimajući u obzir članak 60. Poslovnika,</w:t>
      </w:r>
    </w:p>
    <w:p w14:paraId="13EC2457" w14:textId="77777777" w:rsidR="00574FB0" w:rsidRPr="009B5EC0" w:rsidRDefault="00574FB0" w:rsidP="00574FB0">
      <w:pPr>
        <w:pStyle w:val="NormalHanging12a"/>
      </w:pPr>
      <w:r w:rsidRPr="009B5EC0">
        <w:t>–</w:t>
      </w:r>
      <w:r w:rsidRPr="009B5EC0">
        <w:tab/>
        <w:t>uzimajući u obzir izvješće Odbora za međunarodnu trgovinu i Odbora za industriju, istraživanje i energetiku (A10</w:t>
      </w:r>
      <w:r w:rsidRPr="009B5EC0">
        <w:noBreakHyphen/>
        <w:t>0009/2025),</w:t>
      </w:r>
    </w:p>
    <w:p w14:paraId="653ADB92" w14:textId="77777777" w:rsidR="00574FB0" w:rsidRPr="009B5EC0" w:rsidRDefault="00574FB0" w:rsidP="00574FB0">
      <w:pPr>
        <w:pStyle w:val="NormalHanging12a"/>
      </w:pPr>
      <w:r w:rsidRPr="009B5EC0">
        <w:t>1.</w:t>
      </w:r>
      <w:r w:rsidRPr="009B5EC0">
        <w:tab/>
        <w:t xml:space="preserve">usvaja </w:t>
      </w:r>
      <w:r w:rsidR="00D241AD">
        <w:t xml:space="preserve">sljedeće </w:t>
      </w:r>
      <w:r w:rsidRPr="009B5EC0">
        <w:t>stajalište u prvom čitanju;</w:t>
      </w:r>
    </w:p>
    <w:p w14:paraId="1E065233" w14:textId="77777777" w:rsidR="00574FB0" w:rsidRPr="009B5EC0" w:rsidRDefault="00574FB0" w:rsidP="00574FB0">
      <w:pPr>
        <w:pStyle w:val="NormalHanging12a"/>
      </w:pPr>
      <w:r w:rsidRPr="009B5EC0">
        <w:t>2.</w:t>
      </w:r>
      <w:r w:rsidRPr="009B5EC0">
        <w:tab/>
        <w:t>poziva Komisiju da predmet ponovno uputi Parlamentu ako zamijeni, bitno izmijeni ili namjerava bitno izmijeniti svoj Prijedlog;</w:t>
      </w:r>
    </w:p>
    <w:p w14:paraId="738C200D" w14:textId="77777777" w:rsidR="00E365E1" w:rsidRDefault="00574FB0" w:rsidP="00D241AD">
      <w:pPr>
        <w:pStyle w:val="NormalHanging12a"/>
      </w:pPr>
      <w:r w:rsidRPr="009B5EC0">
        <w:t>3.</w:t>
      </w:r>
      <w:r w:rsidRPr="009B5EC0">
        <w:tab/>
        <w:t>nalaže svojoj predsjednici da stajalište Parlamenta proslijedi Vijeću, Komisiji i nacionalnim parlamentima.</w:t>
      </w:r>
    </w:p>
    <w:p w14:paraId="61B69565" w14:textId="77777777" w:rsidR="00D241AD" w:rsidRDefault="00D241AD" w:rsidP="00D241AD">
      <w:pPr>
        <w:pStyle w:val="NormalHanging12a"/>
        <w:sectPr w:rsidR="00D241AD" w:rsidSect="009B5EC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48E3B81" w14:textId="77777777" w:rsidR="00D241AD" w:rsidRDefault="00D241AD" w:rsidP="00C327E2">
      <w:pPr>
        <w:widowControl/>
        <w:spacing w:after="240"/>
        <w:rPr>
          <w:rFonts w:eastAsia="Calibri"/>
          <w:b/>
          <w:szCs w:val="24"/>
          <w:lang w:eastAsia="en-US"/>
        </w:rPr>
      </w:pPr>
      <w:r w:rsidRPr="00E65582">
        <w:rPr>
          <w:b/>
          <w:bCs/>
          <w:color w:val="000000"/>
        </w:rPr>
        <w:lastRenderedPageBreak/>
        <w:t>P10_TC1-COD(2024)0148</w:t>
      </w:r>
    </w:p>
    <w:p w14:paraId="4F8D8859" w14:textId="363B4927" w:rsidR="00D241AD" w:rsidRDefault="00D241AD" w:rsidP="00C327E2">
      <w:pPr>
        <w:widowControl/>
        <w:rPr>
          <w:rFonts w:eastAsia="Calibri"/>
          <w:b/>
          <w:szCs w:val="22"/>
          <w:lang w:eastAsia="en-US"/>
        </w:rPr>
      </w:pPr>
      <w:r w:rsidRPr="00D241AD">
        <w:rPr>
          <w:rFonts w:eastAsia="Calibri"/>
          <w:b/>
          <w:szCs w:val="24"/>
          <w:lang w:eastAsia="en-US"/>
        </w:rPr>
        <w:t xml:space="preserve">Stajalište Europskog parlamenta usvojeno u prvom čitanju </w:t>
      </w:r>
      <w:r>
        <w:rPr>
          <w:rFonts w:eastAsia="Calibri"/>
          <w:b/>
          <w:szCs w:val="24"/>
          <w:lang w:eastAsia="en-US"/>
        </w:rPr>
        <w:t>18</w:t>
      </w:r>
      <w:r w:rsidRPr="00D241AD">
        <w:rPr>
          <w:rFonts w:eastAsia="Calibri"/>
          <w:b/>
          <w:szCs w:val="24"/>
          <w:lang w:eastAsia="en-US"/>
        </w:rPr>
        <w:t xml:space="preserve">. </w:t>
      </w:r>
      <w:r>
        <w:rPr>
          <w:rFonts w:eastAsia="Calibri"/>
          <w:b/>
          <w:szCs w:val="24"/>
          <w:lang w:eastAsia="en-US"/>
        </w:rPr>
        <w:t xml:space="preserve">lipnja </w:t>
      </w:r>
      <w:r w:rsidRPr="00D241AD">
        <w:rPr>
          <w:rFonts w:eastAsia="Calibri"/>
          <w:b/>
          <w:szCs w:val="24"/>
          <w:lang w:eastAsia="en-US"/>
        </w:rPr>
        <w:t>202</w:t>
      </w:r>
      <w:r>
        <w:rPr>
          <w:rFonts w:eastAsia="Calibri"/>
          <w:b/>
          <w:szCs w:val="24"/>
          <w:lang w:eastAsia="en-US"/>
        </w:rPr>
        <w:t>5</w:t>
      </w:r>
      <w:r w:rsidRPr="00D241AD">
        <w:rPr>
          <w:rFonts w:eastAsia="Calibri"/>
          <w:b/>
          <w:szCs w:val="24"/>
          <w:lang w:eastAsia="en-US"/>
        </w:rPr>
        <w:t xml:space="preserve">. radi donošenja </w:t>
      </w:r>
      <w:r>
        <w:rPr>
          <w:rFonts w:eastAsia="Calibri"/>
          <w:b/>
          <w:szCs w:val="24"/>
          <w:lang w:eastAsia="en-US"/>
        </w:rPr>
        <w:t>Odluke</w:t>
      </w:r>
      <w:r w:rsidRPr="00D241AD">
        <w:rPr>
          <w:rFonts w:eastAsia="Calibri"/>
          <w:b/>
          <w:szCs w:val="24"/>
          <w:lang w:eastAsia="en-US"/>
        </w:rPr>
        <w:t xml:space="preserve"> (EU) 202</w:t>
      </w:r>
      <w:r>
        <w:rPr>
          <w:rFonts w:eastAsia="Calibri"/>
          <w:b/>
          <w:szCs w:val="24"/>
          <w:lang w:eastAsia="en-US"/>
        </w:rPr>
        <w:t>5</w:t>
      </w:r>
      <w:r w:rsidRPr="00D241AD">
        <w:rPr>
          <w:rFonts w:eastAsia="Calibri"/>
          <w:b/>
          <w:szCs w:val="24"/>
          <w:lang w:eastAsia="en-US"/>
        </w:rPr>
        <w:t xml:space="preserve">/... Europskog parlamenta i Vijeća </w:t>
      </w:r>
      <w:r w:rsidRPr="00D241AD">
        <w:rPr>
          <w:rFonts w:eastAsia="Calibri"/>
          <w:b/>
          <w:snapToGrid w:val="0"/>
          <w:szCs w:val="24"/>
          <w:lang w:eastAsia="hr-HR"/>
        </w:rPr>
        <w:t xml:space="preserve">o </w:t>
      </w:r>
      <w:r w:rsidRPr="00D241AD">
        <w:rPr>
          <w:rFonts w:eastAsia="Calibri"/>
          <w:b/>
          <w:szCs w:val="22"/>
          <w:lang w:eastAsia="en-US"/>
        </w:rPr>
        <w:t>odobrenju od strane Unije Sporazuma</w:t>
      </w:r>
      <w:r>
        <w:rPr>
          <w:rFonts w:eastAsia="Calibri"/>
          <w:b/>
          <w:szCs w:val="22"/>
          <w:lang w:eastAsia="en-US"/>
        </w:rPr>
        <w:t xml:space="preserve"> </w:t>
      </w:r>
      <w:r w:rsidRPr="00D241AD">
        <w:rPr>
          <w:rFonts w:eastAsia="Calibri"/>
          <w:b/>
          <w:szCs w:val="22"/>
          <w:lang w:eastAsia="en-US"/>
        </w:rPr>
        <w:t>o tumačenju i primjeni Ugovora o energetskoj povelji</w:t>
      </w:r>
    </w:p>
    <w:p w14:paraId="688DE855" w14:textId="77777777" w:rsidR="006675FF" w:rsidRDefault="006675FF" w:rsidP="00C327E2">
      <w:pPr>
        <w:widowControl/>
        <w:rPr>
          <w:rFonts w:eastAsia="Calibri"/>
          <w:bCs/>
          <w:szCs w:val="22"/>
          <w:lang w:eastAsia="en-US"/>
        </w:rPr>
      </w:pPr>
    </w:p>
    <w:p w14:paraId="4F37C0EB" w14:textId="7032D598" w:rsidR="006675FF" w:rsidRPr="0092670D" w:rsidRDefault="006675FF" w:rsidP="006675FF">
      <w:pPr>
        <w:widowControl/>
        <w:rPr>
          <w:rFonts w:eastAsia="Calibri"/>
          <w:i/>
          <w:szCs w:val="24"/>
          <w:lang w:eastAsia="en-US"/>
        </w:rPr>
      </w:pPr>
      <w:r w:rsidRPr="0092670D">
        <w:rPr>
          <w:rFonts w:eastAsia="Calibri"/>
          <w:i/>
          <w:szCs w:val="24"/>
          <w:lang w:eastAsia="en-US"/>
        </w:rPr>
        <w:t>(S obzirom da je postignut sporazum Parlamenta i Vijeća, stajalište Parlamenta odgovara konačnom zakonodavnom aktu,</w:t>
      </w:r>
      <w:r>
        <w:rPr>
          <w:rFonts w:eastAsia="Calibri"/>
          <w:i/>
          <w:szCs w:val="24"/>
          <w:lang w:eastAsia="en-US"/>
        </w:rPr>
        <w:t xml:space="preserve"> Odluci</w:t>
      </w:r>
      <w:r w:rsidRPr="0092670D">
        <w:rPr>
          <w:rFonts w:eastAsia="Calibri"/>
          <w:i/>
          <w:szCs w:val="24"/>
          <w:lang w:eastAsia="en-US"/>
        </w:rPr>
        <w:t xml:space="preserve"> (EU) 2025/1</w:t>
      </w:r>
      <w:r>
        <w:rPr>
          <w:rFonts w:eastAsia="Calibri"/>
          <w:i/>
          <w:szCs w:val="24"/>
          <w:lang w:eastAsia="en-US"/>
        </w:rPr>
        <w:t>904</w:t>
      </w:r>
      <w:r w:rsidRPr="0092670D">
        <w:rPr>
          <w:rFonts w:eastAsia="Calibri"/>
          <w:i/>
          <w:szCs w:val="24"/>
          <w:lang w:eastAsia="en-US"/>
        </w:rPr>
        <w:t>.)</w:t>
      </w:r>
    </w:p>
    <w:p w14:paraId="28F0E3DE" w14:textId="77777777" w:rsidR="006675FF" w:rsidRPr="001C3174" w:rsidRDefault="006675FF" w:rsidP="006675FF">
      <w:pPr>
        <w:spacing w:before="120" w:after="120"/>
        <w:rPr>
          <w:rFonts w:eastAsia="Calibri"/>
          <w:b/>
          <w:bCs/>
          <w:noProof/>
          <w:szCs w:val="22"/>
          <w:lang w:eastAsia="en-US"/>
        </w:rPr>
      </w:pPr>
    </w:p>
    <w:p w14:paraId="37C65857" w14:textId="77777777" w:rsidR="006675FF" w:rsidRPr="006675FF" w:rsidRDefault="006675FF" w:rsidP="00C327E2">
      <w:pPr>
        <w:widowControl/>
        <w:rPr>
          <w:rFonts w:eastAsia="Calibri"/>
          <w:bCs/>
          <w:szCs w:val="22"/>
          <w:lang w:eastAsia="en-US"/>
        </w:rPr>
      </w:pPr>
    </w:p>
    <w:sectPr w:rsidR="006675FF" w:rsidRPr="006675FF" w:rsidSect="006675FF">
      <w:footnotePr>
        <w:numRestart w:val="eachSect"/>
      </w:footnotePr>
      <w:endnotePr>
        <w:numFmt w:val="decimal"/>
      </w:endnotePr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03618B" w14:textId="77777777" w:rsidR="00C01259" w:rsidRPr="009B5EC0" w:rsidRDefault="00C01259">
      <w:r w:rsidRPr="009B5EC0">
        <w:separator/>
      </w:r>
    </w:p>
  </w:endnote>
  <w:endnote w:type="continuationSeparator" w:id="0">
    <w:p w14:paraId="0564C6EB" w14:textId="77777777" w:rsidR="00C01259" w:rsidRPr="009B5EC0" w:rsidRDefault="00C01259">
      <w:r w:rsidRPr="009B5EC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5235A" w14:textId="77777777" w:rsidR="00064002" w:rsidRPr="009B5EC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4252D" w14:textId="77777777" w:rsidR="00064002" w:rsidRPr="009B5EC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BEFBFC" w14:textId="77777777" w:rsidR="00064002" w:rsidRPr="009B5EC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F65062" w14:textId="77777777" w:rsidR="00C01259" w:rsidRPr="009B5EC0" w:rsidRDefault="00C01259">
      <w:r w:rsidRPr="009B5EC0">
        <w:separator/>
      </w:r>
    </w:p>
  </w:footnote>
  <w:footnote w:type="continuationSeparator" w:id="0">
    <w:p w14:paraId="00BA2760" w14:textId="77777777" w:rsidR="00C01259" w:rsidRPr="009B5EC0" w:rsidRDefault="00C01259">
      <w:r w:rsidRPr="009B5EC0">
        <w:continuationSeparator/>
      </w:r>
    </w:p>
  </w:footnote>
  <w:footnote w:id="1">
    <w:p w14:paraId="37ADA9FE" w14:textId="77777777" w:rsidR="00574FB0" w:rsidRPr="009B5EC0" w:rsidRDefault="00574FB0" w:rsidP="009B5EC0">
      <w:pPr>
        <w:pStyle w:val="FootnoteText"/>
        <w:ind w:left="567" w:hanging="567"/>
        <w:rPr>
          <w:sz w:val="24"/>
          <w:lang w:val="hr-HR"/>
        </w:rPr>
      </w:pPr>
      <w:r w:rsidRPr="009B5EC0">
        <w:rPr>
          <w:rStyle w:val="FootnoteReference"/>
          <w:sz w:val="24"/>
          <w:lang w:val="hr-HR"/>
        </w:rPr>
        <w:footnoteRef/>
      </w:r>
      <w:r w:rsidR="009B5EC0" w:rsidRPr="009B5EC0">
        <w:rPr>
          <w:sz w:val="24"/>
          <w:lang w:val="hr-HR"/>
        </w:rPr>
        <w:t xml:space="preserve"> </w:t>
      </w:r>
      <w:r w:rsidR="009B5EC0" w:rsidRPr="009B5EC0">
        <w:rPr>
          <w:sz w:val="24"/>
          <w:lang w:val="hr-HR"/>
        </w:rPr>
        <w:tab/>
      </w:r>
      <w:r w:rsidR="00D241AD" w:rsidRPr="00D241AD">
        <w:rPr>
          <w:sz w:val="24"/>
          <w:lang w:val="hr-HR"/>
        </w:rPr>
        <w:t>Mišljenje od 4. prosinca 2024.</w:t>
      </w:r>
      <w:r w:rsidR="00D241AD">
        <w:rPr>
          <w:sz w:val="24"/>
          <w:lang w:val="hr-HR"/>
        </w:rPr>
        <w:t xml:space="preserve"> </w:t>
      </w:r>
      <w:r w:rsidR="00D241AD" w:rsidRPr="006675FF">
        <w:rPr>
          <w:sz w:val="24"/>
          <w:lang w:val="pl-PL"/>
        </w:rPr>
        <w:t>(SL C, C/2025/776, 11.2.2025., ELI: http://data.europa.eu/eli/C/2025/776/oj).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11F4D7" w14:textId="77777777" w:rsidR="00064002" w:rsidRPr="009B5EC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C5A5E8" w14:textId="77777777" w:rsidR="00064002" w:rsidRPr="009B5EC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32E52" w14:textId="77777777" w:rsidR="00064002" w:rsidRPr="009B5EC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00788063">
    <w:abstractNumId w:val="9"/>
  </w:num>
  <w:num w:numId="2" w16cid:durableId="1039550406">
    <w:abstractNumId w:val="9"/>
  </w:num>
  <w:num w:numId="3" w16cid:durableId="1433934740">
    <w:abstractNumId w:val="7"/>
  </w:num>
  <w:num w:numId="4" w16cid:durableId="287318520">
    <w:abstractNumId w:val="7"/>
  </w:num>
  <w:num w:numId="5" w16cid:durableId="201403908">
    <w:abstractNumId w:val="6"/>
  </w:num>
  <w:num w:numId="6" w16cid:durableId="1890412972">
    <w:abstractNumId w:val="6"/>
  </w:num>
  <w:num w:numId="7" w16cid:durableId="216280231">
    <w:abstractNumId w:val="5"/>
  </w:num>
  <w:num w:numId="8" w16cid:durableId="294340272">
    <w:abstractNumId w:val="5"/>
  </w:num>
  <w:num w:numId="9" w16cid:durableId="542251243">
    <w:abstractNumId w:val="4"/>
  </w:num>
  <w:num w:numId="10" w16cid:durableId="645596590">
    <w:abstractNumId w:val="4"/>
  </w:num>
  <w:num w:numId="11" w16cid:durableId="254635085">
    <w:abstractNumId w:val="8"/>
  </w:num>
  <w:num w:numId="12" w16cid:durableId="335772543">
    <w:abstractNumId w:val="8"/>
  </w:num>
  <w:num w:numId="13" w16cid:durableId="1144930841">
    <w:abstractNumId w:val="3"/>
  </w:num>
  <w:num w:numId="14" w16cid:durableId="544829974">
    <w:abstractNumId w:val="3"/>
  </w:num>
  <w:num w:numId="15" w16cid:durableId="288585357">
    <w:abstractNumId w:val="2"/>
  </w:num>
  <w:num w:numId="16" w16cid:durableId="496502959">
    <w:abstractNumId w:val="2"/>
  </w:num>
  <w:num w:numId="17" w16cid:durableId="6323885">
    <w:abstractNumId w:val="1"/>
  </w:num>
  <w:num w:numId="18" w16cid:durableId="708917433">
    <w:abstractNumId w:val="1"/>
  </w:num>
  <w:num w:numId="19" w16cid:durableId="894895113">
    <w:abstractNumId w:val="0"/>
  </w:num>
  <w:num w:numId="20" w16cid:durableId="762383059">
    <w:abstractNumId w:val="0"/>
  </w:num>
  <w:num w:numId="21" w16cid:durableId="1165438266">
    <w:abstractNumId w:val="9"/>
  </w:num>
  <w:num w:numId="22" w16cid:durableId="1684625039">
    <w:abstractNumId w:val="7"/>
  </w:num>
  <w:num w:numId="23" w16cid:durableId="767042117">
    <w:abstractNumId w:val="6"/>
  </w:num>
  <w:num w:numId="24" w16cid:durableId="691495446">
    <w:abstractNumId w:val="5"/>
  </w:num>
  <w:num w:numId="25" w16cid:durableId="500971967">
    <w:abstractNumId w:val="4"/>
  </w:num>
  <w:num w:numId="26" w16cid:durableId="796723614">
    <w:abstractNumId w:val="8"/>
  </w:num>
  <w:num w:numId="27" w16cid:durableId="1946185399">
    <w:abstractNumId w:val="3"/>
  </w:num>
  <w:num w:numId="28" w16cid:durableId="1292905249">
    <w:abstractNumId w:val="2"/>
  </w:num>
  <w:num w:numId="29" w16cid:durableId="1645498927">
    <w:abstractNumId w:val="1"/>
  </w:num>
  <w:num w:numId="30" w16cid:durableId="706637520">
    <w:abstractNumId w:val="0"/>
  </w:num>
  <w:num w:numId="31" w16cid:durableId="521474445">
    <w:abstractNumId w:val="9"/>
  </w:num>
  <w:num w:numId="32" w16cid:durableId="1609506613">
    <w:abstractNumId w:val="7"/>
  </w:num>
  <w:num w:numId="33" w16cid:durableId="1516963485">
    <w:abstractNumId w:val="6"/>
  </w:num>
  <w:num w:numId="34" w16cid:durableId="1372732665">
    <w:abstractNumId w:val="5"/>
  </w:num>
  <w:num w:numId="35" w16cid:durableId="296104691">
    <w:abstractNumId w:val="4"/>
  </w:num>
  <w:num w:numId="36" w16cid:durableId="1601714942">
    <w:abstractNumId w:val="8"/>
  </w:num>
  <w:num w:numId="37" w16cid:durableId="272444553">
    <w:abstractNumId w:val="3"/>
  </w:num>
  <w:num w:numId="38" w16cid:durableId="599071330">
    <w:abstractNumId w:val="2"/>
  </w:num>
  <w:num w:numId="39" w16cid:durableId="1629049365">
    <w:abstractNumId w:val="1"/>
  </w:num>
  <w:num w:numId="40" w16cid:durableId="619216778">
    <w:abstractNumId w:val="0"/>
  </w:num>
  <w:num w:numId="41" w16cid:durableId="1641839062">
    <w:abstractNumId w:val="10"/>
  </w:num>
  <w:num w:numId="42" w16cid:durableId="1562642682">
    <w:abstractNumId w:val="10"/>
  </w:num>
  <w:num w:numId="43" w16cid:durableId="536087822">
    <w:abstractNumId w:val="10"/>
  </w:num>
  <w:num w:numId="44" w16cid:durableId="2389016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09/2025"/>
    <w:docVar w:name="dvlangue" w:val="HR"/>
    <w:docVar w:name="dvnumam" w:val="0"/>
    <w:docVar w:name="dvpe" w:val="767.940"/>
    <w:docVar w:name="dvrapporteur" w:val="Izvjestitelji: "/>
    <w:docVar w:name="dvstar" w:val="***I"/>
    <w:docVar w:name="dvtitre" w:val="Zakonodavna rezolucija Europskog parlamenta od .... 2025. o Prijedlogu odluke Europskog parlamenta i Vijeća o donošenju od strane Unije Sporazuma o tumačenju i primjeni Ugovora o Energetskoj povelji između Europske unije, Europske zajednice za atomsku energiju i njihovih država članica(COM(2024)0257 – C10-0058/2024 – 2024/0148(COD))"/>
  </w:docVars>
  <w:rsids>
    <w:rsidRoot w:val="00C0125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8387F"/>
    <w:rsid w:val="002B18FE"/>
    <w:rsid w:val="002B5493"/>
    <w:rsid w:val="002F6567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4FB0"/>
    <w:rsid w:val="005C2568"/>
    <w:rsid w:val="005F1B17"/>
    <w:rsid w:val="006037C0"/>
    <w:rsid w:val="00606C50"/>
    <w:rsid w:val="006631B6"/>
    <w:rsid w:val="006675FF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4274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5EC0"/>
    <w:rsid w:val="009E0B4E"/>
    <w:rsid w:val="00A1687D"/>
    <w:rsid w:val="00A43E52"/>
    <w:rsid w:val="00A4678D"/>
    <w:rsid w:val="00A778C7"/>
    <w:rsid w:val="00AB441E"/>
    <w:rsid w:val="00AB6293"/>
    <w:rsid w:val="00AE0928"/>
    <w:rsid w:val="00AF3657"/>
    <w:rsid w:val="00AF3B82"/>
    <w:rsid w:val="00B12E95"/>
    <w:rsid w:val="00B22876"/>
    <w:rsid w:val="00B558F0"/>
    <w:rsid w:val="00BD48FE"/>
    <w:rsid w:val="00BD7BD8"/>
    <w:rsid w:val="00BE6ADC"/>
    <w:rsid w:val="00C01259"/>
    <w:rsid w:val="00C05BFE"/>
    <w:rsid w:val="00C23CD4"/>
    <w:rsid w:val="00C327E2"/>
    <w:rsid w:val="00C61C0C"/>
    <w:rsid w:val="00C941CB"/>
    <w:rsid w:val="00CC2357"/>
    <w:rsid w:val="00CF071A"/>
    <w:rsid w:val="00D058B8"/>
    <w:rsid w:val="00D241AD"/>
    <w:rsid w:val="00D56C11"/>
    <w:rsid w:val="00D834A0"/>
    <w:rsid w:val="00D872DF"/>
    <w:rsid w:val="00D91E21"/>
    <w:rsid w:val="00DA17D2"/>
    <w:rsid w:val="00DA7FCD"/>
    <w:rsid w:val="00DD2962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631282"/>
  <w15:chartTrackingRefBased/>
  <w15:docId w15:val="{6919BB9D-8FB5-4528-AF91-FD952E6DD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574FB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574FB0"/>
    <w:pPr>
      <w:spacing w:before="480" w:after="240"/>
    </w:pPr>
  </w:style>
  <w:style w:type="paragraph" w:customStyle="1" w:styleId="PageHeading">
    <w:name w:val="PageHeading"/>
    <w:basedOn w:val="Normal"/>
    <w:rsid w:val="00574FB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574FB0"/>
    <w:rPr>
      <w:b/>
    </w:rPr>
  </w:style>
  <w:style w:type="paragraph" w:customStyle="1" w:styleId="NormalHanging12a">
    <w:name w:val="NormalHanging12a"/>
    <w:basedOn w:val="Normal"/>
    <w:rsid w:val="00574FB0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574FB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74FB0"/>
    <w:rPr>
      <w:sz w:val="24"/>
      <w:lang w:val="hr-HR"/>
    </w:rPr>
  </w:style>
  <w:style w:type="paragraph" w:customStyle="1" w:styleId="EPFooter">
    <w:name w:val="EPFooter"/>
    <w:basedOn w:val="Normal"/>
    <w:rsid w:val="00574FB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Normal24a">
    <w:name w:val="Normal24a"/>
    <w:basedOn w:val="Normal"/>
    <w:rsid w:val="00574FB0"/>
    <w:pPr>
      <w:spacing w:after="480"/>
    </w:pPr>
  </w:style>
  <w:style w:type="paragraph" w:customStyle="1" w:styleId="Footprint12b">
    <w:name w:val="Footprint12b"/>
    <w:basedOn w:val="Normal"/>
    <w:rsid w:val="00574FB0"/>
    <w:pPr>
      <w:spacing w:before="240"/>
    </w:pPr>
    <w:rPr>
      <w:szCs w:val="24"/>
    </w:rPr>
  </w:style>
  <w:style w:type="character" w:styleId="Hyperlink">
    <w:name w:val="Hyperlink"/>
    <w:basedOn w:val="DefaultParagraphFont"/>
    <w:rsid w:val="00D241A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D241A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241AD"/>
    <w:rPr>
      <w:rFonts w:ascii="Segoe UI" w:hAnsi="Segoe UI" w:cs="Segoe UI"/>
      <w:sz w:val="18"/>
      <w:szCs w:val="18"/>
      <w:lang w:val="hr-HR"/>
    </w:rPr>
  </w:style>
  <w:style w:type="character" w:styleId="FollowedHyperlink">
    <w:name w:val="FollowedHyperlink"/>
    <w:basedOn w:val="DefaultParagraphFont"/>
    <w:rsid w:val="00AF365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C10952-1C1B-4003-80C0-B815E713C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295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JELIC PRIMORAC Ivana</cp:lastModifiedBy>
  <cp:revision>2</cp:revision>
  <cp:lastPrinted>2004-11-19T15:42:00Z</cp:lastPrinted>
  <dcterms:created xsi:type="dcterms:W3CDTF">2025-09-25T14:08:00Z</dcterms:created>
  <dcterms:modified xsi:type="dcterms:W3CDTF">2025-09-25T14:08:00Z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P10_TA(2025)0126_</vt:lpwstr>
  </property>
  <property fmtid="{D5CDD505-2E9C-101B-9397-08002B2CF9AE}" pid="4" name="&lt;Type&gt;">
    <vt:lpwstr>RR</vt:lpwstr>
  </property>
</Properties>
</file>