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59DF" w14:paraId="53368C67" w14:textId="77777777" w:rsidTr="0010095E">
        <w:trPr>
          <w:trHeight w:hRule="exact" w:val="1418"/>
        </w:trPr>
        <w:tc>
          <w:tcPr>
            <w:tcW w:w="6804" w:type="dxa"/>
            <w:shd w:val="clear" w:color="auto" w:fill="auto"/>
            <w:vAlign w:val="center"/>
          </w:tcPr>
          <w:p w14:paraId="3F6298B6" w14:textId="77777777" w:rsidR="00751A4A" w:rsidRPr="009E59DF" w:rsidRDefault="007A4303" w:rsidP="0010095E">
            <w:pPr>
              <w:pStyle w:val="EPName"/>
            </w:pPr>
            <w:r w:rsidRPr="009E59DF">
              <w:t>Parlamento europeo</w:t>
            </w:r>
          </w:p>
          <w:p w14:paraId="44894C31" w14:textId="77777777" w:rsidR="00751A4A" w:rsidRPr="009E59DF" w:rsidRDefault="005F1B17" w:rsidP="005F1B17">
            <w:pPr>
              <w:pStyle w:val="EPTerm"/>
              <w:rPr>
                <w:rStyle w:val="HideTWBExt"/>
                <w:noProof w:val="0"/>
                <w:vanish w:val="0"/>
                <w:color w:val="auto"/>
              </w:rPr>
            </w:pPr>
            <w:r w:rsidRPr="009E59DF">
              <w:t>2024</w:t>
            </w:r>
            <w:r w:rsidR="00817416" w:rsidRPr="009E59DF">
              <w:t>-202</w:t>
            </w:r>
            <w:r w:rsidRPr="009E59DF">
              <w:t>9</w:t>
            </w:r>
          </w:p>
        </w:tc>
        <w:tc>
          <w:tcPr>
            <w:tcW w:w="2268" w:type="dxa"/>
            <w:shd w:val="clear" w:color="auto" w:fill="auto"/>
          </w:tcPr>
          <w:p w14:paraId="623CD7FA" w14:textId="77777777" w:rsidR="00751A4A" w:rsidRPr="009E59DF" w:rsidRDefault="00187494" w:rsidP="0010095E">
            <w:pPr>
              <w:pStyle w:val="EPLogo"/>
            </w:pPr>
            <w:r w:rsidRPr="009E59DF">
              <w:rPr>
                <w:noProof/>
                <w:lang w:val="en-GB"/>
              </w:rPr>
              <w:drawing>
                <wp:inline distT="0" distB="0" distL="0" distR="0" wp14:anchorId="7B60DD8C" wp14:editId="4E203A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B52B8C" w14:textId="77777777" w:rsidR="00D058B8" w:rsidRPr="009E59DF" w:rsidRDefault="00D058B8" w:rsidP="004C5D52">
      <w:pPr>
        <w:pStyle w:val="LineTop"/>
      </w:pPr>
    </w:p>
    <w:p w14:paraId="37549BC9" w14:textId="77777777" w:rsidR="00680577" w:rsidRPr="009E59DF" w:rsidRDefault="007A4303" w:rsidP="00680577">
      <w:pPr>
        <w:pStyle w:val="EPBodyTA1"/>
      </w:pPr>
      <w:r w:rsidRPr="009E59DF">
        <w:t>TESTI APPROVATI</w:t>
      </w:r>
    </w:p>
    <w:p w14:paraId="43E946A9" w14:textId="77777777" w:rsidR="00D058B8" w:rsidRPr="009E59DF" w:rsidRDefault="00D058B8" w:rsidP="00D058B8">
      <w:pPr>
        <w:pStyle w:val="LineBottom"/>
      </w:pPr>
    </w:p>
    <w:p w14:paraId="674896A9" w14:textId="14352D38" w:rsidR="007A4303" w:rsidRPr="009E59DF" w:rsidRDefault="007A4303" w:rsidP="007A4303">
      <w:pPr>
        <w:pStyle w:val="ATHeading1"/>
      </w:pPr>
      <w:bookmarkStart w:id="0" w:name="TANumber"/>
      <w:r w:rsidRPr="009E59DF">
        <w:t>P10_</w:t>
      </w:r>
      <w:proofErr w:type="gramStart"/>
      <w:r w:rsidRPr="009E59DF">
        <w:t>TA(</w:t>
      </w:r>
      <w:proofErr w:type="gramEnd"/>
      <w:r w:rsidRPr="009E59DF">
        <w:t>2025)0</w:t>
      </w:r>
      <w:bookmarkEnd w:id="0"/>
      <w:r w:rsidR="006454DA" w:rsidRPr="009E59DF">
        <w:t>126</w:t>
      </w:r>
    </w:p>
    <w:p w14:paraId="66C8C65B" w14:textId="77777777" w:rsidR="007A4303" w:rsidRPr="009E59DF" w:rsidRDefault="007A4303" w:rsidP="007A4303">
      <w:pPr>
        <w:pStyle w:val="ATHeading2"/>
      </w:pPr>
      <w:bookmarkStart w:id="1" w:name="title"/>
      <w:r w:rsidRPr="009E59DF">
        <w:t>Adozione, da parte dell'Unione, dell'accordo concernente l'interpretazione e l'applicazione del trattato sulla Carta dell'energia</w:t>
      </w:r>
      <w:bookmarkEnd w:id="1"/>
    </w:p>
    <w:p w14:paraId="3F6E7FA7" w14:textId="77777777" w:rsidR="007A4303" w:rsidRPr="009E59DF" w:rsidRDefault="007A4303" w:rsidP="007A4303">
      <w:pPr>
        <w:rPr>
          <w:i/>
          <w:vanish/>
        </w:rPr>
      </w:pPr>
      <w:r w:rsidRPr="009E59DF">
        <w:rPr>
          <w:i/>
        </w:rPr>
        <w:fldChar w:fldCharType="begin"/>
      </w:r>
      <w:r w:rsidRPr="009E59DF">
        <w:rPr>
          <w:i/>
        </w:rPr>
        <w:instrText xml:space="preserve"> TC"(</w:instrText>
      </w:r>
      <w:bookmarkStart w:id="2" w:name="DocNumber"/>
      <w:r w:rsidRPr="009E59DF">
        <w:rPr>
          <w:i/>
        </w:rPr>
        <w:instrText>A10-0009/2025</w:instrText>
      </w:r>
      <w:bookmarkEnd w:id="2"/>
      <w:r w:rsidRPr="009E59DF">
        <w:rPr>
          <w:i/>
        </w:rPr>
        <w:instrText xml:space="preserve"> - Relatori: Anna Cavazzini, Borys Budka)"\l3 \n&gt; \* MERGEFORMAT </w:instrText>
      </w:r>
      <w:r w:rsidRPr="009E59DF">
        <w:rPr>
          <w:i/>
        </w:rPr>
        <w:fldChar w:fldCharType="end"/>
      </w:r>
    </w:p>
    <w:p w14:paraId="0D240768" w14:textId="77777777" w:rsidR="007A4303" w:rsidRPr="009E59DF" w:rsidRDefault="007A4303" w:rsidP="007A4303">
      <w:pPr>
        <w:rPr>
          <w:vanish/>
        </w:rPr>
      </w:pPr>
      <w:bookmarkStart w:id="3" w:name="Commission"/>
      <w:r w:rsidRPr="009E59DF">
        <w:rPr>
          <w:vanish/>
        </w:rPr>
        <w:t>Commissione per il commercio internazionale, Commissione per l'industria, la ricerca e l'energia</w:t>
      </w:r>
      <w:bookmarkEnd w:id="3"/>
    </w:p>
    <w:p w14:paraId="3A3CDD2D" w14:textId="77777777" w:rsidR="007A4303" w:rsidRPr="009E59DF" w:rsidRDefault="007A4303" w:rsidP="007A4303">
      <w:pPr>
        <w:rPr>
          <w:vanish/>
        </w:rPr>
      </w:pPr>
      <w:bookmarkStart w:id="4" w:name="PE"/>
      <w:r w:rsidRPr="009E59DF">
        <w:rPr>
          <w:vanish/>
        </w:rPr>
        <w:t>PE767.940</w:t>
      </w:r>
      <w:bookmarkEnd w:id="4"/>
    </w:p>
    <w:p w14:paraId="4BFDCA42" w14:textId="73755EC9" w:rsidR="007A4303" w:rsidRPr="009E59DF" w:rsidRDefault="007A4303" w:rsidP="007A4303">
      <w:pPr>
        <w:pStyle w:val="ATHeading3"/>
      </w:pPr>
      <w:bookmarkStart w:id="5" w:name="Sujet"/>
      <w:r w:rsidRPr="009E59DF">
        <w:t xml:space="preserve">Risoluzione legislativa del Parlamento europeo del </w:t>
      </w:r>
      <w:r w:rsidR="005000FF" w:rsidRPr="009E59DF">
        <w:t xml:space="preserve">18 </w:t>
      </w:r>
      <w:r w:rsidRPr="009E59DF">
        <w:t>giugno 2025 sulla proposta di decisione del Parlamento europeo e del Consiglio relativa all'adozione, da parte dell'Unione, dell'accordo concernente l'interpretazione e l'applicazione del trattato sulla Carta dell'energia tra l'Unione europea e la Comunità europea dell'energia atomica e i loro Stati membri</w:t>
      </w:r>
      <w:bookmarkEnd w:id="5"/>
      <w:r w:rsidRPr="009E59DF">
        <w:t xml:space="preserve"> </w:t>
      </w:r>
      <w:bookmarkStart w:id="6" w:name="References"/>
      <w:r w:rsidRPr="009E59DF">
        <w:t>(</w:t>
      </w:r>
      <w:proofErr w:type="gramStart"/>
      <w:r w:rsidRPr="009E59DF">
        <w:t>COM(</w:t>
      </w:r>
      <w:proofErr w:type="gramEnd"/>
      <w:r w:rsidRPr="009E59DF">
        <w:t>2024)0257 – C10-0058/2024 – 2024/0148(COD))</w:t>
      </w:r>
      <w:bookmarkEnd w:id="6"/>
    </w:p>
    <w:p w14:paraId="624527AE" w14:textId="77777777" w:rsidR="007A4303" w:rsidRPr="009E59DF" w:rsidRDefault="007A4303" w:rsidP="007A4303"/>
    <w:p w14:paraId="12103906" w14:textId="77777777" w:rsidR="00077E21" w:rsidRPr="009E59DF" w:rsidRDefault="00077E21" w:rsidP="00077E21">
      <w:pPr>
        <w:pStyle w:val="NormalBold"/>
      </w:pPr>
      <w:bookmarkStart w:id="7" w:name="TextBodyBegin"/>
      <w:bookmarkEnd w:id="7"/>
      <w:r w:rsidRPr="009E59DF">
        <w:t>(Procedura legislativa ordinaria: prima lettura)</w:t>
      </w:r>
    </w:p>
    <w:p w14:paraId="1368437F" w14:textId="77777777" w:rsidR="00077E21" w:rsidRPr="009E59DF" w:rsidRDefault="00077E21" w:rsidP="00077E21">
      <w:pPr>
        <w:pStyle w:val="EPComma"/>
      </w:pPr>
      <w:r w:rsidRPr="009E59DF">
        <w:rPr>
          <w:i/>
          <w:iCs/>
        </w:rPr>
        <w:t>Il Parlamento europeo</w:t>
      </w:r>
      <w:r w:rsidRPr="009E59DF">
        <w:t>,</w:t>
      </w:r>
    </w:p>
    <w:p w14:paraId="21F207FA" w14:textId="77777777" w:rsidR="00077E21" w:rsidRPr="009E59DF" w:rsidRDefault="00077E21" w:rsidP="00077E21">
      <w:pPr>
        <w:pStyle w:val="NormalHanging12a"/>
      </w:pPr>
      <w:r w:rsidRPr="009E59DF">
        <w:t>–</w:t>
      </w:r>
      <w:r w:rsidRPr="009E59DF">
        <w:tab/>
        <w:t>vista la proposta della Commissione al Parlamento europeo e al Consiglio (</w:t>
      </w:r>
      <w:proofErr w:type="gramStart"/>
      <w:r w:rsidRPr="009E59DF">
        <w:t>COM(</w:t>
      </w:r>
      <w:proofErr w:type="gramEnd"/>
      <w:r w:rsidRPr="009E59DF">
        <w:t>2024)0257),</w:t>
      </w:r>
    </w:p>
    <w:p w14:paraId="5D28B512" w14:textId="77777777" w:rsidR="00077E21" w:rsidRPr="009E59DF" w:rsidRDefault="00077E21" w:rsidP="00077E21">
      <w:pPr>
        <w:pStyle w:val="NormalHanging12a"/>
      </w:pPr>
      <w:r w:rsidRPr="009E59DF">
        <w:t>–</w:t>
      </w:r>
      <w:r w:rsidRPr="009E59DF">
        <w:tab/>
        <w:t>visti l'articolo 294, paragrafo 2, e l'articolo 194 del trattato sul funzionamento dell'Unione europea, a norma dei quali la proposta gli è stata presentata dalla Commissione (C10</w:t>
      </w:r>
      <w:r w:rsidRPr="009E59DF">
        <w:noBreakHyphen/>
        <w:t>0058/2024),</w:t>
      </w:r>
    </w:p>
    <w:p w14:paraId="7DB756AA" w14:textId="77777777" w:rsidR="00077E21" w:rsidRPr="009E59DF" w:rsidRDefault="00077E21" w:rsidP="00077E21">
      <w:pPr>
        <w:pStyle w:val="NormalHanging12a"/>
      </w:pPr>
      <w:r w:rsidRPr="009E59DF">
        <w:t>–</w:t>
      </w:r>
      <w:r w:rsidRPr="009E59DF">
        <w:tab/>
        <w:t>visto l'articolo 294, paragrafo 3, del trattato sul funzionamento dell'Unione europea,</w:t>
      </w:r>
    </w:p>
    <w:p w14:paraId="695B35A0" w14:textId="77777777" w:rsidR="00077E21" w:rsidRPr="009E59DF" w:rsidRDefault="00077E21" w:rsidP="00077E21">
      <w:pPr>
        <w:pStyle w:val="NormalHanging12a"/>
      </w:pPr>
      <w:r w:rsidRPr="009E59DF">
        <w:t>–</w:t>
      </w:r>
      <w:r w:rsidRPr="009E59DF">
        <w:tab/>
        <w:t>visto il parere del Comitato economico e sociale europeo del 4 dicembre 2024</w:t>
      </w:r>
      <w:r w:rsidRPr="009E59DF">
        <w:rPr>
          <w:rStyle w:val="FootnoteReference"/>
        </w:rPr>
        <w:footnoteReference w:id="1"/>
      </w:r>
      <w:r w:rsidRPr="009E59DF">
        <w:t xml:space="preserve">,  </w:t>
      </w:r>
    </w:p>
    <w:p w14:paraId="6B251F74" w14:textId="77777777" w:rsidR="00077E21" w:rsidRPr="009E59DF" w:rsidRDefault="00077E21" w:rsidP="00077E21">
      <w:pPr>
        <w:pStyle w:val="NormalHanging12a"/>
      </w:pPr>
      <w:r w:rsidRPr="009E59DF">
        <w:t>–</w:t>
      </w:r>
      <w:r w:rsidRPr="009E59DF">
        <w:tab/>
        <w:t>previa consultazione del Comitato delle regioni,</w:t>
      </w:r>
    </w:p>
    <w:p w14:paraId="4550EB64" w14:textId="77777777" w:rsidR="006454DA" w:rsidRPr="009E59DF" w:rsidRDefault="006454DA" w:rsidP="006454DA">
      <w:pPr>
        <w:pStyle w:val="Normal12Hanging"/>
        <w:ind w:left="567" w:hanging="567"/>
      </w:pPr>
      <w:r w:rsidRPr="009E59DF">
        <w:t>–</w:t>
      </w:r>
      <w:r w:rsidRPr="009E59DF">
        <w:tab/>
        <w:t>visti l'accordo provvisorio approvato dalle commissioni competenti a norma dell'articolo 75, paragrafo 4, del regolamento e l'impegno assunto dal rappresentante del Consiglio, con lettera del 14 maggio 2025, di approvare la posizione del Parlamento europeo, in conformità dell'articolo 294, paragrafo 4, del trattato sul funzionamento dell'Unione europea,</w:t>
      </w:r>
    </w:p>
    <w:p w14:paraId="0A34874D" w14:textId="77777777" w:rsidR="00077E21" w:rsidRPr="009E59DF" w:rsidRDefault="00077E21" w:rsidP="00077E21">
      <w:pPr>
        <w:pStyle w:val="NormalHanging12a"/>
      </w:pPr>
      <w:r w:rsidRPr="009E59DF">
        <w:lastRenderedPageBreak/>
        <w:t>–</w:t>
      </w:r>
      <w:r w:rsidRPr="009E59DF">
        <w:tab/>
        <w:t>visto l'articolo 60 del suo regolamento,</w:t>
      </w:r>
    </w:p>
    <w:p w14:paraId="1C3746A7" w14:textId="77777777" w:rsidR="00077E21" w:rsidRPr="009E59DF" w:rsidRDefault="00077E21" w:rsidP="00077E21">
      <w:pPr>
        <w:pStyle w:val="NormalHanging12a"/>
      </w:pPr>
      <w:r w:rsidRPr="009E59DF">
        <w:t>–</w:t>
      </w:r>
      <w:r w:rsidRPr="009E59DF">
        <w:tab/>
        <w:t>vista la relazione della commissione per il commercio internazionale e della commissione per l'industria, la ricerca e l'energia (A10</w:t>
      </w:r>
      <w:r w:rsidRPr="009E59DF">
        <w:noBreakHyphen/>
        <w:t>0009/2025),</w:t>
      </w:r>
    </w:p>
    <w:p w14:paraId="0F9E388E" w14:textId="1B05B01D" w:rsidR="00077E21" w:rsidRPr="009E59DF" w:rsidRDefault="00077E21" w:rsidP="00077E21">
      <w:pPr>
        <w:pStyle w:val="NormalHanging12a"/>
      </w:pPr>
      <w:r w:rsidRPr="009E59DF">
        <w:t>1.</w:t>
      </w:r>
      <w:r w:rsidRPr="009E59DF">
        <w:tab/>
        <w:t xml:space="preserve">adotta la sua posizione in prima lettura </w:t>
      </w:r>
      <w:r w:rsidR="005000FF" w:rsidRPr="009E59DF">
        <w:t>figurante in appresso</w:t>
      </w:r>
      <w:r w:rsidRPr="009E59DF">
        <w:t>;</w:t>
      </w:r>
    </w:p>
    <w:p w14:paraId="43EC68CA" w14:textId="77777777" w:rsidR="00077E21" w:rsidRPr="009E59DF" w:rsidRDefault="00077E21" w:rsidP="00077E21">
      <w:pPr>
        <w:pStyle w:val="NormalHanging12a"/>
      </w:pPr>
      <w:r w:rsidRPr="009E59DF">
        <w:t>2.</w:t>
      </w:r>
      <w:r w:rsidRPr="009E59DF">
        <w:tab/>
        <w:t>chiede alla Commissione di presentargli nuovamente la proposta qualora la sostituisca, la modifichi sostanzialmente o intenda modificarla sostanzialmente;</w:t>
      </w:r>
    </w:p>
    <w:p w14:paraId="5F7CF8FA" w14:textId="77777777" w:rsidR="00BD4B22" w:rsidRPr="009E59DF" w:rsidRDefault="00077E21" w:rsidP="00BD4B22">
      <w:pPr>
        <w:pStyle w:val="NormalHanging12a"/>
      </w:pPr>
      <w:r w:rsidRPr="009E59DF">
        <w:t>3.</w:t>
      </w:r>
      <w:r w:rsidRPr="009E59DF">
        <w:tab/>
        <w:t>incarica la sua Presidente di trasmettere la posizione del Parlamento al Consiglio e alla Commissione nonché ai parlamenti nazionali.</w:t>
      </w:r>
    </w:p>
    <w:p w14:paraId="586888BA" w14:textId="77777777" w:rsidR="005000FF" w:rsidRPr="009E59DF" w:rsidRDefault="005000FF" w:rsidP="007A4303">
      <w:pPr>
        <w:sectPr w:rsidR="005000FF" w:rsidRPr="009E59DF" w:rsidSect="00BD4B2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D5235B7" w14:textId="77777777" w:rsidR="005000FF" w:rsidRPr="009E59DF" w:rsidRDefault="005000FF" w:rsidP="005000FF">
      <w:pPr>
        <w:spacing w:after="240"/>
        <w:rPr>
          <w:b/>
        </w:rPr>
      </w:pPr>
      <w:r w:rsidRPr="009E59DF">
        <w:rPr>
          <w:b/>
        </w:rPr>
        <w:lastRenderedPageBreak/>
        <w:t>P10_TC1-</w:t>
      </w:r>
      <w:proofErr w:type="gramStart"/>
      <w:r w:rsidRPr="009E59DF">
        <w:rPr>
          <w:b/>
        </w:rPr>
        <w:t>COD(</w:t>
      </w:r>
      <w:proofErr w:type="gramEnd"/>
      <w:r w:rsidRPr="009E59DF">
        <w:rPr>
          <w:b/>
        </w:rPr>
        <w:t>2024)0148</w:t>
      </w:r>
    </w:p>
    <w:p w14:paraId="15E387C6" w14:textId="4D6376B9" w:rsidR="005000FF" w:rsidRPr="009E59DF" w:rsidRDefault="005000FF" w:rsidP="005000FF">
      <w:pPr>
        <w:pStyle w:val="Normal12Centre"/>
        <w:spacing w:before="240"/>
        <w:jc w:val="left"/>
        <w:rPr>
          <w:rFonts w:eastAsia="Calibri"/>
          <w:b/>
          <w:szCs w:val="22"/>
          <w:lang w:eastAsia="en-US"/>
        </w:rPr>
      </w:pPr>
      <w:r w:rsidRPr="009E59DF">
        <w:rPr>
          <w:b/>
        </w:rPr>
        <w:t xml:space="preserve">Posizione del Parlamento europeo definita in prima lettura il 18 giugno 2025 in vista dell'adozione della decisione (UE) 2025/... del Parlamento europeo e del Consiglio </w:t>
      </w:r>
      <w:r w:rsidRPr="009E59DF">
        <w:rPr>
          <w:rFonts w:eastAsia="Calibri"/>
          <w:b/>
          <w:szCs w:val="22"/>
          <w:lang w:eastAsia="en-US"/>
        </w:rPr>
        <w:t>relativa all'approvazione, da parte dell'Unione, dell'accordo concernente l'interpretazione e l'applicazione del trattato sulla Carta dell'energia</w:t>
      </w:r>
    </w:p>
    <w:p w14:paraId="65EF3F3C" w14:textId="67FC61DD" w:rsidR="009E59DF" w:rsidRPr="009E59DF" w:rsidRDefault="009E59DF" w:rsidP="009E59DF">
      <w:pPr>
        <w:rPr>
          <w:i/>
        </w:rPr>
      </w:pPr>
      <w:r w:rsidRPr="009E59DF">
        <w:rPr>
          <w:i/>
        </w:rPr>
        <w:t>(Dato l'accordo tra il Parlamento e il Consiglio, la posizione del Parlamento corrisponde all'atto legislativo finale, la decisione (UE) 2025/</w:t>
      </w:r>
      <w:r w:rsidRPr="009E59DF">
        <w:rPr>
          <w:i/>
        </w:rPr>
        <w:t>1904</w:t>
      </w:r>
      <w:r w:rsidRPr="009E59DF">
        <w:rPr>
          <w:i/>
        </w:rPr>
        <w:t>.)</w:t>
      </w:r>
    </w:p>
    <w:sectPr w:rsidR="009E59DF" w:rsidRPr="009E59DF" w:rsidSect="00BD4B22">
      <w:footerReference w:type="default" r:id="rId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28251" w14:textId="77777777" w:rsidR="007A4303" w:rsidRPr="00BD4B22" w:rsidRDefault="007A4303">
      <w:r w:rsidRPr="00BD4B22">
        <w:separator/>
      </w:r>
    </w:p>
  </w:endnote>
  <w:endnote w:type="continuationSeparator" w:id="0">
    <w:p w14:paraId="547FEFDE" w14:textId="77777777" w:rsidR="007A4303" w:rsidRPr="00BD4B22" w:rsidRDefault="007A4303">
      <w:r w:rsidRPr="00BD4B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CA2EE" w14:textId="77777777" w:rsidR="005000FF" w:rsidRPr="005000FF" w:rsidRDefault="005000FF" w:rsidP="005000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E0405" w14:textId="77777777" w:rsidR="007A4303" w:rsidRPr="00BD4B22" w:rsidRDefault="007A4303">
      <w:r w:rsidRPr="00BD4B22">
        <w:separator/>
      </w:r>
    </w:p>
  </w:footnote>
  <w:footnote w:type="continuationSeparator" w:id="0">
    <w:p w14:paraId="7C67DF04" w14:textId="77777777" w:rsidR="007A4303" w:rsidRPr="00BD4B22" w:rsidRDefault="007A4303">
      <w:r w:rsidRPr="00BD4B22">
        <w:continuationSeparator/>
      </w:r>
    </w:p>
  </w:footnote>
  <w:footnote w:id="1">
    <w:p w14:paraId="67CA57CC" w14:textId="2BD1DAE4" w:rsidR="00077E21" w:rsidRPr="00023466" w:rsidRDefault="00077E21" w:rsidP="00BD4B22">
      <w:pPr>
        <w:pStyle w:val="FootnoteText"/>
        <w:ind w:left="567" w:hanging="567"/>
        <w:rPr>
          <w:sz w:val="24"/>
          <w:szCs w:val="24"/>
          <w:lang w:val="it-IT"/>
        </w:rPr>
      </w:pPr>
      <w:r w:rsidRPr="00023466">
        <w:rPr>
          <w:rStyle w:val="FootnoteReference"/>
          <w:sz w:val="24"/>
          <w:szCs w:val="24"/>
          <w:lang w:val="it-IT"/>
        </w:rPr>
        <w:footnoteRef/>
      </w:r>
      <w:r w:rsidR="00BD4B22" w:rsidRPr="00023466">
        <w:rPr>
          <w:rStyle w:val="highlightingtext"/>
          <w:sz w:val="24"/>
          <w:szCs w:val="24"/>
          <w:lang w:val="it-IT"/>
        </w:rPr>
        <w:t xml:space="preserve"> </w:t>
      </w:r>
      <w:r w:rsidR="00BD4B22" w:rsidRPr="00023466">
        <w:rPr>
          <w:rStyle w:val="highlightingtext"/>
          <w:sz w:val="24"/>
          <w:szCs w:val="24"/>
          <w:lang w:val="it-IT"/>
        </w:rPr>
        <w:tab/>
      </w:r>
      <w:r w:rsidR="005000FF" w:rsidRPr="001436F0">
        <w:rPr>
          <w:sz w:val="24"/>
          <w:szCs w:val="24"/>
          <w:lang w:val="it-IT"/>
        </w:rPr>
        <w:t xml:space="preserve">Parere del 4 dicembre 2024 (GU C, C/2025/776, 11.2.2025, ELI: </w:t>
      </w:r>
      <w:hyperlink r:id="rId1" w:history="1">
        <w:r w:rsidR="005000FF" w:rsidRPr="001436F0">
          <w:rPr>
            <w:rStyle w:val="Hyperlink"/>
            <w:sz w:val="24"/>
            <w:szCs w:val="24"/>
            <w:lang w:val="it-IT"/>
          </w:rPr>
          <w:t>http://data.europa.eu/eli/C/2025/776/oj</w:t>
        </w:r>
      </w:hyperlink>
      <w:r w:rsidR="005000FF" w:rsidRPr="001436F0">
        <w:rPr>
          <w:sz w:val="24"/>
          <w:szCs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0427883">
    <w:abstractNumId w:val="9"/>
  </w:num>
  <w:num w:numId="2" w16cid:durableId="79959152">
    <w:abstractNumId w:val="9"/>
  </w:num>
  <w:num w:numId="3" w16cid:durableId="816187787">
    <w:abstractNumId w:val="7"/>
  </w:num>
  <w:num w:numId="4" w16cid:durableId="57442197">
    <w:abstractNumId w:val="7"/>
  </w:num>
  <w:num w:numId="5" w16cid:durableId="1992248628">
    <w:abstractNumId w:val="6"/>
  </w:num>
  <w:num w:numId="6" w16cid:durableId="2040275723">
    <w:abstractNumId w:val="6"/>
  </w:num>
  <w:num w:numId="7" w16cid:durableId="962612350">
    <w:abstractNumId w:val="5"/>
  </w:num>
  <w:num w:numId="8" w16cid:durableId="778372671">
    <w:abstractNumId w:val="5"/>
  </w:num>
  <w:num w:numId="9" w16cid:durableId="1741370157">
    <w:abstractNumId w:val="4"/>
  </w:num>
  <w:num w:numId="10" w16cid:durableId="1118643916">
    <w:abstractNumId w:val="4"/>
  </w:num>
  <w:num w:numId="11" w16cid:durableId="1856378036">
    <w:abstractNumId w:val="8"/>
  </w:num>
  <w:num w:numId="12" w16cid:durableId="1963728564">
    <w:abstractNumId w:val="8"/>
  </w:num>
  <w:num w:numId="13" w16cid:durableId="1690176066">
    <w:abstractNumId w:val="3"/>
  </w:num>
  <w:num w:numId="14" w16cid:durableId="285430411">
    <w:abstractNumId w:val="3"/>
  </w:num>
  <w:num w:numId="15" w16cid:durableId="71707387">
    <w:abstractNumId w:val="2"/>
  </w:num>
  <w:num w:numId="16" w16cid:durableId="1635869965">
    <w:abstractNumId w:val="2"/>
  </w:num>
  <w:num w:numId="17" w16cid:durableId="1969117797">
    <w:abstractNumId w:val="1"/>
  </w:num>
  <w:num w:numId="18" w16cid:durableId="1685664147">
    <w:abstractNumId w:val="1"/>
  </w:num>
  <w:num w:numId="19" w16cid:durableId="1494711629">
    <w:abstractNumId w:val="0"/>
  </w:num>
  <w:num w:numId="20" w16cid:durableId="1897662943">
    <w:abstractNumId w:val="0"/>
  </w:num>
  <w:num w:numId="21" w16cid:durableId="226455085">
    <w:abstractNumId w:val="9"/>
  </w:num>
  <w:num w:numId="22" w16cid:durableId="2010984226">
    <w:abstractNumId w:val="7"/>
  </w:num>
  <w:num w:numId="23" w16cid:durableId="990597996">
    <w:abstractNumId w:val="6"/>
  </w:num>
  <w:num w:numId="24" w16cid:durableId="110441267">
    <w:abstractNumId w:val="5"/>
  </w:num>
  <w:num w:numId="25" w16cid:durableId="1175339938">
    <w:abstractNumId w:val="4"/>
  </w:num>
  <w:num w:numId="26" w16cid:durableId="1947034842">
    <w:abstractNumId w:val="8"/>
  </w:num>
  <w:num w:numId="27" w16cid:durableId="1727610323">
    <w:abstractNumId w:val="3"/>
  </w:num>
  <w:num w:numId="28" w16cid:durableId="1527328033">
    <w:abstractNumId w:val="2"/>
  </w:num>
  <w:num w:numId="29" w16cid:durableId="1930038201">
    <w:abstractNumId w:val="1"/>
  </w:num>
  <w:num w:numId="30" w16cid:durableId="1902404239">
    <w:abstractNumId w:val="0"/>
  </w:num>
  <w:num w:numId="31" w16cid:durableId="121190420">
    <w:abstractNumId w:val="9"/>
  </w:num>
  <w:num w:numId="32" w16cid:durableId="2116752283">
    <w:abstractNumId w:val="7"/>
  </w:num>
  <w:num w:numId="33" w16cid:durableId="524446295">
    <w:abstractNumId w:val="6"/>
  </w:num>
  <w:num w:numId="34" w16cid:durableId="1629428997">
    <w:abstractNumId w:val="5"/>
  </w:num>
  <w:num w:numId="35" w16cid:durableId="39861127">
    <w:abstractNumId w:val="4"/>
  </w:num>
  <w:num w:numId="36" w16cid:durableId="1185367628">
    <w:abstractNumId w:val="8"/>
  </w:num>
  <w:num w:numId="37" w16cid:durableId="1110587287">
    <w:abstractNumId w:val="3"/>
  </w:num>
  <w:num w:numId="38" w16cid:durableId="417558516">
    <w:abstractNumId w:val="2"/>
  </w:num>
  <w:num w:numId="39" w16cid:durableId="1071200097">
    <w:abstractNumId w:val="1"/>
  </w:num>
  <w:num w:numId="40" w16cid:durableId="1758363589">
    <w:abstractNumId w:val="0"/>
  </w:num>
  <w:num w:numId="41" w16cid:durableId="1580476996">
    <w:abstractNumId w:val="10"/>
  </w:num>
  <w:num w:numId="42" w16cid:durableId="128717101">
    <w:abstractNumId w:val="10"/>
  </w:num>
  <w:num w:numId="43" w16cid:durableId="221867031">
    <w:abstractNumId w:val="10"/>
  </w:num>
  <w:num w:numId="44" w16cid:durableId="12902859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09/2025"/>
    <w:docVar w:name="dvlangue" w:val="IT"/>
    <w:docVar w:name="dvnumam" w:val="0"/>
    <w:docVar w:name="dvpe" w:val="767.940"/>
    <w:docVar w:name="dvrapporteur" w:val="Relatori: "/>
    <w:docVar w:name="dvstar" w:val="***I"/>
    <w:docVar w:name="dvtitre" w:val="Risoluzione legislativa del Parlamento europeo del ... giugno 2025 sulla proposta di decisione del Parlamento europeo e del Consiglio relativa all'adozione, da parte dell'Unione, dell'accordo concernente l'interpretazione e l'applicazione del trattato sulla Carta dell'energia tra l'Unione europea e la Comunità europea dell'energia atomica e i loro Stati membri(COM(2024)0257 – C10-0058/2024 – 2024/0148(COD))"/>
  </w:docVars>
  <w:rsids>
    <w:rsidRoot w:val="007A4303"/>
    <w:rsid w:val="00002272"/>
    <w:rsid w:val="00023466"/>
    <w:rsid w:val="00036A2E"/>
    <w:rsid w:val="00064002"/>
    <w:rsid w:val="000677B9"/>
    <w:rsid w:val="00077E21"/>
    <w:rsid w:val="000831BA"/>
    <w:rsid w:val="000A42CC"/>
    <w:rsid w:val="000E7DD9"/>
    <w:rsid w:val="0010095E"/>
    <w:rsid w:val="001114A6"/>
    <w:rsid w:val="00125B37"/>
    <w:rsid w:val="001436F0"/>
    <w:rsid w:val="00187494"/>
    <w:rsid w:val="001C119A"/>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00FF"/>
    <w:rsid w:val="0050519A"/>
    <w:rsid w:val="005072A1"/>
    <w:rsid w:val="00514517"/>
    <w:rsid w:val="00545827"/>
    <w:rsid w:val="00560270"/>
    <w:rsid w:val="005C2568"/>
    <w:rsid w:val="005F1B17"/>
    <w:rsid w:val="006037C0"/>
    <w:rsid w:val="006454DA"/>
    <w:rsid w:val="006631B6"/>
    <w:rsid w:val="00680577"/>
    <w:rsid w:val="006F74FA"/>
    <w:rsid w:val="00731ADD"/>
    <w:rsid w:val="00734777"/>
    <w:rsid w:val="00747932"/>
    <w:rsid w:val="00751A4A"/>
    <w:rsid w:val="00756632"/>
    <w:rsid w:val="00762C74"/>
    <w:rsid w:val="00786EC0"/>
    <w:rsid w:val="007A430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59DF"/>
    <w:rsid w:val="00A1687D"/>
    <w:rsid w:val="00A43E52"/>
    <w:rsid w:val="00A4678D"/>
    <w:rsid w:val="00A778C7"/>
    <w:rsid w:val="00AB441E"/>
    <w:rsid w:val="00AB6293"/>
    <w:rsid w:val="00AE0928"/>
    <w:rsid w:val="00AF3B82"/>
    <w:rsid w:val="00B12E95"/>
    <w:rsid w:val="00B22876"/>
    <w:rsid w:val="00B558F0"/>
    <w:rsid w:val="00BD48FE"/>
    <w:rsid w:val="00BD4B22"/>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14E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411721"/>
  <w15:chartTrackingRefBased/>
  <w15:docId w15:val="{459974F3-CD60-473B-97F0-3CDFDCDE9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77E21"/>
    <w:pPr>
      <w:spacing w:before="480" w:after="240"/>
    </w:pPr>
  </w:style>
  <w:style w:type="paragraph" w:customStyle="1" w:styleId="NormalBold">
    <w:name w:val="NormalBold"/>
    <w:basedOn w:val="Normal"/>
    <w:rsid w:val="00077E21"/>
    <w:rPr>
      <w:b/>
    </w:rPr>
  </w:style>
  <w:style w:type="paragraph" w:customStyle="1" w:styleId="NormalHanging12a">
    <w:name w:val="NormalHanging12a"/>
    <w:basedOn w:val="Normal"/>
    <w:rsid w:val="00077E21"/>
    <w:pPr>
      <w:spacing w:after="240"/>
      <w:ind w:left="567" w:hanging="567"/>
    </w:pPr>
  </w:style>
  <w:style w:type="character" w:customStyle="1" w:styleId="highlightingtext">
    <w:name w:val="highlightingtext"/>
    <w:basedOn w:val="DefaultParagraphFont"/>
    <w:rsid w:val="00077E21"/>
  </w:style>
  <w:style w:type="paragraph" w:customStyle="1" w:styleId="Normal12Hanging">
    <w:name w:val="Normal12Hanging"/>
    <w:basedOn w:val="Normal"/>
    <w:link w:val="CharChar1"/>
    <w:rsid w:val="005000FF"/>
    <w:pPr>
      <w:spacing w:after="240"/>
      <w:ind w:left="357" w:hanging="357"/>
    </w:pPr>
    <w:rPr>
      <w:snapToGrid w:val="0"/>
    </w:rPr>
  </w:style>
  <w:style w:type="character" w:customStyle="1" w:styleId="CharChar1">
    <w:name w:val="Char Char1"/>
    <w:link w:val="Normal12Hanging"/>
    <w:locked/>
    <w:rsid w:val="005000FF"/>
    <w:rPr>
      <w:snapToGrid w:val="0"/>
      <w:sz w:val="24"/>
      <w:lang w:val="it-IT"/>
    </w:rPr>
  </w:style>
  <w:style w:type="paragraph" w:styleId="BalloonText">
    <w:name w:val="Balloon Text"/>
    <w:basedOn w:val="Normal"/>
    <w:link w:val="BalloonTextChar"/>
    <w:rsid w:val="005000FF"/>
    <w:rPr>
      <w:rFonts w:ascii="Segoe UI" w:hAnsi="Segoe UI" w:cs="Segoe UI"/>
      <w:sz w:val="18"/>
      <w:szCs w:val="18"/>
    </w:rPr>
  </w:style>
  <w:style w:type="character" w:customStyle="1" w:styleId="BalloonTextChar">
    <w:name w:val="Balloon Text Char"/>
    <w:basedOn w:val="DefaultParagraphFont"/>
    <w:link w:val="BalloonText"/>
    <w:rsid w:val="005000FF"/>
    <w:rPr>
      <w:rFonts w:ascii="Segoe UI" w:hAnsi="Segoe UI" w:cs="Segoe UI"/>
      <w:sz w:val="18"/>
      <w:szCs w:val="18"/>
      <w:lang w:val="it-IT"/>
    </w:rPr>
  </w:style>
  <w:style w:type="character" w:styleId="Hyperlink">
    <w:name w:val="Hyperlink"/>
    <w:basedOn w:val="DefaultParagraphFont"/>
    <w:rsid w:val="005000FF"/>
    <w:rPr>
      <w:color w:val="0563C1" w:themeColor="hyperlink"/>
      <w:u w:val="single"/>
    </w:rPr>
  </w:style>
  <w:style w:type="character" w:styleId="FollowedHyperlink">
    <w:name w:val="FollowedHyperlink"/>
    <w:basedOn w:val="DefaultParagraphFont"/>
    <w:rsid w:val="005000FF"/>
    <w:rPr>
      <w:color w:val="954F72" w:themeColor="followedHyperlink"/>
      <w:u w:val="single"/>
    </w:rPr>
  </w:style>
  <w:style w:type="paragraph" w:customStyle="1" w:styleId="Normal12Centre">
    <w:name w:val="Normal12Centre"/>
    <w:basedOn w:val="Normal"/>
    <w:rsid w:val="005000FF"/>
    <w:pPr>
      <w:spacing w:after="240"/>
      <w:jc w:val="center"/>
    </w:pPr>
    <w:rPr>
      <w:snapToGrid w:val="0"/>
    </w:rPr>
  </w:style>
  <w:style w:type="paragraph" w:customStyle="1" w:styleId="EPFooter2">
    <w:name w:val="EPFooter2"/>
    <w:basedOn w:val="Normal"/>
    <w:next w:val="Normal"/>
    <w:rsid w:val="005000FF"/>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5000FF"/>
    <w:pPr>
      <w:tabs>
        <w:tab w:val="center" w:pos="4535"/>
        <w:tab w:val="right" w:pos="9071"/>
      </w:tabs>
      <w:spacing w:before="240" w:after="240"/>
    </w:pPr>
    <w:rPr>
      <w:color w:val="010000"/>
      <w:sz w:val="22"/>
    </w:rPr>
  </w:style>
  <w:style w:type="character" w:customStyle="1" w:styleId="Hyperlink1">
    <w:name w:val="Hyperlink1"/>
    <w:basedOn w:val="DefaultParagraphFont"/>
    <w:uiPriority w:val="99"/>
    <w:unhideWhenUsed/>
    <w:rsid w:val="005000FF"/>
    <w:rPr>
      <w:color w:val="0000FF"/>
      <w:u w:val="single"/>
    </w:rPr>
  </w:style>
  <w:style w:type="paragraph" w:styleId="Footer">
    <w:name w:val="footer"/>
    <w:basedOn w:val="Normal"/>
    <w:link w:val="FooterChar"/>
    <w:rsid w:val="005000FF"/>
    <w:pPr>
      <w:tabs>
        <w:tab w:val="center" w:pos="4513"/>
        <w:tab w:val="right" w:pos="9026"/>
      </w:tabs>
    </w:pPr>
  </w:style>
  <w:style w:type="character" w:customStyle="1" w:styleId="FooterChar">
    <w:name w:val="Footer Char"/>
    <w:basedOn w:val="DefaultParagraphFont"/>
    <w:link w:val="Footer"/>
    <w:rsid w:val="005000FF"/>
    <w:rPr>
      <w:sz w:val="24"/>
      <w:lang w:val="it-IT"/>
    </w:rPr>
  </w:style>
  <w:style w:type="character" w:styleId="CommentReference">
    <w:name w:val="annotation reference"/>
    <w:basedOn w:val="DefaultParagraphFont"/>
    <w:rsid w:val="001C119A"/>
    <w:rPr>
      <w:sz w:val="16"/>
      <w:szCs w:val="16"/>
    </w:rPr>
  </w:style>
  <w:style w:type="paragraph" w:styleId="CommentText">
    <w:name w:val="annotation text"/>
    <w:basedOn w:val="Normal"/>
    <w:link w:val="CommentTextChar"/>
    <w:rsid w:val="001C119A"/>
    <w:rPr>
      <w:sz w:val="20"/>
    </w:rPr>
  </w:style>
  <w:style w:type="character" w:customStyle="1" w:styleId="CommentTextChar">
    <w:name w:val="Comment Text Char"/>
    <w:basedOn w:val="DefaultParagraphFont"/>
    <w:link w:val="CommentText"/>
    <w:rsid w:val="001C119A"/>
    <w:rPr>
      <w:lang w:val="it-IT"/>
    </w:rPr>
  </w:style>
  <w:style w:type="paragraph" w:styleId="CommentSubject">
    <w:name w:val="annotation subject"/>
    <w:basedOn w:val="CommentText"/>
    <w:next w:val="CommentText"/>
    <w:link w:val="CommentSubjectChar"/>
    <w:rsid w:val="001C119A"/>
    <w:rPr>
      <w:b/>
      <w:bCs/>
    </w:rPr>
  </w:style>
  <w:style w:type="character" w:customStyle="1" w:styleId="CommentSubjectChar">
    <w:name w:val="Comment Subject Char"/>
    <w:basedOn w:val="CommentTextChar"/>
    <w:link w:val="CommentSubject"/>
    <w:rsid w:val="001C119A"/>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77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91299-F0C0-4219-9D4E-09D5832E2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415</Words>
  <Characters>2367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LOMBARDINI Cecilia_RELEC</cp:lastModifiedBy>
  <cp:revision>3</cp:revision>
  <cp:lastPrinted>2004-11-19T15:42:00Z</cp:lastPrinted>
  <dcterms:created xsi:type="dcterms:W3CDTF">2025-06-19T10:25:00Z</dcterms:created>
  <dcterms:modified xsi:type="dcterms:W3CDTF">2025-09-25T09:03:00Z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P10_TA(2025)0126_</vt:lpwstr>
  </property>
  <property fmtid="{D5CDD505-2E9C-101B-9397-08002B2CF9AE}" pid="4" name="&lt;Type&gt;">
    <vt:lpwstr>RR</vt:lpwstr>
  </property>
</Properties>
</file>