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A56" w14:paraId="36B7ACFE" w14:textId="77777777" w:rsidTr="0010095E">
        <w:trPr>
          <w:trHeight w:hRule="exact" w:val="1418"/>
        </w:trPr>
        <w:tc>
          <w:tcPr>
            <w:tcW w:w="6804" w:type="dxa"/>
            <w:shd w:val="clear" w:color="auto" w:fill="auto"/>
            <w:vAlign w:val="center"/>
          </w:tcPr>
          <w:p w14:paraId="61B9E962" w14:textId="77777777" w:rsidR="00751A4A" w:rsidRPr="00B93A56" w:rsidRDefault="00B63917" w:rsidP="0010095E">
            <w:pPr>
              <w:pStyle w:val="EPName"/>
            </w:pPr>
            <w:r w:rsidRPr="00B93A56">
              <w:t>Eiropas Parlaments</w:t>
            </w:r>
          </w:p>
          <w:p w14:paraId="343B51CF" w14:textId="77777777" w:rsidR="00751A4A" w:rsidRPr="00B93A56" w:rsidRDefault="005F1B17" w:rsidP="005F1B17">
            <w:pPr>
              <w:pStyle w:val="EPTerm"/>
              <w:rPr>
                <w:rStyle w:val="HideTWBExt"/>
                <w:noProof w:val="0"/>
                <w:vanish w:val="0"/>
                <w:color w:val="auto"/>
              </w:rPr>
            </w:pPr>
            <w:r w:rsidRPr="00B93A56">
              <w:t>2024</w:t>
            </w:r>
            <w:r w:rsidR="00817416" w:rsidRPr="00B93A56">
              <w:t>-202</w:t>
            </w:r>
            <w:r w:rsidRPr="00B93A56">
              <w:t>9</w:t>
            </w:r>
          </w:p>
        </w:tc>
        <w:tc>
          <w:tcPr>
            <w:tcW w:w="2268" w:type="dxa"/>
            <w:shd w:val="clear" w:color="auto" w:fill="auto"/>
          </w:tcPr>
          <w:p w14:paraId="62BE39AE" w14:textId="77777777" w:rsidR="00751A4A" w:rsidRPr="00B93A56" w:rsidRDefault="00187494" w:rsidP="0010095E">
            <w:pPr>
              <w:pStyle w:val="EPLogo"/>
            </w:pPr>
            <w:r w:rsidRPr="00B93A56">
              <w:rPr>
                <w:noProof/>
                <w:lang w:val="en-GB"/>
              </w:rPr>
              <w:drawing>
                <wp:inline distT="0" distB="0" distL="0" distR="0" wp14:anchorId="03906B5D" wp14:editId="56736F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744B83" w14:textId="77777777" w:rsidR="00D058B8" w:rsidRPr="00B93A56" w:rsidRDefault="00D058B8" w:rsidP="004C5D52">
      <w:pPr>
        <w:pStyle w:val="LineTop"/>
      </w:pPr>
    </w:p>
    <w:p w14:paraId="6B81C61E" w14:textId="77777777" w:rsidR="00680577" w:rsidRPr="00B93A56" w:rsidRDefault="00B63917" w:rsidP="00680577">
      <w:pPr>
        <w:pStyle w:val="EPBodyTA1"/>
      </w:pPr>
      <w:r w:rsidRPr="00B93A56">
        <w:t>PIEŅEMTIE TEKSTI</w:t>
      </w:r>
    </w:p>
    <w:p w14:paraId="6C9A4B75" w14:textId="77777777" w:rsidR="00D058B8" w:rsidRPr="00B93A56" w:rsidRDefault="00D058B8" w:rsidP="00D058B8">
      <w:pPr>
        <w:pStyle w:val="LineBottom"/>
      </w:pPr>
    </w:p>
    <w:p w14:paraId="764DAA55" w14:textId="77777777" w:rsidR="00B63917" w:rsidRPr="00B93A56" w:rsidRDefault="00B63917" w:rsidP="00B63917">
      <w:pPr>
        <w:pStyle w:val="ATHeading1"/>
      </w:pPr>
      <w:bookmarkStart w:id="0" w:name="TANumber"/>
      <w:r w:rsidRPr="00B93A56">
        <w:t>P10_TA(2025)0</w:t>
      </w:r>
      <w:r w:rsidR="00B93A56" w:rsidRPr="00B93A56">
        <w:t>126</w:t>
      </w:r>
      <w:bookmarkEnd w:id="0"/>
    </w:p>
    <w:p w14:paraId="1C8C6F33" w14:textId="77777777" w:rsidR="00B63917" w:rsidRPr="00B93A56" w:rsidRDefault="00100EA8" w:rsidP="00100EA8">
      <w:pPr>
        <w:pStyle w:val="ATHeading2"/>
      </w:pPr>
      <w:bookmarkStart w:id="1" w:name="title"/>
      <w:r w:rsidRPr="00B93A56">
        <w:t>Priekšlikums par to, lai Savienība pieņemtu Nolīgumu par Enerģētikas hartas nolīguma interpretāciju un piemērošanu</w:t>
      </w:r>
      <w:bookmarkEnd w:id="1"/>
    </w:p>
    <w:p w14:paraId="5292B5CB" w14:textId="77777777" w:rsidR="00B63917" w:rsidRPr="00B93A56" w:rsidRDefault="00B63917" w:rsidP="00B63917">
      <w:pPr>
        <w:rPr>
          <w:i/>
          <w:vanish/>
        </w:rPr>
      </w:pPr>
      <w:r w:rsidRPr="00B93A56">
        <w:rPr>
          <w:i/>
        </w:rPr>
        <w:fldChar w:fldCharType="begin"/>
      </w:r>
      <w:r w:rsidRPr="00B93A56">
        <w:rPr>
          <w:i/>
        </w:rPr>
        <w:instrText xml:space="preserve"> TC"(</w:instrText>
      </w:r>
      <w:bookmarkStart w:id="2" w:name="DocNumber"/>
      <w:r w:rsidRPr="00B93A56">
        <w:rPr>
          <w:i/>
        </w:rPr>
        <w:instrText>A10-0009/2025</w:instrText>
      </w:r>
      <w:bookmarkEnd w:id="2"/>
      <w:r w:rsidRPr="00B93A56">
        <w:rPr>
          <w:i/>
        </w:rPr>
        <w:instrText xml:space="preserve"> - Referenti: Anna </w:instrText>
      </w:r>
      <w:proofErr w:type="spellStart"/>
      <w:r w:rsidRPr="00B93A56">
        <w:rPr>
          <w:i/>
        </w:rPr>
        <w:instrText>Cavazzini</w:instrText>
      </w:r>
      <w:proofErr w:type="spellEnd"/>
      <w:r w:rsidRPr="00B93A56">
        <w:rPr>
          <w:i/>
        </w:rPr>
        <w:instrText xml:space="preserve">, </w:instrText>
      </w:r>
      <w:proofErr w:type="spellStart"/>
      <w:r w:rsidRPr="00B93A56">
        <w:rPr>
          <w:i/>
        </w:rPr>
        <w:instrText>Borys</w:instrText>
      </w:r>
      <w:proofErr w:type="spellEnd"/>
      <w:r w:rsidRPr="00B93A56">
        <w:rPr>
          <w:i/>
        </w:rPr>
        <w:instrText xml:space="preserve"> </w:instrText>
      </w:r>
      <w:proofErr w:type="spellStart"/>
      <w:r w:rsidRPr="00B93A56">
        <w:rPr>
          <w:i/>
        </w:rPr>
        <w:instrText>Budka</w:instrText>
      </w:r>
      <w:proofErr w:type="spellEnd"/>
      <w:r w:rsidRPr="00B93A56">
        <w:rPr>
          <w:i/>
        </w:rPr>
        <w:instrText xml:space="preserve">)"\l3 \n&gt; \* MERGEFORMAT </w:instrText>
      </w:r>
      <w:r w:rsidRPr="00B93A56">
        <w:rPr>
          <w:i/>
        </w:rPr>
        <w:fldChar w:fldCharType="end"/>
      </w:r>
    </w:p>
    <w:p w14:paraId="61550469" w14:textId="77777777" w:rsidR="00B63917" w:rsidRPr="00B93A56" w:rsidRDefault="00B63917" w:rsidP="00B63917">
      <w:pPr>
        <w:rPr>
          <w:vanish/>
        </w:rPr>
      </w:pPr>
      <w:bookmarkStart w:id="3" w:name="Commission"/>
      <w:r w:rsidRPr="00B93A56">
        <w:rPr>
          <w:vanish/>
        </w:rPr>
        <w:t>Starptautiskās tirdzniecības komiteja, Rūpniecības, pētniecības un enerģētikas komiteja</w:t>
      </w:r>
      <w:bookmarkEnd w:id="3"/>
    </w:p>
    <w:p w14:paraId="15971DEB" w14:textId="77777777" w:rsidR="00B63917" w:rsidRPr="00B93A56" w:rsidRDefault="00B63917" w:rsidP="00B63917">
      <w:pPr>
        <w:rPr>
          <w:vanish/>
        </w:rPr>
      </w:pPr>
      <w:bookmarkStart w:id="4" w:name="PE"/>
      <w:r w:rsidRPr="00B93A56">
        <w:rPr>
          <w:vanish/>
        </w:rPr>
        <w:t>PE767.940</w:t>
      </w:r>
      <w:bookmarkEnd w:id="4"/>
    </w:p>
    <w:p w14:paraId="616377D1" w14:textId="77777777" w:rsidR="00BF5715" w:rsidRPr="00B93A56" w:rsidRDefault="00B63917" w:rsidP="00100EA8">
      <w:pPr>
        <w:pStyle w:val="ATHeading3"/>
      </w:pPr>
      <w:bookmarkStart w:id="5" w:name="Sujet"/>
      <w:r w:rsidRPr="00B93A56">
        <w:t xml:space="preserve">Eiropas Parlamenta 2025. gada </w:t>
      </w:r>
      <w:r w:rsidR="00100EA8" w:rsidRPr="00B93A56">
        <w:t>18</w:t>
      </w:r>
      <w:r w:rsidRPr="00B93A56">
        <w:t xml:space="preserve">. </w:t>
      </w:r>
      <w:r w:rsidR="00100EA8" w:rsidRPr="00B93A56">
        <w:t>jūnija</w:t>
      </w:r>
      <w:r w:rsidRPr="00B93A56">
        <w:t xml:space="preserve"> normatīvā rezolūcija par priekšlikumu Eiropas Parlamenta un Padomes lēmumam par to, lai Savienība pieņemtu Nolīgumu par Enerģētikas hartas nolīguma interpretāciju un piemērošanu starp Eiropas Savienību, Eiropas Atomenerģijas kopienu un to dalībvalstīm</w:t>
      </w:r>
      <w:bookmarkEnd w:id="5"/>
      <w:r w:rsidRPr="00B93A56">
        <w:t xml:space="preserve"> </w:t>
      </w:r>
      <w:bookmarkStart w:id="6" w:name="References"/>
      <w:r w:rsidRPr="00B93A56">
        <w:t>(COM(2024)0257 – C10-0058/2024 – 2024/0148(COD))</w:t>
      </w:r>
      <w:bookmarkStart w:id="7" w:name="TextBodyBegin"/>
      <w:bookmarkEnd w:id="6"/>
      <w:bookmarkEnd w:id="7"/>
    </w:p>
    <w:p w14:paraId="3FF876A6" w14:textId="77777777" w:rsidR="00BF5715" w:rsidRPr="00B93A56" w:rsidRDefault="00BF5715" w:rsidP="00BF5715">
      <w:pPr>
        <w:pStyle w:val="NormalBold"/>
      </w:pPr>
      <w:r w:rsidRPr="00B93A56">
        <w:t>(Parastā likumdošanas procedūra: pirmais lasījums)</w:t>
      </w:r>
    </w:p>
    <w:p w14:paraId="39ECA375" w14:textId="77777777" w:rsidR="00BF5715" w:rsidRPr="00B93A56" w:rsidRDefault="00BF5715" w:rsidP="00BF5715">
      <w:pPr>
        <w:pStyle w:val="EPComma"/>
      </w:pPr>
      <w:r w:rsidRPr="00B93A56">
        <w:rPr>
          <w:i/>
        </w:rPr>
        <w:t>Eiropas Parlaments</w:t>
      </w:r>
      <w:r w:rsidRPr="00B93A56">
        <w:t>,</w:t>
      </w:r>
    </w:p>
    <w:p w14:paraId="4647A196" w14:textId="77777777" w:rsidR="00BF5715" w:rsidRPr="00B93A56" w:rsidRDefault="00BF5715" w:rsidP="00BF5715">
      <w:pPr>
        <w:pStyle w:val="NormalHanging12a"/>
      </w:pPr>
      <w:r w:rsidRPr="00B93A56">
        <w:t>–</w:t>
      </w:r>
      <w:r w:rsidRPr="00B93A56">
        <w:tab/>
        <w:t>ņemot vērā Komisijas priekšlikumu Eiropas Parlamentam un Padomei (COM(2024)0257),</w:t>
      </w:r>
    </w:p>
    <w:p w14:paraId="450EC86A" w14:textId="77777777" w:rsidR="00BF5715" w:rsidRPr="00B93A56" w:rsidRDefault="00BF5715" w:rsidP="00BF5715">
      <w:pPr>
        <w:pStyle w:val="NormalHanging12a"/>
      </w:pPr>
      <w:r w:rsidRPr="00B93A56">
        <w:t>–</w:t>
      </w:r>
      <w:r w:rsidRPr="00B93A56">
        <w:tab/>
        <w:t>ņemot vērā Līguma par Eiropas Savienības darbību 294. panta 2. punktu un 194. pantu, saskaņā ar kuriem Komisija tam ir iesniegusi priekšlikumu (C10</w:t>
      </w:r>
      <w:r w:rsidRPr="00B93A56">
        <w:noBreakHyphen/>
        <w:t>0058/2024),</w:t>
      </w:r>
    </w:p>
    <w:p w14:paraId="632B6AF0" w14:textId="77777777" w:rsidR="00BF5715" w:rsidRPr="00B93A56" w:rsidRDefault="00BF5715" w:rsidP="00BF5715">
      <w:pPr>
        <w:pStyle w:val="NormalHanging12a"/>
      </w:pPr>
      <w:r w:rsidRPr="00B93A56">
        <w:t>–</w:t>
      </w:r>
      <w:r w:rsidRPr="00B93A56">
        <w:tab/>
        <w:t>ņemot vērā Līguma par Eiropas Savienības darbību 294. panta 3. punktu,</w:t>
      </w:r>
    </w:p>
    <w:p w14:paraId="13B270A0" w14:textId="77777777" w:rsidR="00BF5715" w:rsidRPr="00B93A56" w:rsidRDefault="00BF5715" w:rsidP="00BF5715">
      <w:pPr>
        <w:pStyle w:val="NormalHanging12a"/>
      </w:pPr>
      <w:r w:rsidRPr="00B93A56">
        <w:t>–</w:t>
      </w:r>
      <w:r w:rsidRPr="00B93A56">
        <w:tab/>
        <w:t>ņemot vērā Eiropas Ekonomikas un sociālo lietu komitejas 2024. gada 4. decembra atzinumu</w:t>
      </w:r>
      <w:r w:rsidRPr="00B93A56">
        <w:rPr>
          <w:rStyle w:val="FootnoteReference"/>
        </w:rPr>
        <w:footnoteReference w:id="1"/>
      </w:r>
      <w:r w:rsidRPr="00B93A56">
        <w:t>,</w:t>
      </w:r>
    </w:p>
    <w:p w14:paraId="3F977222" w14:textId="77777777" w:rsidR="00BF5715" w:rsidRPr="00B93A56" w:rsidRDefault="00BF5715" w:rsidP="00BF5715">
      <w:pPr>
        <w:pStyle w:val="NormalHanging12a"/>
      </w:pPr>
      <w:r w:rsidRPr="00B93A56">
        <w:t>–</w:t>
      </w:r>
      <w:r w:rsidRPr="00B93A56">
        <w:tab/>
        <w:t>pēc apspriešanās ar Reģionu komiteju,</w:t>
      </w:r>
    </w:p>
    <w:p w14:paraId="30024B2F" w14:textId="77777777" w:rsidR="00B93A56" w:rsidRPr="00B93A56" w:rsidRDefault="00B93A56" w:rsidP="00B93A56">
      <w:pPr>
        <w:spacing w:after="240"/>
        <w:ind w:left="567" w:hanging="567"/>
      </w:pPr>
      <w:r w:rsidRPr="00B93A56">
        <w:t>–</w:t>
      </w:r>
      <w:r w:rsidRPr="00B93A56">
        <w:tab/>
        <w:t>ņemot vērā provizorisko vienošanos, ko atbildīgās komitejas apstiprināja saskaņā ar Reglamenta 75. panta 4. punktu, un Padomes pārstāvja 2025. gada 14. maija vēstulē pausto apņemšanos apstiprināt Parlamenta nostāju saskaņā ar Līguma par Eiropas Savienības darbību 294. panta 4. punktu,</w:t>
      </w:r>
    </w:p>
    <w:p w14:paraId="630B12D4" w14:textId="77777777" w:rsidR="00BF5715" w:rsidRPr="00B93A56" w:rsidRDefault="00BF5715" w:rsidP="00BF5715">
      <w:pPr>
        <w:pStyle w:val="NormalHanging12a"/>
      </w:pPr>
      <w:r w:rsidRPr="00B93A56">
        <w:t>–</w:t>
      </w:r>
      <w:r w:rsidRPr="00B93A56">
        <w:tab/>
        <w:t>ņemot vērā Reglamenta 60. pantu,</w:t>
      </w:r>
    </w:p>
    <w:p w14:paraId="3ADE372B" w14:textId="77777777" w:rsidR="00BF5715" w:rsidRPr="00B93A56" w:rsidRDefault="00BF5715" w:rsidP="00BF5715">
      <w:pPr>
        <w:pStyle w:val="NormalHanging12a"/>
      </w:pPr>
      <w:r w:rsidRPr="00B93A56">
        <w:t>–</w:t>
      </w:r>
      <w:r w:rsidRPr="00B93A56">
        <w:tab/>
        <w:t xml:space="preserve">ņemot vērā Starptautiskās tirdzniecības komitejas un Rūpniecības, pētniecības un </w:t>
      </w:r>
      <w:r w:rsidRPr="00B93A56">
        <w:lastRenderedPageBreak/>
        <w:t>enerģētikas komitejas ziņojumu (A10</w:t>
      </w:r>
      <w:r w:rsidRPr="00B93A56">
        <w:noBreakHyphen/>
        <w:t>0009/2025),</w:t>
      </w:r>
    </w:p>
    <w:p w14:paraId="79F73287" w14:textId="77777777" w:rsidR="00BF5715" w:rsidRPr="00B93A56" w:rsidRDefault="00BF5715" w:rsidP="00BF5715">
      <w:pPr>
        <w:pStyle w:val="NormalHanging12a"/>
      </w:pPr>
      <w:r w:rsidRPr="00B93A56">
        <w:t>1.</w:t>
      </w:r>
      <w:r w:rsidRPr="00B93A56">
        <w:tab/>
      </w:r>
      <w:r w:rsidR="00100EA8" w:rsidRPr="00B93A56">
        <w:t>pieņem pirmajā lasījumā turpmāk izklāstīto nostāju</w:t>
      </w:r>
      <w:r w:rsidRPr="00B93A56">
        <w:t>;</w:t>
      </w:r>
    </w:p>
    <w:p w14:paraId="1B5A50F1" w14:textId="77777777" w:rsidR="00BF5715" w:rsidRPr="00B93A56" w:rsidRDefault="00BF5715" w:rsidP="00BF5715">
      <w:pPr>
        <w:pStyle w:val="NormalHanging12a"/>
      </w:pPr>
      <w:r w:rsidRPr="00B93A56">
        <w:t>2.</w:t>
      </w:r>
      <w:r w:rsidRPr="00B93A56">
        <w:tab/>
        <w:t>prasa Komisijai priekšlikumu Parlamentam iesniegt vēlreiz, ja tā savu priekšlikumu aizstāj, būtiski groza vai ir paredzējusi to būtiski grozīt;</w:t>
      </w:r>
    </w:p>
    <w:p w14:paraId="72DFF69A" w14:textId="77777777" w:rsidR="00100EA8" w:rsidRPr="00B93A56" w:rsidRDefault="00BF5715" w:rsidP="00B93A56">
      <w:pPr>
        <w:pStyle w:val="NormalHanging12a"/>
      </w:pPr>
      <w:r w:rsidRPr="00B93A56">
        <w:t>3.</w:t>
      </w:r>
      <w:r w:rsidRPr="00B93A56">
        <w:tab/>
        <w:t>uzdod priekšsēdētājai Parlamenta nostāju nosūtīt Padomei un Komisijai, kā arī dalībvalstu parlamentiem.</w:t>
      </w:r>
    </w:p>
    <w:p w14:paraId="150475F9" w14:textId="77777777" w:rsidR="00B93A56" w:rsidRPr="00B93A56" w:rsidRDefault="00B93A56" w:rsidP="00100EA8">
      <w:pPr>
        <w:pStyle w:val="Normal12Hanging"/>
        <w:tabs>
          <w:tab w:val="clear" w:pos="4679"/>
          <w:tab w:val="left" w:pos="357"/>
          <w:tab w:val="left" w:pos="2551"/>
        </w:tabs>
        <w:ind w:left="0" w:firstLine="0"/>
        <w:rPr>
          <w:b/>
        </w:rPr>
        <w:sectPr w:rsidR="00B93A56" w:rsidRPr="00B93A56" w:rsidSect="00AC4D2A">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72E8707" w14:textId="77777777" w:rsidR="00100EA8" w:rsidRPr="00B93A56" w:rsidRDefault="00A835B3" w:rsidP="00100EA8">
      <w:pPr>
        <w:pStyle w:val="Normal12Hanging"/>
        <w:tabs>
          <w:tab w:val="clear" w:pos="4679"/>
          <w:tab w:val="left" w:pos="357"/>
          <w:tab w:val="left" w:pos="2551"/>
        </w:tabs>
        <w:ind w:left="0" w:firstLine="0"/>
        <w:rPr>
          <w:b/>
        </w:rPr>
      </w:pPr>
      <w:r>
        <w:rPr>
          <w:b/>
        </w:rPr>
        <w:lastRenderedPageBreak/>
        <w:t>P10</w:t>
      </w:r>
      <w:r w:rsidR="00100EA8" w:rsidRPr="00B93A56">
        <w:rPr>
          <w:b/>
        </w:rPr>
        <w:t>_TC1-COD(</w:t>
      </w:r>
      <w:r w:rsidR="00100EA8" w:rsidRPr="00B93A56">
        <w:rPr>
          <w:b/>
          <w:bCs/>
          <w:color w:val="000000"/>
        </w:rPr>
        <w:t>2024)0148</w:t>
      </w:r>
    </w:p>
    <w:p w14:paraId="7EFF12DF" w14:textId="11E9751B" w:rsidR="00100EA8" w:rsidRDefault="00100EA8" w:rsidP="00100EA8">
      <w:pPr>
        <w:pStyle w:val="Normal12Hanging"/>
        <w:tabs>
          <w:tab w:val="clear" w:pos="4679"/>
          <w:tab w:val="left" w:pos="2551"/>
        </w:tabs>
        <w:ind w:left="0" w:firstLine="0"/>
        <w:rPr>
          <w:rFonts w:eastAsia="Calibri"/>
          <w:b/>
          <w:szCs w:val="22"/>
          <w:lang w:eastAsia="en-US"/>
        </w:rPr>
      </w:pPr>
      <w:r w:rsidRPr="00B93A56">
        <w:rPr>
          <w:b/>
        </w:rPr>
        <w:t xml:space="preserve">Eiropas Parlamenta nostāja, pieņemta pirmajā lasījumā 2025. gada 18. jūnijā, lai pieņemtu Eiropas Parlamenta un Padomes Lēmumu (ES) 2025/... </w:t>
      </w:r>
      <w:r w:rsidRPr="00B93A56">
        <w:rPr>
          <w:rFonts w:eastAsia="Calibri"/>
          <w:b/>
          <w:szCs w:val="22"/>
          <w:lang w:eastAsia="en-US"/>
        </w:rPr>
        <w:t xml:space="preserve">par to, lai Savienība apstiprinātu Nolīgumu par Enerģētikas hartas nolīguma interpretāciju un piemērošanu </w:t>
      </w:r>
    </w:p>
    <w:p w14:paraId="3DE83DD7" w14:textId="61F51312" w:rsidR="00B64363" w:rsidRPr="00DB0BB1" w:rsidRDefault="00B64363" w:rsidP="00B64363">
      <w:pPr>
        <w:spacing w:before="360"/>
        <w:ind w:right="-856"/>
        <w:rPr>
          <w:i/>
        </w:rPr>
      </w:pPr>
      <w:r w:rsidRPr="00FB0770">
        <w:rPr>
          <w:i/>
        </w:rPr>
        <w:t>(Tā kā starp Parlamentu un Padomi tika</w:t>
      </w:r>
      <w:r w:rsidRPr="00DB0BB1">
        <w:rPr>
          <w:i/>
        </w:rPr>
        <w:t xml:space="preserve"> panākta vienošanās, Parlamenta nostāja atbilst galīgajam tiesību aktam Lēmumam </w:t>
      </w:r>
      <w:r w:rsidRPr="00D40C2D">
        <w:rPr>
          <w:i/>
          <w:iCs/>
        </w:rPr>
        <w:t>(E</w:t>
      </w:r>
      <w:r>
        <w:rPr>
          <w:i/>
          <w:iCs/>
        </w:rPr>
        <w:t>S</w:t>
      </w:r>
      <w:r w:rsidRPr="00D40C2D">
        <w:rPr>
          <w:i/>
          <w:iCs/>
        </w:rPr>
        <w:t>)</w:t>
      </w:r>
      <w:r>
        <w:rPr>
          <w:i/>
          <w:iCs/>
        </w:rPr>
        <w:t> </w:t>
      </w:r>
      <w:r w:rsidRPr="00D40C2D">
        <w:rPr>
          <w:i/>
          <w:iCs/>
        </w:rPr>
        <w:t>20</w:t>
      </w:r>
      <w:r>
        <w:rPr>
          <w:i/>
          <w:iCs/>
        </w:rPr>
        <w:t>25</w:t>
      </w:r>
      <w:r w:rsidRPr="00D40C2D">
        <w:rPr>
          <w:i/>
          <w:iCs/>
        </w:rPr>
        <w:t>/</w:t>
      </w:r>
      <w:r>
        <w:rPr>
          <w:i/>
          <w:iCs/>
        </w:rPr>
        <w:t>1904</w:t>
      </w:r>
      <w:r w:rsidRPr="00D40C2D">
        <w:rPr>
          <w:i/>
          <w:iCs/>
          <w:noProof/>
        </w:rPr>
        <w:t>.</w:t>
      </w:r>
      <w:r>
        <w:rPr>
          <w:i/>
          <w:iCs/>
          <w:noProof/>
        </w:rPr>
        <w:t>)</w:t>
      </w:r>
    </w:p>
    <w:sectPr w:rsidR="00B64363" w:rsidRPr="00DB0BB1" w:rsidSect="00AC4D2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ACAB6" w14:textId="77777777" w:rsidR="00B63917" w:rsidRPr="00AC4D2A" w:rsidRDefault="00B63917">
      <w:r w:rsidRPr="00AC4D2A">
        <w:separator/>
      </w:r>
    </w:p>
  </w:endnote>
  <w:endnote w:type="continuationSeparator" w:id="0">
    <w:p w14:paraId="158ACA43" w14:textId="77777777" w:rsidR="00B63917" w:rsidRPr="00AC4D2A" w:rsidRDefault="00B63917">
      <w:r w:rsidRPr="00AC4D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E1F7D" w14:textId="77777777" w:rsidR="00B63917" w:rsidRPr="00AC4D2A" w:rsidRDefault="00B63917">
      <w:r w:rsidRPr="00AC4D2A">
        <w:separator/>
      </w:r>
    </w:p>
  </w:footnote>
  <w:footnote w:type="continuationSeparator" w:id="0">
    <w:p w14:paraId="7ABAD040" w14:textId="77777777" w:rsidR="00B63917" w:rsidRPr="00AC4D2A" w:rsidRDefault="00B63917">
      <w:r w:rsidRPr="00AC4D2A">
        <w:continuationSeparator/>
      </w:r>
    </w:p>
  </w:footnote>
  <w:footnote w:id="1">
    <w:p w14:paraId="528954F2" w14:textId="798B5736" w:rsidR="00BF5715" w:rsidRPr="00AC4D2A" w:rsidRDefault="00BF5715" w:rsidP="00AC4D2A">
      <w:pPr>
        <w:pStyle w:val="FootnoteText"/>
        <w:ind w:left="567" w:hanging="567"/>
        <w:rPr>
          <w:sz w:val="24"/>
          <w:lang w:val="lv-LV"/>
        </w:rPr>
      </w:pPr>
      <w:r w:rsidRPr="00AC4D2A">
        <w:rPr>
          <w:rStyle w:val="FootnoteReference"/>
          <w:sz w:val="24"/>
          <w:lang w:val="lv-LV"/>
        </w:rPr>
        <w:footnoteRef/>
      </w:r>
      <w:r w:rsidR="00AC4D2A" w:rsidRPr="00AC4D2A">
        <w:rPr>
          <w:sz w:val="24"/>
          <w:lang w:val="lv-LV"/>
        </w:rPr>
        <w:t xml:space="preserve"> </w:t>
      </w:r>
      <w:r w:rsidR="00AC4D2A" w:rsidRPr="00AC4D2A">
        <w:rPr>
          <w:sz w:val="24"/>
          <w:lang w:val="lv-LV"/>
        </w:rPr>
        <w:tab/>
      </w:r>
      <w:r w:rsidR="00100EA8" w:rsidRPr="00B93A56">
        <w:rPr>
          <w:sz w:val="24"/>
          <w:lang w:val="pt-PT"/>
        </w:rPr>
        <w:t xml:space="preserve">2024. </w:t>
      </w:r>
      <w:proofErr w:type="spellStart"/>
      <w:r w:rsidR="00100EA8" w:rsidRPr="00B93A56">
        <w:rPr>
          <w:sz w:val="24"/>
          <w:lang w:val="pt-PT"/>
        </w:rPr>
        <w:t>gada</w:t>
      </w:r>
      <w:proofErr w:type="spellEnd"/>
      <w:r w:rsidR="00100EA8" w:rsidRPr="00B93A56">
        <w:rPr>
          <w:sz w:val="24"/>
          <w:lang w:val="pt-PT"/>
        </w:rPr>
        <w:t xml:space="preserve"> 4. </w:t>
      </w:r>
      <w:proofErr w:type="spellStart"/>
      <w:r w:rsidR="00100EA8" w:rsidRPr="00B93A56">
        <w:rPr>
          <w:sz w:val="24"/>
          <w:lang w:val="pt-PT"/>
        </w:rPr>
        <w:t>decembra</w:t>
      </w:r>
      <w:proofErr w:type="spellEnd"/>
      <w:r w:rsidR="00100EA8" w:rsidRPr="00B93A56">
        <w:rPr>
          <w:sz w:val="24"/>
          <w:lang w:val="pt-PT"/>
        </w:rPr>
        <w:t xml:space="preserve"> </w:t>
      </w:r>
      <w:proofErr w:type="spellStart"/>
      <w:r w:rsidR="00100EA8" w:rsidRPr="00B93A56">
        <w:rPr>
          <w:sz w:val="24"/>
          <w:lang w:val="pt-PT"/>
        </w:rPr>
        <w:t>atzinums</w:t>
      </w:r>
      <w:proofErr w:type="spellEnd"/>
      <w:r w:rsidR="00100EA8" w:rsidRPr="00B93A56">
        <w:rPr>
          <w:sz w:val="24"/>
          <w:lang w:val="pt-PT"/>
        </w:rPr>
        <w:t xml:space="preserve"> (O</w:t>
      </w:r>
      <w:r w:rsidR="001E1FF8">
        <w:rPr>
          <w:sz w:val="24"/>
          <w:lang w:val="pt-PT"/>
        </w:rPr>
        <w:t>V</w:t>
      </w:r>
      <w:r w:rsidR="00100EA8" w:rsidRPr="00B93A56">
        <w:rPr>
          <w:sz w:val="24"/>
          <w:lang w:val="pt-PT"/>
        </w:rPr>
        <w:t xml:space="preserve"> C, C/2025/776, 11.2.2025, ELI: </w:t>
      </w:r>
      <w:hyperlink r:id="rId1" w:history="1">
        <w:r w:rsidR="00100EA8" w:rsidRPr="00B64363">
          <w:rPr>
            <w:rStyle w:val="Hyperlink"/>
            <w:sz w:val="24"/>
            <w:lang w:val="pt-PT"/>
          </w:rPr>
          <w:t>http://data.europa.eu/eli/C/2025/776/oj</w:t>
        </w:r>
      </w:hyperlink>
      <w:r w:rsidR="00100EA8" w:rsidRPr="00B93A56">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16cid:durableId="2131849568">
    <w:abstractNumId w:val="9"/>
  </w:num>
  <w:num w:numId="2" w16cid:durableId="147212474">
    <w:abstractNumId w:val="9"/>
  </w:num>
  <w:num w:numId="3" w16cid:durableId="2009020081">
    <w:abstractNumId w:val="7"/>
  </w:num>
  <w:num w:numId="4" w16cid:durableId="2086536328">
    <w:abstractNumId w:val="7"/>
  </w:num>
  <w:num w:numId="5" w16cid:durableId="1953321202">
    <w:abstractNumId w:val="6"/>
  </w:num>
  <w:num w:numId="6" w16cid:durableId="510876463">
    <w:abstractNumId w:val="6"/>
  </w:num>
  <w:num w:numId="7" w16cid:durableId="2040281773">
    <w:abstractNumId w:val="5"/>
  </w:num>
  <w:num w:numId="8" w16cid:durableId="59404747">
    <w:abstractNumId w:val="5"/>
  </w:num>
  <w:num w:numId="9" w16cid:durableId="862982321">
    <w:abstractNumId w:val="4"/>
  </w:num>
  <w:num w:numId="10" w16cid:durableId="1756901400">
    <w:abstractNumId w:val="4"/>
  </w:num>
  <w:num w:numId="11" w16cid:durableId="982926486">
    <w:abstractNumId w:val="8"/>
  </w:num>
  <w:num w:numId="12" w16cid:durableId="723259087">
    <w:abstractNumId w:val="8"/>
  </w:num>
  <w:num w:numId="13" w16cid:durableId="2020351746">
    <w:abstractNumId w:val="3"/>
  </w:num>
  <w:num w:numId="14" w16cid:durableId="243879799">
    <w:abstractNumId w:val="3"/>
  </w:num>
  <w:num w:numId="15" w16cid:durableId="1196694579">
    <w:abstractNumId w:val="2"/>
  </w:num>
  <w:num w:numId="16" w16cid:durableId="494299768">
    <w:abstractNumId w:val="2"/>
  </w:num>
  <w:num w:numId="17" w16cid:durableId="809783511">
    <w:abstractNumId w:val="1"/>
  </w:num>
  <w:num w:numId="18" w16cid:durableId="214197731">
    <w:abstractNumId w:val="1"/>
  </w:num>
  <w:num w:numId="19" w16cid:durableId="822699873">
    <w:abstractNumId w:val="0"/>
  </w:num>
  <w:num w:numId="20" w16cid:durableId="2089500954">
    <w:abstractNumId w:val="0"/>
  </w:num>
  <w:num w:numId="21" w16cid:durableId="48891714">
    <w:abstractNumId w:val="9"/>
  </w:num>
  <w:num w:numId="22" w16cid:durableId="1201674317">
    <w:abstractNumId w:val="7"/>
  </w:num>
  <w:num w:numId="23" w16cid:durableId="1955288507">
    <w:abstractNumId w:val="6"/>
  </w:num>
  <w:num w:numId="24" w16cid:durableId="1264415509">
    <w:abstractNumId w:val="5"/>
  </w:num>
  <w:num w:numId="25" w16cid:durableId="574053213">
    <w:abstractNumId w:val="4"/>
  </w:num>
  <w:num w:numId="26" w16cid:durableId="1457483160">
    <w:abstractNumId w:val="8"/>
  </w:num>
  <w:num w:numId="27" w16cid:durableId="8913694">
    <w:abstractNumId w:val="3"/>
  </w:num>
  <w:num w:numId="28" w16cid:durableId="758871002">
    <w:abstractNumId w:val="2"/>
  </w:num>
  <w:num w:numId="29" w16cid:durableId="340474926">
    <w:abstractNumId w:val="1"/>
  </w:num>
  <w:num w:numId="30" w16cid:durableId="2061857047">
    <w:abstractNumId w:val="0"/>
  </w:num>
  <w:num w:numId="31" w16cid:durableId="805515221">
    <w:abstractNumId w:val="9"/>
  </w:num>
  <w:num w:numId="32" w16cid:durableId="1235120317">
    <w:abstractNumId w:val="7"/>
  </w:num>
  <w:num w:numId="33" w16cid:durableId="1757702196">
    <w:abstractNumId w:val="6"/>
  </w:num>
  <w:num w:numId="34" w16cid:durableId="804547387">
    <w:abstractNumId w:val="5"/>
  </w:num>
  <w:num w:numId="35" w16cid:durableId="731201881">
    <w:abstractNumId w:val="4"/>
  </w:num>
  <w:num w:numId="36" w16cid:durableId="1400131093">
    <w:abstractNumId w:val="8"/>
  </w:num>
  <w:num w:numId="37" w16cid:durableId="2064256469">
    <w:abstractNumId w:val="3"/>
  </w:num>
  <w:num w:numId="38" w16cid:durableId="2047288912">
    <w:abstractNumId w:val="2"/>
  </w:num>
  <w:num w:numId="39" w16cid:durableId="772673942">
    <w:abstractNumId w:val="1"/>
  </w:num>
  <w:num w:numId="40" w16cid:durableId="164127618">
    <w:abstractNumId w:val="0"/>
  </w:num>
  <w:num w:numId="41" w16cid:durableId="231042441">
    <w:abstractNumId w:val="10"/>
  </w:num>
  <w:num w:numId="42" w16cid:durableId="158154053">
    <w:abstractNumId w:val="10"/>
  </w:num>
  <w:num w:numId="43" w16cid:durableId="1245646189">
    <w:abstractNumId w:val="10"/>
  </w:num>
  <w:num w:numId="44" w16cid:durableId="989601471">
    <w:abstractNumId w:val="11"/>
  </w:num>
  <w:num w:numId="45" w16cid:durableId="18508746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LV"/>
    <w:docVar w:name="dvnumam" w:val="0"/>
    <w:docVar w:name="dvpe" w:val="767.940"/>
    <w:docVar w:name="dvrapporteur" w:val="Referenti: "/>
    <w:docVar w:name="dvstar" w:val="***I"/>
    <w:docVar w:name="dvtitre" w:val="Eiropas Parlamenta 2025. gada XX. XXX normatīvā rezolūcija par priekšlikumu Eiropas Parlamenta un Padomes lēmumam par to, lai Savienība pieņemtu Nolīgumu par Enerģētikas hartas nolīguma interpretāciju un piemērošanu starp Eiropas Savienību, Eiropas Atomenerģijas kopienu un to dalībvalstīm(COM(2024)0257 – C10-0058/2024 – 2024/0148(COD))"/>
  </w:docVars>
  <w:rsids>
    <w:rsidRoot w:val="00B63917"/>
    <w:rsid w:val="00002272"/>
    <w:rsid w:val="000548AE"/>
    <w:rsid w:val="00064002"/>
    <w:rsid w:val="000677B9"/>
    <w:rsid w:val="000831BA"/>
    <w:rsid w:val="000A42CC"/>
    <w:rsid w:val="000E7DD9"/>
    <w:rsid w:val="0010095E"/>
    <w:rsid w:val="00100EA8"/>
    <w:rsid w:val="00125B37"/>
    <w:rsid w:val="00187494"/>
    <w:rsid w:val="001D70CA"/>
    <w:rsid w:val="001E1FF8"/>
    <w:rsid w:val="001F32AE"/>
    <w:rsid w:val="002767FF"/>
    <w:rsid w:val="002A1C6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CD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5B3"/>
    <w:rsid w:val="00AB441E"/>
    <w:rsid w:val="00AB6293"/>
    <w:rsid w:val="00AC4D2A"/>
    <w:rsid w:val="00AE0928"/>
    <w:rsid w:val="00AF3B82"/>
    <w:rsid w:val="00B12E95"/>
    <w:rsid w:val="00B22876"/>
    <w:rsid w:val="00B558F0"/>
    <w:rsid w:val="00B63917"/>
    <w:rsid w:val="00B64363"/>
    <w:rsid w:val="00B93A56"/>
    <w:rsid w:val="00BD48FE"/>
    <w:rsid w:val="00BD7BD8"/>
    <w:rsid w:val="00BE6ADC"/>
    <w:rsid w:val="00BF571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553"/>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55C7C"/>
  <w15:chartTrackingRefBased/>
  <w15:docId w15:val="{970FFA92-189F-4DE8-9F17-42052378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5715"/>
    <w:pPr>
      <w:spacing w:before="480" w:after="240"/>
    </w:pPr>
  </w:style>
  <w:style w:type="paragraph" w:customStyle="1" w:styleId="NormalBold">
    <w:name w:val="NormalBold"/>
    <w:basedOn w:val="Normal"/>
    <w:rsid w:val="00BF5715"/>
    <w:rPr>
      <w:b/>
    </w:rPr>
  </w:style>
  <w:style w:type="paragraph" w:customStyle="1" w:styleId="NormalBold12a">
    <w:name w:val="NormalBold12a"/>
    <w:basedOn w:val="Normal"/>
    <w:rsid w:val="00BF5715"/>
    <w:pPr>
      <w:spacing w:after="240"/>
    </w:pPr>
    <w:rPr>
      <w:b/>
    </w:rPr>
  </w:style>
  <w:style w:type="paragraph" w:customStyle="1" w:styleId="NormalHanging12a">
    <w:name w:val="NormalHanging12a"/>
    <w:basedOn w:val="Normal"/>
    <w:rsid w:val="00BF5715"/>
    <w:pPr>
      <w:spacing w:after="240"/>
      <w:ind w:left="567" w:hanging="567"/>
    </w:pPr>
  </w:style>
  <w:style w:type="paragraph" w:customStyle="1" w:styleId="Normal12Hanging">
    <w:name w:val="Normal12Hanging"/>
    <w:basedOn w:val="Normal"/>
    <w:link w:val="Normal12HangingChar"/>
    <w:rsid w:val="00100EA8"/>
    <w:pPr>
      <w:tabs>
        <w:tab w:val="num" w:pos="4679"/>
      </w:tabs>
      <w:spacing w:after="240"/>
      <w:ind w:left="4679" w:hanging="567"/>
    </w:pPr>
    <w:rPr>
      <w:snapToGrid w:val="0"/>
    </w:rPr>
  </w:style>
  <w:style w:type="character" w:customStyle="1" w:styleId="Normal12HangingChar">
    <w:name w:val="Normal12Hanging Char"/>
    <w:link w:val="Normal12Hanging"/>
    <w:rsid w:val="00100EA8"/>
    <w:rPr>
      <w:snapToGrid w:val="0"/>
      <w:sz w:val="24"/>
      <w:lang w:val="lv-LV"/>
    </w:rPr>
  </w:style>
  <w:style w:type="paragraph" w:styleId="Header">
    <w:name w:val="header"/>
    <w:basedOn w:val="Normal"/>
    <w:link w:val="HeaderChar"/>
    <w:rsid w:val="00100EA8"/>
    <w:pPr>
      <w:tabs>
        <w:tab w:val="center" w:pos="4513"/>
        <w:tab w:val="right" w:pos="9026"/>
      </w:tabs>
    </w:pPr>
  </w:style>
  <w:style w:type="character" w:customStyle="1" w:styleId="HeaderChar">
    <w:name w:val="Header Char"/>
    <w:basedOn w:val="DefaultParagraphFont"/>
    <w:link w:val="Header"/>
    <w:rsid w:val="00100EA8"/>
    <w:rPr>
      <w:sz w:val="24"/>
      <w:lang w:val="lv-LV"/>
    </w:rPr>
  </w:style>
  <w:style w:type="paragraph" w:styleId="Footer">
    <w:name w:val="footer"/>
    <w:basedOn w:val="Normal"/>
    <w:link w:val="FooterChar"/>
    <w:rsid w:val="00100EA8"/>
    <w:pPr>
      <w:tabs>
        <w:tab w:val="center" w:pos="4513"/>
        <w:tab w:val="right" w:pos="9026"/>
      </w:tabs>
    </w:pPr>
  </w:style>
  <w:style w:type="character" w:customStyle="1" w:styleId="FooterChar">
    <w:name w:val="Footer Char"/>
    <w:basedOn w:val="DefaultParagraphFont"/>
    <w:link w:val="Footer"/>
    <w:rsid w:val="00100EA8"/>
    <w:rPr>
      <w:sz w:val="24"/>
      <w:lang w:val="lv-LV"/>
    </w:rPr>
  </w:style>
  <w:style w:type="paragraph" w:styleId="BalloonText">
    <w:name w:val="Balloon Text"/>
    <w:basedOn w:val="Normal"/>
    <w:link w:val="BalloonTextChar"/>
    <w:rsid w:val="00100EA8"/>
    <w:rPr>
      <w:rFonts w:ascii="Segoe UI" w:hAnsi="Segoe UI" w:cs="Segoe UI"/>
      <w:sz w:val="18"/>
      <w:szCs w:val="18"/>
    </w:rPr>
  </w:style>
  <w:style w:type="character" w:customStyle="1" w:styleId="BalloonTextChar">
    <w:name w:val="Balloon Text Char"/>
    <w:basedOn w:val="DefaultParagraphFont"/>
    <w:link w:val="BalloonText"/>
    <w:rsid w:val="00100EA8"/>
    <w:rPr>
      <w:rFonts w:ascii="Segoe UI" w:hAnsi="Segoe UI" w:cs="Segoe UI"/>
      <w:sz w:val="18"/>
      <w:szCs w:val="18"/>
      <w:lang w:val="lv-LV"/>
    </w:rPr>
  </w:style>
  <w:style w:type="character" w:styleId="Hyperlink">
    <w:name w:val="Hyperlink"/>
    <w:uiPriority w:val="99"/>
    <w:unhideWhenUsed/>
    <w:rsid w:val="00100EA8"/>
    <w:rPr>
      <w:color w:val="0000FF"/>
      <w:u w:val="single"/>
    </w:rPr>
  </w:style>
  <w:style w:type="character" w:styleId="UnresolvedMention">
    <w:name w:val="Unresolved Mention"/>
    <w:basedOn w:val="DefaultParagraphFont"/>
    <w:uiPriority w:val="99"/>
    <w:semiHidden/>
    <w:unhideWhenUsed/>
    <w:rsid w:val="00B64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77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84E6C-7EBA-4ACF-BAC7-7840DA000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2125</Characters>
  <Application>Microsoft Office Word</Application>
  <DocSecurity>0</DocSecurity>
  <Lines>50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2025-09-25T08:52:00Z</dcterms:created>
  <dcterms:modified xsi:type="dcterms:W3CDTF">2025-09-25T08:52:00Z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P10_TA(2025)0126_</vt:lpwstr>
  </property>
  <property fmtid="{D5CDD505-2E9C-101B-9397-08002B2CF9AE}" pid="4" name="&lt;Type&gt;">
    <vt:lpwstr>RR</vt:lpwstr>
  </property>
</Properties>
</file>