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4AD4" w14:paraId="2518E92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6BD8B8" w14:textId="77777777" w:rsidR="00751A4A" w:rsidRPr="00134AD4" w:rsidRDefault="00AA4704" w:rsidP="0010095E">
            <w:pPr>
              <w:pStyle w:val="EPName"/>
            </w:pPr>
            <w:r w:rsidRPr="00134AD4">
              <w:t>Parlament Ewropew</w:t>
            </w:r>
          </w:p>
          <w:p w14:paraId="5F65FAB6" w14:textId="77777777" w:rsidR="00751A4A" w:rsidRPr="00134A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4AD4">
              <w:t>2024</w:t>
            </w:r>
            <w:r w:rsidR="00817416" w:rsidRPr="00134AD4">
              <w:t>-202</w:t>
            </w:r>
            <w:r w:rsidRPr="00134AD4">
              <w:t>9</w:t>
            </w:r>
          </w:p>
        </w:tc>
        <w:tc>
          <w:tcPr>
            <w:tcW w:w="2268" w:type="dxa"/>
            <w:shd w:val="clear" w:color="auto" w:fill="auto"/>
          </w:tcPr>
          <w:p w14:paraId="664FF939" w14:textId="77777777" w:rsidR="00751A4A" w:rsidRPr="00134AD4" w:rsidRDefault="00187494" w:rsidP="0010095E">
            <w:pPr>
              <w:pStyle w:val="EPLogo"/>
            </w:pPr>
            <w:r w:rsidRPr="00134AD4">
              <w:rPr>
                <w:noProof/>
                <w:lang w:val="en-GB"/>
              </w:rPr>
              <w:drawing>
                <wp:inline distT="0" distB="0" distL="0" distR="0" wp14:anchorId="4F9898AF" wp14:editId="2C2658D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B486A2" w14:textId="77777777" w:rsidR="00D058B8" w:rsidRPr="00134AD4" w:rsidRDefault="00D058B8" w:rsidP="004C5D52">
      <w:pPr>
        <w:pStyle w:val="LineTop"/>
      </w:pPr>
    </w:p>
    <w:p w14:paraId="739DC10D" w14:textId="77777777" w:rsidR="00680577" w:rsidRPr="00134AD4" w:rsidRDefault="00AA4704" w:rsidP="00680577">
      <w:pPr>
        <w:pStyle w:val="EPBodyTA1"/>
      </w:pPr>
      <w:r w:rsidRPr="00134AD4">
        <w:t>TESTI ADOTTATI</w:t>
      </w:r>
    </w:p>
    <w:p w14:paraId="06040584" w14:textId="77777777" w:rsidR="00D058B8" w:rsidRPr="00134AD4" w:rsidRDefault="00D058B8" w:rsidP="00D058B8">
      <w:pPr>
        <w:pStyle w:val="LineBottom"/>
      </w:pPr>
    </w:p>
    <w:p w14:paraId="63543ABE" w14:textId="77777777" w:rsidR="00AA4704" w:rsidRPr="00134AD4" w:rsidRDefault="00AA4704" w:rsidP="00AA4704">
      <w:pPr>
        <w:pStyle w:val="ATHeading1"/>
      </w:pPr>
      <w:bookmarkStart w:id="0" w:name="TANumber"/>
      <w:r w:rsidRPr="00134AD4">
        <w:t>P10_TA(2025)0</w:t>
      </w:r>
      <w:bookmarkEnd w:id="0"/>
      <w:r w:rsidR="00E74D36" w:rsidRPr="00134AD4">
        <w:t>126</w:t>
      </w:r>
    </w:p>
    <w:p w14:paraId="315E8828" w14:textId="77777777" w:rsidR="00AA4704" w:rsidRPr="00134AD4" w:rsidRDefault="00AA4704" w:rsidP="00AA4704">
      <w:pPr>
        <w:pStyle w:val="ATHeading2"/>
      </w:pPr>
      <w:bookmarkStart w:id="1" w:name="title"/>
      <w:r w:rsidRPr="00134AD4">
        <w:t>Adozzjoni mill-Unjoni tal-Ftehim dwar l-interpretazzjoni u l-applikazzjoni tat-Trattat tal-Karta tal-Enerġija</w:t>
      </w:r>
      <w:bookmarkEnd w:id="1"/>
    </w:p>
    <w:p w14:paraId="129A270C" w14:textId="77777777" w:rsidR="00AA4704" w:rsidRPr="00134AD4" w:rsidRDefault="00AA4704" w:rsidP="00AA4704">
      <w:pPr>
        <w:rPr>
          <w:i/>
          <w:vanish/>
        </w:rPr>
      </w:pPr>
      <w:r w:rsidRPr="00134AD4">
        <w:rPr>
          <w:i/>
        </w:rPr>
        <w:fldChar w:fldCharType="begin"/>
      </w:r>
      <w:r w:rsidRPr="00134AD4">
        <w:rPr>
          <w:i/>
        </w:rPr>
        <w:instrText xml:space="preserve"> TC"(</w:instrText>
      </w:r>
      <w:bookmarkStart w:id="2" w:name="DocNumber"/>
      <w:r w:rsidRPr="00134AD4">
        <w:rPr>
          <w:i/>
        </w:rPr>
        <w:instrText>A10-0009/2025</w:instrText>
      </w:r>
      <w:bookmarkEnd w:id="2"/>
      <w:r w:rsidRPr="00134AD4">
        <w:rPr>
          <w:i/>
        </w:rPr>
        <w:instrText xml:space="preserve"> - Rapporteur: Anna Cavazzini, Borys Budka)"\l3 \n&gt; \* MERGEFORMAT </w:instrText>
      </w:r>
      <w:r w:rsidRPr="00134AD4">
        <w:rPr>
          <w:i/>
        </w:rPr>
        <w:fldChar w:fldCharType="end"/>
      </w:r>
    </w:p>
    <w:p w14:paraId="3ED8B9E5" w14:textId="77777777" w:rsidR="00AA4704" w:rsidRPr="00134AD4" w:rsidRDefault="00AA4704" w:rsidP="00AA4704">
      <w:pPr>
        <w:rPr>
          <w:vanish/>
        </w:rPr>
      </w:pPr>
      <w:bookmarkStart w:id="3" w:name="Commission"/>
      <w:r w:rsidRPr="00134AD4">
        <w:rPr>
          <w:vanish/>
        </w:rPr>
        <w:t>Kumitat għall-Kummerċ Internazzjonali, Kumitat għall-Industrija, ir-Riċerka u l-Enerġija</w:t>
      </w:r>
      <w:bookmarkEnd w:id="3"/>
    </w:p>
    <w:p w14:paraId="1B606B6C" w14:textId="77777777" w:rsidR="00AA4704" w:rsidRPr="00134AD4" w:rsidRDefault="00AA4704" w:rsidP="00AA4704">
      <w:pPr>
        <w:rPr>
          <w:vanish/>
        </w:rPr>
      </w:pPr>
      <w:bookmarkStart w:id="4" w:name="PE"/>
      <w:r w:rsidRPr="00134AD4">
        <w:rPr>
          <w:vanish/>
        </w:rPr>
        <w:t>PE767.940</w:t>
      </w:r>
      <w:bookmarkEnd w:id="4"/>
    </w:p>
    <w:p w14:paraId="5D05D0EB" w14:textId="77777777" w:rsidR="00AA4704" w:rsidRPr="00134AD4" w:rsidRDefault="00AA4704" w:rsidP="00AA4704">
      <w:pPr>
        <w:pStyle w:val="ATHeading3"/>
      </w:pPr>
      <w:bookmarkStart w:id="5" w:name="Sujet"/>
      <w:r w:rsidRPr="00134AD4">
        <w:t>Riżoluzzjoni leġiżlatt</w:t>
      </w:r>
      <w:r w:rsidR="00652EAB" w:rsidRPr="00134AD4">
        <w:t>iva tal-Parlament Ewropew tat-18</w:t>
      </w:r>
      <w:r w:rsidRPr="00134AD4">
        <w:t xml:space="preserve"> ta' Ġunju 2025 dwar il-proposta għal deċiżjoni tal-Parlament Ewropew u tal-Kunsill dwar l-adozzjoni mill-Unjoni tal-Ftehim dwar l-interpretazzjoni u l-applikazzjoni tat-Trattat tal-Karta tal-Enerġija bejn l-Unjoni Ewropea, il-Komunità Ewropea tal-Enerġija Atomika u l-Istati Membri tagħhom</w:t>
      </w:r>
      <w:bookmarkEnd w:id="5"/>
      <w:r w:rsidRPr="00134AD4">
        <w:t xml:space="preserve"> </w:t>
      </w:r>
      <w:bookmarkStart w:id="6" w:name="References"/>
      <w:r w:rsidRPr="00134AD4">
        <w:t>(COM(2024)0257 – C10-0058/2024 – 2024/0148(COD))</w:t>
      </w:r>
      <w:bookmarkEnd w:id="6"/>
    </w:p>
    <w:p w14:paraId="432CBA89" w14:textId="77777777" w:rsidR="00AA4704" w:rsidRPr="00134AD4" w:rsidRDefault="00AA4704" w:rsidP="00AA4704"/>
    <w:p w14:paraId="25FCFA94" w14:textId="77777777" w:rsidR="00F72108" w:rsidRPr="00134AD4" w:rsidRDefault="00F72108" w:rsidP="00F72108">
      <w:pPr>
        <w:pStyle w:val="NormalBold"/>
      </w:pPr>
      <w:bookmarkStart w:id="7" w:name="TextBodyBegin"/>
      <w:bookmarkEnd w:id="7"/>
      <w:r w:rsidRPr="00134AD4">
        <w:t>(Proċedura leġiżlattiva ordinarja: l-ewwel qari)</w:t>
      </w:r>
    </w:p>
    <w:p w14:paraId="7525CD50" w14:textId="77777777" w:rsidR="00F72108" w:rsidRPr="00134AD4" w:rsidRDefault="00F72108" w:rsidP="00F72108">
      <w:pPr>
        <w:pStyle w:val="EPComma"/>
      </w:pPr>
      <w:r w:rsidRPr="00134AD4">
        <w:rPr>
          <w:i/>
        </w:rPr>
        <w:t>Il-Parlament Ewropew</w:t>
      </w:r>
      <w:r w:rsidRPr="00134AD4">
        <w:t>,</w:t>
      </w:r>
    </w:p>
    <w:p w14:paraId="46427631" w14:textId="77777777" w:rsidR="00F72108" w:rsidRPr="00134AD4" w:rsidRDefault="00F72108" w:rsidP="00F72108">
      <w:pPr>
        <w:pStyle w:val="NormalHanging12a"/>
      </w:pPr>
      <w:r w:rsidRPr="00134AD4">
        <w:t>–</w:t>
      </w:r>
      <w:r w:rsidRPr="00134AD4">
        <w:tab/>
        <w:t>wara li kkunsidra l-proposta tal-Kummissjoni lill-Parlament Ewropew u lill-Kunsill (COM(2024)0257),</w:t>
      </w:r>
    </w:p>
    <w:p w14:paraId="7EBD00A7" w14:textId="77777777" w:rsidR="00F72108" w:rsidRPr="00134AD4" w:rsidRDefault="00F72108" w:rsidP="00F72108">
      <w:pPr>
        <w:pStyle w:val="NormalHanging12a"/>
      </w:pPr>
      <w:r w:rsidRPr="00134AD4">
        <w:t>–</w:t>
      </w:r>
      <w:r w:rsidRPr="00134AD4">
        <w:tab/>
        <w:t>wara li kkunsidra l-Artikolu 294(2) u l-Artikolu 194 tat-Trattat dwar il-Funzjonament tal-Unjoni Ewropea, skont liema artikoli l-Kummissjoni ppreżentat il-proposta lill-Parlament (C10</w:t>
      </w:r>
      <w:r w:rsidRPr="00134AD4">
        <w:noBreakHyphen/>
        <w:t>0058/2024),</w:t>
      </w:r>
    </w:p>
    <w:p w14:paraId="33CEF21E" w14:textId="77777777" w:rsidR="00F72108" w:rsidRPr="00134AD4" w:rsidRDefault="00F72108" w:rsidP="00F72108">
      <w:pPr>
        <w:pStyle w:val="NormalHanging12a"/>
      </w:pPr>
      <w:r w:rsidRPr="00134AD4">
        <w:t>–</w:t>
      </w:r>
      <w:r w:rsidRPr="00134AD4">
        <w:tab/>
        <w:t>wara li kkunsidra l-Artikolu 294(3) tat-Trattat dwar il-Funzjonament tal-Unjoni Ewropea,</w:t>
      </w:r>
    </w:p>
    <w:p w14:paraId="252B2EA9" w14:textId="77777777" w:rsidR="00F72108" w:rsidRPr="00134AD4" w:rsidRDefault="00F72108" w:rsidP="00F72108">
      <w:pPr>
        <w:pStyle w:val="NormalHanging12a"/>
      </w:pPr>
      <w:r w:rsidRPr="00134AD4">
        <w:t>–</w:t>
      </w:r>
      <w:r w:rsidRPr="00134AD4">
        <w:tab/>
        <w:t>wara li kkunsidra l-opinjoni tal-Kumitat Ekonomiku u Soċjali Ewropew tal-4 ta’ Diċembru 2024</w:t>
      </w:r>
      <w:r w:rsidRPr="00134AD4">
        <w:rPr>
          <w:rStyle w:val="FootnoteReference"/>
        </w:rPr>
        <w:footnoteReference w:id="1"/>
      </w:r>
      <w:r w:rsidRPr="00134AD4">
        <w:t>,</w:t>
      </w:r>
    </w:p>
    <w:p w14:paraId="04A9C0FF" w14:textId="77777777" w:rsidR="00F72108" w:rsidRPr="00134AD4" w:rsidRDefault="00F72108" w:rsidP="00F72108">
      <w:pPr>
        <w:pStyle w:val="NormalHanging12a"/>
      </w:pPr>
      <w:r w:rsidRPr="00134AD4">
        <w:t>–</w:t>
      </w:r>
      <w:r w:rsidRPr="00134AD4">
        <w:tab/>
        <w:t>wara li kkonsulta l-Kumitat tar-Reġjuni,</w:t>
      </w:r>
    </w:p>
    <w:p w14:paraId="7F5DA191" w14:textId="77777777" w:rsidR="00C957B4" w:rsidRPr="00134AD4" w:rsidRDefault="00C957B4" w:rsidP="00C957B4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</w:pPr>
      <w:r w:rsidRPr="00134AD4">
        <w:t>–</w:t>
      </w:r>
      <w:r w:rsidRPr="00134AD4">
        <w:tab/>
        <w:t>wara li kkunsidra l-ftehim proviżorju approvat mill-kumitati responsabbli fis-sens tal-Artikolu 75(4) tar-Regoli ta' Proċedura tiegħu, l-impenn meħud mir-rappreżentant tal-Kunsill, permezz tal-ittra tal-14 ta' Mejju 2025, li japprova l-pożizzjoni msemmija, skont l-Artikolu 294(4) tat-Trattat dwar il-Funzjonament tal-Unjoni Ewropea,</w:t>
      </w:r>
    </w:p>
    <w:p w14:paraId="460C3AF3" w14:textId="77777777" w:rsidR="00C957B4" w:rsidRPr="00134AD4" w:rsidRDefault="00C957B4" w:rsidP="00F72108">
      <w:pPr>
        <w:pStyle w:val="NormalHanging12a"/>
      </w:pPr>
    </w:p>
    <w:p w14:paraId="5E3E5F1B" w14:textId="77777777" w:rsidR="00F72108" w:rsidRPr="00134AD4" w:rsidRDefault="00F72108" w:rsidP="00F72108">
      <w:pPr>
        <w:pStyle w:val="NormalHanging12a"/>
      </w:pPr>
      <w:r w:rsidRPr="00134AD4">
        <w:t>–</w:t>
      </w:r>
      <w:r w:rsidRPr="00134AD4">
        <w:tab/>
        <w:t>wara li kkunsidra l-Artikolu 60 tar-Regoli ta’ Proċedura tiegħu,</w:t>
      </w:r>
    </w:p>
    <w:p w14:paraId="19D37F0E" w14:textId="77777777" w:rsidR="00F72108" w:rsidRPr="00134AD4" w:rsidRDefault="00F72108" w:rsidP="00F72108">
      <w:pPr>
        <w:pStyle w:val="NormalHanging12a"/>
      </w:pPr>
      <w:r w:rsidRPr="00134AD4">
        <w:t>–</w:t>
      </w:r>
      <w:r w:rsidRPr="00134AD4">
        <w:tab/>
        <w:t>wara li kkunsidra r-rapport tal-Kumitat għall-Kummerċ Internazzjonali u tal-Kumitat għall-Industrija, ir-Riċerka u l-Enerġija (A10-0009/2025),</w:t>
      </w:r>
    </w:p>
    <w:p w14:paraId="61BDF34E" w14:textId="77777777" w:rsidR="00F72108" w:rsidRPr="00134AD4" w:rsidRDefault="00F72108" w:rsidP="00F72108">
      <w:pPr>
        <w:pStyle w:val="NormalHanging12a"/>
      </w:pPr>
      <w:r w:rsidRPr="00134AD4">
        <w:t>1.</w:t>
      </w:r>
      <w:r w:rsidRPr="00134AD4">
        <w:tab/>
        <w:t xml:space="preserve">Jadotta l-pożizzjoni tiegħu fl-ewwel qari </w:t>
      </w:r>
      <w:r w:rsidR="00652EAB" w:rsidRPr="00134AD4">
        <w:t xml:space="preserve">li </w:t>
      </w:r>
      <w:r w:rsidR="00DA2A71" w:rsidRPr="00134AD4">
        <w:t>t</w:t>
      </w:r>
      <w:r w:rsidR="00652EAB" w:rsidRPr="00134AD4">
        <w:t>idher hawn taħt</w:t>
      </w:r>
      <w:r w:rsidRPr="00134AD4">
        <w:t>;</w:t>
      </w:r>
    </w:p>
    <w:p w14:paraId="4F2BF284" w14:textId="77777777" w:rsidR="00F72108" w:rsidRPr="00134AD4" w:rsidRDefault="00F72108" w:rsidP="00F72108">
      <w:pPr>
        <w:pStyle w:val="NormalHanging12a"/>
      </w:pPr>
      <w:r w:rsidRPr="00134AD4">
        <w:t>2.</w:t>
      </w:r>
      <w:r w:rsidRPr="00134AD4">
        <w:tab/>
        <w:t xml:space="preserve">Jitlob lill-Kummissjoni terġa’ tirreferi l-kwistjoni lill-Parlament jekk tibdel il-proposta tagħha, </w:t>
      </w:r>
      <w:proofErr w:type="spellStart"/>
      <w:r w:rsidRPr="00134AD4">
        <w:t>temendaha</w:t>
      </w:r>
      <w:proofErr w:type="spellEnd"/>
      <w:r w:rsidRPr="00134AD4">
        <w:t xml:space="preserve"> b’mod sustanzjali jew ikollha l-ħsieb li </w:t>
      </w:r>
      <w:proofErr w:type="spellStart"/>
      <w:r w:rsidRPr="00134AD4">
        <w:t>temendaha</w:t>
      </w:r>
      <w:proofErr w:type="spellEnd"/>
      <w:r w:rsidRPr="00134AD4">
        <w:t xml:space="preserve"> b’mod sustanzjali;</w:t>
      </w:r>
    </w:p>
    <w:p w14:paraId="6403A378" w14:textId="77777777" w:rsidR="00652EAB" w:rsidRPr="00134AD4" w:rsidRDefault="00F72108" w:rsidP="00F56C72">
      <w:pPr>
        <w:ind w:left="567" w:hanging="567"/>
        <w:sectPr w:rsidR="00652EAB" w:rsidRPr="00134AD4" w:rsidSect="00C7630B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34AD4">
        <w:t>3.</w:t>
      </w:r>
      <w:r w:rsidRPr="00134AD4">
        <w:tab/>
        <w:t>Jagħti istruzzjonijiet lill-President tiegħu biex tgħaddi l-pożizzjoni tal-Parlament lill-Kunsill u lill-Kummissjoni kif ukoll lill-parlamenti nazzjonali.</w:t>
      </w:r>
    </w:p>
    <w:p w14:paraId="7AA3138C" w14:textId="77777777" w:rsidR="00652EAB" w:rsidRPr="00134AD4" w:rsidRDefault="00652EAB" w:rsidP="00652EAB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134AD4">
        <w:rPr>
          <w:b/>
          <w:bCs/>
          <w:color w:val="000000"/>
        </w:rPr>
        <w:lastRenderedPageBreak/>
        <w:t>P10_TC1-COD(2024)0148</w:t>
      </w:r>
    </w:p>
    <w:p w14:paraId="5D31E3B5" w14:textId="77777777" w:rsidR="00652EAB" w:rsidRPr="00134AD4" w:rsidRDefault="00652EAB" w:rsidP="00652EAB">
      <w:pPr>
        <w:rPr>
          <w:rFonts w:eastAsia="Calibri"/>
          <w:b/>
          <w:szCs w:val="22"/>
        </w:rPr>
      </w:pPr>
      <w:r w:rsidRPr="00134AD4">
        <w:rPr>
          <w:rFonts w:eastAsia="Calibri"/>
          <w:b/>
          <w:bCs/>
        </w:rPr>
        <w:t>Pożizzjoni tal-Parlament Ewropew adottata fl-ewwel qari tat-18</w:t>
      </w:r>
      <w:r w:rsidRPr="00134AD4">
        <w:rPr>
          <w:b/>
        </w:rPr>
        <w:t xml:space="preserve"> </w:t>
      </w:r>
      <w:r w:rsidRPr="00134AD4">
        <w:rPr>
          <w:rFonts w:eastAsia="Calibri"/>
          <w:b/>
          <w:bCs/>
        </w:rPr>
        <w:t xml:space="preserve">ta' Ġunju 2025 bil-ħsieb tal-adozzjoni tad-Deċiżjoni (UE) 2025/... </w:t>
      </w:r>
      <w:r w:rsidRPr="00134AD4">
        <w:rPr>
          <w:b/>
          <w:color w:val="000000"/>
          <w:szCs w:val="22"/>
        </w:rPr>
        <w:t>tal-Parlament Ewropew u tal-Kunsill</w:t>
      </w:r>
      <w:r w:rsidRPr="00134AD4">
        <w:rPr>
          <w:rFonts w:eastAsia="Calibri"/>
          <w:b/>
          <w:szCs w:val="22"/>
        </w:rPr>
        <w:t xml:space="preserve"> </w:t>
      </w:r>
      <w:r w:rsidRPr="00134AD4">
        <w:rPr>
          <w:rFonts w:eastAsiaTheme="minorHAnsi"/>
          <w:b/>
          <w:szCs w:val="22"/>
          <w:lang w:eastAsia="en-US"/>
        </w:rPr>
        <w:t>dwar l-</w:t>
      </w:r>
      <w:proofErr w:type="spellStart"/>
      <w:r w:rsidRPr="00134AD4">
        <w:rPr>
          <w:rFonts w:eastAsiaTheme="minorHAnsi"/>
          <w:b/>
          <w:szCs w:val="22"/>
          <w:lang w:eastAsia="en-US"/>
        </w:rPr>
        <w:t>approvazzjonimill</w:t>
      </w:r>
      <w:proofErr w:type="spellEnd"/>
      <w:r w:rsidRPr="00134AD4">
        <w:rPr>
          <w:rFonts w:eastAsiaTheme="minorHAnsi"/>
          <w:b/>
          <w:szCs w:val="22"/>
          <w:lang w:eastAsia="en-US"/>
        </w:rPr>
        <w:t>-Unjoni tal-Ftehim dwar l-interpretazzjoni u l-applikazzjoni tat-Trattat tal-Karta tal-Enerġija ▌</w:t>
      </w:r>
    </w:p>
    <w:p w14:paraId="40852992" w14:textId="77777777" w:rsidR="00E365E1" w:rsidRDefault="00E365E1" w:rsidP="00F56C72">
      <w:pPr>
        <w:ind w:left="567" w:hanging="567"/>
        <w:rPr>
          <w:rFonts w:eastAsiaTheme="minorHAnsi"/>
          <w:szCs w:val="22"/>
          <w:lang w:eastAsia="en-US"/>
        </w:rPr>
      </w:pPr>
    </w:p>
    <w:p w14:paraId="158BC63B" w14:textId="6C6867D0" w:rsidR="00D65A90" w:rsidRPr="00D65A90" w:rsidRDefault="00D65A90" w:rsidP="00D65A90">
      <w:pPr>
        <w:rPr>
          <w:i/>
        </w:rPr>
      </w:pPr>
      <w:r w:rsidRPr="00D65A90">
        <w:rPr>
          <w:i/>
        </w:rPr>
        <w:t xml:space="preserve">(Peress li ntlaħaq ftehim bejn il-Parlament u l-Kunsill, il-pożizzjoni tal-Parlament taqbel mal-att leġiżlattiv finali, </w:t>
      </w:r>
      <w:r w:rsidRPr="00D65A90">
        <w:rPr>
          <w:i/>
        </w:rPr>
        <w:t>id-Deċiżjoni</w:t>
      </w:r>
      <w:r w:rsidRPr="00D65A90">
        <w:rPr>
          <w:i/>
        </w:rPr>
        <w:t xml:space="preserve"> (UE) </w:t>
      </w:r>
      <w:r w:rsidRPr="00D65A90">
        <w:rPr>
          <w:i/>
        </w:rPr>
        <w:t>2025</w:t>
      </w:r>
      <w:r w:rsidRPr="00D65A90">
        <w:rPr>
          <w:i/>
        </w:rPr>
        <w:t>/</w:t>
      </w:r>
      <w:r w:rsidRPr="00D65A90">
        <w:rPr>
          <w:i/>
        </w:rPr>
        <w:t>1904</w:t>
      </w:r>
      <w:r w:rsidRPr="00D65A90">
        <w:rPr>
          <w:i/>
        </w:rPr>
        <w:t>.)</w:t>
      </w:r>
    </w:p>
    <w:sectPr w:rsidR="00D65A90" w:rsidRPr="00D65A90" w:rsidSect="00C7630B"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AE13F" w14:textId="77777777" w:rsidR="00AA4704" w:rsidRPr="00C7630B" w:rsidRDefault="00AA4704">
      <w:r w:rsidRPr="00C7630B">
        <w:separator/>
      </w:r>
    </w:p>
  </w:endnote>
  <w:endnote w:type="continuationSeparator" w:id="0">
    <w:p w14:paraId="18904FE7" w14:textId="77777777" w:rsidR="00AA4704" w:rsidRPr="00C7630B" w:rsidRDefault="00AA4704">
      <w:r w:rsidRPr="00C763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AD327" w14:textId="77777777" w:rsidR="00652EAB" w:rsidRPr="00652EAB" w:rsidRDefault="00652EAB" w:rsidP="00652E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50F88" w14:textId="77777777" w:rsidR="00AA4704" w:rsidRPr="00C7630B" w:rsidRDefault="00AA4704">
      <w:r w:rsidRPr="00C7630B">
        <w:separator/>
      </w:r>
    </w:p>
  </w:footnote>
  <w:footnote w:type="continuationSeparator" w:id="0">
    <w:p w14:paraId="48A61D49" w14:textId="77777777" w:rsidR="00AA4704" w:rsidRPr="00C7630B" w:rsidRDefault="00AA4704">
      <w:r w:rsidRPr="00C7630B">
        <w:continuationSeparator/>
      </w:r>
    </w:p>
  </w:footnote>
  <w:footnote w:id="1">
    <w:p w14:paraId="38095474" w14:textId="77777777" w:rsidR="00F72108" w:rsidRPr="00143606" w:rsidRDefault="00F72108" w:rsidP="00C7630B">
      <w:pPr>
        <w:pStyle w:val="FootnoteText"/>
        <w:ind w:left="567" w:hanging="567"/>
        <w:rPr>
          <w:sz w:val="24"/>
          <w:szCs w:val="24"/>
          <w:lang w:val="mt-MT"/>
        </w:rPr>
      </w:pPr>
      <w:r w:rsidRPr="00652EAB">
        <w:rPr>
          <w:rStyle w:val="FootnoteReference"/>
          <w:sz w:val="24"/>
          <w:szCs w:val="24"/>
          <w:lang w:val="mt-MT"/>
        </w:rPr>
        <w:footnoteRef/>
      </w:r>
      <w:r w:rsidR="00C7630B" w:rsidRPr="00652EAB">
        <w:rPr>
          <w:sz w:val="24"/>
          <w:szCs w:val="24"/>
          <w:lang w:val="mt-MT"/>
        </w:rPr>
        <w:t xml:space="preserve"> </w:t>
      </w:r>
      <w:r w:rsidR="00C7630B" w:rsidRPr="00652EAB">
        <w:rPr>
          <w:sz w:val="24"/>
          <w:szCs w:val="24"/>
          <w:lang w:val="mt-MT"/>
        </w:rPr>
        <w:tab/>
      </w:r>
      <w:r w:rsidR="00652EAB" w:rsidRPr="00652EAB">
        <w:rPr>
          <w:sz w:val="24"/>
          <w:szCs w:val="24"/>
          <w:lang w:val="mt-MT"/>
        </w:rPr>
        <w:t>Opinjoni tal-4 ta</w:t>
      </w:r>
      <w:r w:rsidR="00652EAB" w:rsidRPr="00DA2A71">
        <w:rPr>
          <w:sz w:val="24"/>
          <w:szCs w:val="24"/>
          <w:lang w:val="mt-MT"/>
        </w:rPr>
        <w:t>’ Diċembru 2024 (</w:t>
      </w:r>
      <w:r w:rsidR="00652EAB" w:rsidRPr="00DA2A71">
        <w:rPr>
          <w:sz w:val="24"/>
          <w:szCs w:val="24"/>
          <w:lang w:val="en-GB"/>
        </w:rPr>
        <w:t>ĠU C, C/2025/776, 11.2.2025, ELI: http://data.europa.eu/eli/C/2025/776/oj)</w:t>
      </w:r>
      <w:r w:rsidRPr="00143606">
        <w:rPr>
          <w:sz w:val="24"/>
          <w:szCs w:val="24"/>
          <w:lang w:val="mt-M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15197172">
    <w:abstractNumId w:val="9"/>
  </w:num>
  <w:num w:numId="2" w16cid:durableId="112988414">
    <w:abstractNumId w:val="9"/>
  </w:num>
  <w:num w:numId="3" w16cid:durableId="1590432429">
    <w:abstractNumId w:val="7"/>
  </w:num>
  <w:num w:numId="4" w16cid:durableId="688217321">
    <w:abstractNumId w:val="7"/>
  </w:num>
  <w:num w:numId="5" w16cid:durableId="758142542">
    <w:abstractNumId w:val="6"/>
  </w:num>
  <w:num w:numId="6" w16cid:durableId="1053580964">
    <w:abstractNumId w:val="6"/>
  </w:num>
  <w:num w:numId="7" w16cid:durableId="1191841954">
    <w:abstractNumId w:val="5"/>
  </w:num>
  <w:num w:numId="8" w16cid:durableId="1595744926">
    <w:abstractNumId w:val="5"/>
  </w:num>
  <w:num w:numId="9" w16cid:durableId="977801608">
    <w:abstractNumId w:val="4"/>
  </w:num>
  <w:num w:numId="10" w16cid:durableId="1212576281">
    <w:abstractNumId w:val="4"/>
  </w:num>
  <w:num w:numId="11" w16cid:durableId="1864129905">
    <w:abstractNumId w:val="8"/>
  </w:num>
  <w:num w:numId="12" w16cid:durableId="742798646">
    <w:abstractNumId w:val="8"/>
  </w:num>
  <w:num w:numId="13" w16cid:durableId="708578041">
    <w:abstractNumId w:val="3"/>
  </w:num>
  <w:num w:numId="14" w16cid:durableId="716975209">
    <w:abstractNumId w:val="3"/>
  </w:num>
  <w:num w:numId="15" w16cid:durableId="765422596">
    <w:abstractNumId w:val="2"/>
  </w:num>
  <w:num w:numId="16" w16cid:durableId="497770227">
    <w:abstractNumId w:val="2"/>
  </w:num>
  <w:num w:numId="17" w16cid:durableId="1766725077">
    <w:abstractNumId w:val="1"/>
  </w:num>
  <w:num w:numId="18" w16cid:durableId="1573345857">
    <w:abstractNumId w:val="1"/>
  </w:num>
  <w:num w:numId="19" w16cid:durableId="1782065698">
    <w:abstractNumId w:val="0"/>
  </w:num>
  <w:num w:numId="20" w16cid:durableId="1020933645">
    <w:abstractNumId w:val="0"/>
  </w:num>
  <w:num w:numId="21" w16cid:durableId="1289235684">
    <w:abstractNumId w:val="9"/>
  </w:num>
  <w:num w:numId="22" w16cid:durableId="1386762448">
    <w:abstractNumId w:val="7"/>
  </w:num>
  <w:num w:numId="23" w16cid:durableId="5986322">
    <w:abstractNumId w:val="6"/>
  </w:num>
  <w:num w:numId="24" w16cid:durableId="1476685038">
    <w:abstractNumId w:val="5"/>
  </w:num>
  <w:num w:numId="25" w16cid:durableId="1186364391">
    <w:abstractNumId w:val="4"/>
  </w:num>
  <w:num w:numId="26" w16cid:durableId="622424544">
    <w:abstractNumId w:val="8"/>
  </w:num>
  <w:num w:numId="27" w16cid:durableId="743533298">
    <w:abstractNumId w:val="3"/>
  </w:num>
  <w:num w:numId="28" w16cid:durableId="1797288823">
    <w:abstractNumId w:val="2"/>
  </w:num>
  <w:num w:numId="29" w16cid:durableId="2001615593">
    <w:abstractNumId w:val="1"/>
  </w:num>
  <w:num w:numId="30" w16cid:durableId="1238859069">
    <w:abstractNumId w:val="0"/>
  </w:num>
  <w:num w:numId="31" w16cid:durableId="2030450340">
    <w:abstractNumId w:val="9"/>
  </w:num>
  <w:num w:numId="32" w16cid:durableId="1969703335">
    <w:abstractNumId w:val="7"/>
  </w:num>
  <w:num w:numId="33" w16cid:durableId="1094786348">
    <w:abstractNumId w:val="6"/>
  </w:num>
  <w:num w:numId="34" w16cid:durableId="194081197">
    <w:abstractNumId w:val="5"/>
  </w:num>
  <w:num w:numId="35" w16cid:durableId="1353989512">
    <w:abstractNumId w:val="4"/>
  </w:num>
  <w:num w:numId="36" w16cid:durableId="794563774">
    <w:abstractNumId w:val="8"/>
  </w:num>
  <w:num w:numId="37" w16cid:durableId="1299611173">
    <w:abstractNumId w:val="3"/>
  </w:num>
  <w:num w:numId="38" w16cid:durableId="1481772878">
    <w:abstractNumId w:val="2"/>
  </w:num>
  <w:num w:numId="39" w16cid:durableId="633020561">
    <w:abstractNumId w:val="1"/>
  </w:num>
  <w:num w:numId="40" w16cid:durableId="495657589">
    <w:abstractNumId w:val="0"/>
  </w:num>
  <w:num w:numId="41" w16cid:durableId="2017807294">
    <w:abstractNumId w:val="10"/>
  </w:num>
  <w:num w:numId="42" w16cid:durableId="1116558884">
    <w:abstractNumId w:val="10"/>
  </w:num>
  <w:num w:numId="43" w16cid:durableId="1866090000">
    <w:abstractNumId w:val="10"/>
  </w:num>
  <w:num w:numId="44" w16cid:durableId="14727497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activeWritingStyle w:appName="MSWord" w:lang="fi-FI" w:vendorID="64" w:dllVersion="6" w:nlCheck="1" w:checkStyle="0"/>
  <w:activeWritingStyle w:appName="MSWord" w:lang="fi-FI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09/2025"/>
    <w:docVar w:name="dvlangue" w:val="MT"/>
    <w:docVar w:name="dvnumam" w:val="0"/>
    <w:docVar w:name="dvpe" w:val="767.940"/>
    <w:docVar w:name="dvrapporteur" w:val="Rapporteur: "/>
    <w:docVar w:name="dvstar" w:val="***I"/>
    <w:docVar w:name="dvtitre" w:val="Riżoluzzjoni leġiżlattiva tal-Parlament Ewropew tas-17 ta' Ġunju 2025 dwar il-proposta għal deċiżjoni tal-Parlament Ewropew u tal-Kunsill dwar l-adozzjoni mill-Unjoni tal-Ftehim dwar l-interpretazzjoni u l-applikazzjoni tat-Trattat tal-Karta tal-Enerġija bejn l-Unjoni Ewropea, il-Komunità Ewropea tal-Enerġija Atomika u l-Istati Membri tagħhom(COM(2024)0257 – C10-0058/2024 – 2024/0148(COD))"/>
  </w:docVars>
  <w:rsids>
    <w:rsidRoot w:val="00AA4704"/>
    <w:rsid w:val="00002272"/>
    <w:rsid w:val="00064002"/>
    <w:rsid w:val="000677B9"/>
    <w:rsid w:val="000831BA"/>
    <w:rsid w:val="000A42CC"/>
    <w:rsid w:val="000E7DD9"/>
    <w:rsid w:val="0010095E"/>
    <w:rsid w:val="00125B37"/>
    <w:rsid w:val="00134AD4"/>
    <w:rsid w:val="00143606"/>
    <w:rsid w:val="00187494"/>
    <w:rsid w:val="001F32AE"/>
    <w:rsid w:val="002767FF"/>
    <w:rsid w:val="002B18FE"/>
    <w:rsid w:val="002B5493"/>
    <w:rsid w:val="00343214"/>
    <w:rsid w:val="00361C00"/>
    <w:rsid w:val="00395FA1"/>
    <w:rsid w:val="003B4A2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6FF6"/>
    <w:rsid w:val="00652EA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470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30B"/>
    <w:rsid w:val="00C941CB"/>
    <w:rsid w:val="00C957B4"/>
    <w:rsid w:val="00CC2357"/>
    <w:rsid w:val="00CF071A"/>
    <w:rsid w:val="00D058B8"/>
    <w:rsid w:val="00D56C11"/>
    <w:rsid w:val="00D65A90"/>
    <w:rsid w:val="00D834A0"/>
    <w:rsid w:val="00D872DF"/>
    <w:rsid w:val="00D91E21"/>
    <w:rsid w:val="00DA2A71"/>
    <w:rsid w:val="00DA7FCD"/>
    <w:rsid w:val="00E365E1"/>
    <w:rsid w:val="00E74D36"/>
    <w:rsid w:val="00E820A4"/>
    <w:rsid w:val="00EB006A"/>
    <w:rsid w:val="00EB4772"/>
    <w:rsid w:val="00ED169E"/>
    <w:rsid w:val="00ED4235"/>
    <w:rsid w:val="00F03D68"/>
    <w:rsid w:val="00F04346"/>
    <w:rsid w:val="00F075DC"/>
    <w:rsid w:val="00F149E9"/>
    <w:rsid w:val="00F5134D"/>
    <w:rsid w:val="00F56C72"/>
    <w:rsid w:val="00F72108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BA5A1"/>
  <w15:chartTrackingRefBased/>
  <w15:docId w15:val="{801F2826-3972-472C-8458-3480545B4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72108"/>
    <w:pPr>
      <w:spacing w:before="480" w:after="240"/>
    </w:pPr>
  </w:style>
  <w:style w:type="paragraph" w:customStyle="1" w:styleId="NormalBold">
    <w:name w:val="NormalBold"/>
    <w:basedOn w:val="Normal"/>
    <w:rsid w:val="00F72108"/>
    <w:rPr>
      <w:b/>
    </w:rPr>
  </w:style>
  <w:style w:type="paragraph" w:customStyle="1" w:styleId="NormalHanging12a">
    <w:name w:val="NormalHanging12a"/>
    <w:basedOn w:val="Normal"/>
    <w:rsid w:val="00F72108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652E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52EAB"/>
    <w:rPr>
      <w:rFonts w:ascii="Segoe UI" w:hAnsi="Segoe UI" w:cs="Segoe UI"/>
      <w:sz w:val="18"/>
      <w:szCs w:val="18"/>
      <w:lang w:val="mt-MT"/>
    </w:rPr>
  </w:style>
  <w:style w:type="paragraph" w:customStyle="1" w:styleId="EPFooter2">
    <w:name w:val="EPFooter2"/>
    <w:basedOn w:val="Normal"/>
    <w:next w:val="Normal"/>
    <w:rsid w:val="00652EA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652EA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rsid w:val="00652E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52EAB"/>
    <w:rPr>
      <w:sz w:val="24"/>
      <w:lang w:val="mt-MT"/>
    </w:rPr>
  </w:style>
  <w:style w:type="character" w:styleId="Hyperlink">
    <w:name w:val="Hyperlink"/>
    <w:basedOn w:val="DefaultParagraphFont"/>
    <w:rsid w:val="00652E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CF702-E00B-402A-8598-B70B8E8AE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279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2025-09-25T08:35:00Z</dcterms:created>
  <dcterms:modified xsi:type="dcterms:W3CDTF">2025-09-25T08:35:00Z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P10_TA(2025)0126_</vt:lpwstr>
  </property>
  <property fmtid="{D5CDD505-2E9C-101B-9397-08002B2CF9AE}" pid="4" name="&lt;Type&gt;">
    <vt:lpwstr>RR</vt:lpwstr>
  </property>
</Properties>
</file>