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931E9" w14:paraId="72ECFFB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6F4D31" w14:textId="77777777" w:rsidR="00751A4A" w:rsidRPr="00A931E9" w:rsidRDefault="006F6460" w:rsidP="0010095E">
            <w:pPr>
              <w:pStyle w:val="EPName"/>
            </w:pPr>
            <w:r w:rsidRPr="00A931E9">
              <w:t>Evropský parlament</w:t>
            </w:r>
          </w:p>
          <w:p w14:paraId="65F12D56" w14:textId="77777777" w:rsidR="00751A4A" w:rsidRPr="00A931E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931E9">
              <w:t>2024</w:t>
            </w:r>
            <w:r w:rsidR="00817416" w:rsidRPr="00A931E9">
              <w:t>-202</w:t>
            </w:r>
            <w:r w:rsidRPr="00A931E9">
              <w:t>9</w:t>
            </w:r>
          </w:p>
        </w:tc>
        <w:tc>
          <w:tcPr>
            <w:tcW w:w="2268" w:type="dxa"/>
            <w:shd w:val="clear" w:color="auto" w:fill="auto"/>
          </w:tcPr>
          <w:p w14:paraId="70652297" w14:textId="77777777" w:rsidR="00751A4A" w:rsidRPr="00A931E9" w:rsidRDefault="00187494" w:rsidP="0010095E">
            <w:pPr>
              <w:pStyle w:val="EPLogo"/>
            </w:pPr>
            <w:r w:rsidRPr="00A931E9">
              <w:rPr>
                <w:noProof/>
                <w:lang w:eastAsia="cs-CZ"/>
              </w:rPr>
              <w:drawing>
                <wp:inline distT="0" distB="0" distL="0" distR="0" wp14:anchorId="0F46CC69" wp14:editId="2A1C98C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1A782E" w14:textId="77777777" w:rsidR="00D058B8" w:rsidRPr="00A931E9" w:rsidRDefault="00D058B8" w:rsidP="004C5D52">
      <w:pPr>
        <w:pStyle w:val="LineTop"/>
      </w:pPr>
    </w:p>
    <w:p w14:paraId="578143D1" w14:textId="77777777" w:rsidR="00680577" w:rsidRPr="00A931E9" w:rsidRDefault="006F6460" w:rsidP="00680577">
      <w:pPr>
        <w:pStyle w:val="EPBodyTA1"/>
      </w:pPr>
      <w:r w:rsidRPr="00A931E9">
        <w:t>PŘIJATÉ TEXTY</w:t>
      </w:r>
    </w:p>
    <w:p w14:paraId="1513913B" w14:textId="77777777" w:rsidR="00D058B8" w:rsidRPr="00A931E9" w:rsidRDefault="00D058B8" w:rsidP="00D058B8">
      <w:pPr>
        <w:pStyle w:val="LineBottom"/>
      </w:pPr>
    </w:p>
    <w:p w14:paraId="2AB731EB" w14:textId="77777777" w:rsidR="006F6460" w:rsidRPr="00A931E9" w:rsidRDefault="006F6460" w:rsidP="006F6460">
      <w:pPr>
        <w:pStyle w:val="ATHeading1"/>
      </w:pPr>
      <w:bookmarkStart w:id="0" w:name="TANumber"/>
      <w:r w:rsidRPr="00A931E9">
        <w:t>P10_TA(2025)0</w:t>
      </w:r>
      <w:r w:rsidR="000E17F4">
        <w:t>128</w:t>
      </w:r>
      <w:bookmarkEnd w:id="0"/>
    </w:p>
    <w:p w14:paraId="5102C1A9" w14:textId="77777777" w:rsidR="006F6460" w:rsidRPr="00A931E9" w:rsidRDefault="006F6460" w:rsidP="006F6460">
      <w:pPr>
        <w:pStyle w:val="ATHeading2"/>
      </w:pPr>
      <w:bookmarkStart w:id="1" w:name="title"/>
      <w:r w:rsidRPr="00A931E9">
        <w:t>Zpráva o provádění Nástroje pro oživení a odolnost</w:t>
      </w:r>
      <w:bookmarkEnd w:id="1"/>
    </w:p>
    <w:p w14:paraId="71CC608F" w14:textId="77777777" w:rsidR="006F6460" w:rsidRPr="00A931E9" w:rsidRDefault="006F6460" w:rsidP="006F6460">
      <w:pPr>
        <w:rPr>
          <w:i/>
          <w:vanish/>
        </w:rPr>
      </w:pPr>
      <w:r w:rsidRPr="00A931E9">
        <w:rPr>
          <w:i/>
        </w:rPr>
        <w:fldChar w:fldCharType="begin"/>
      </w:r>
      <w:r w:rsidRPr="00A931E9">
        <w:rPr>
          <w:i/>
        </w:rPr>
        <w:instrText xml:space="preserve"> TC"(</w:instrText>
      </w:r>
      <w:bookmarkStart w:id="2" w:name="DocNumber"/>
      <w:r w:rsidRPr="00A931E9">
        <w:rPr>
          <w:i/>
        </w:rPr>
        <w:instrText>A10-0098/2025</w:instrText>
      </w:r>
      <w:bookmarkEnd w:id="2"/>
      <w:r w:rsidRPr="00A931E9">
        <w:rPr>
          <w:i/>
        </w:rPr>
        <w:instrText xml:space="preserve"> - Zpravodajové: Victor Negrescu, Siegfried Mureşan)"\l3 \n&gt; \* MERGEFORMAT </w:instrText>
      </w:r>
      <w:r w:rsidRPr="00A931E9">
        <w:rPr>
          <w:i/>
        </w:rPr>
        <w:fldChar w:fldCharType="end"/>
      </w:r>
    </w:p>
    <w:p w14:paraId="48A14AEE" w14:textId="77777777" w:rsidR="006F6460" w:rsidRPr="00A931E9" w:rsidRDefault="006F6460" w:rsidP="006F6460">
      <w:pPr>
        <w:rPr>
          <w:vanish/>
        </w:rPr>
      </w:pPr>
      <w:bookmarkStart w:id="3" w:name="Commission"/>
      <w:r w:rsidRPr="00A931E9">
        <w:rPr>
          <w:vanish/>
        </w:rPr>
        <w:t>Rozpočtový výbor, Hospodářský a měnový výbo</w:t>
      </w:r>
      <w:bookmarkEnd w:id="3"/>
      <w:r w:rsidR="00A522C1">
        <w:rPr>
          <w:vanish/>
        </w:rPr>
        <w:t>r</w:t>
      </w:r>
    </w:p>
    <w:p w14:paraId="6EC46566" w14:textId="77777777" w:rsidR="006F6460" w:rsidRPr="00A931E9" w:rsidRDefault="006F6460" w:rsidP="006F6460">
      <w:pPr>
        <w:rPr>
          <w:vanish/>
        </w:rPr>
      </w:pPr>
      <w:bookmarkStart w:id="4" w:name="PE"/>
      <w:r w:rsidRPr="00A931E9">
        <w:rPr>
          <w:vanish/>
        </w:rPr>
        <w:t>PE768.025</w:t>
      </w:r>
      <w:bookmarkEnd w:id="4"/>
    </w:p>
    <w:p w14:paraId="7F72EB31" w14:textId="77777777" w:rsidR="006F6460" w:rsidRPr="00A931E9" w:rsidRDefault="006F6460" w:rsidP="006F6460">
      <w:pPr>
        <w:pStyle w:val="ATHeading3"/>
      </w:pPr>
      <w:bookmarkStart w:id="5" w:name="Sujet"/>
      <w:r w:rsidRPr="00A931E9">
        <w:t xml:space="preserve">Usnesení </w:t>
      </w:r>
      <w:r w:rsidR="00A522C1">
        <w:t xml:space="preserve">Evropského parlamentu ze dne </w:t>
      </w:r>
      <w:r w:rsidR="000E17F4">
        <w:t>1</w:t>
      </w:r>
      <w:r w:rsidR="00CB1270">
        <w:t>8</w:t>
      </w:r>
      <w:r w:rsidR="00A522C1">
        <w:t>. června</w:t>
      </w:r>
      <w:r w:rsidRPr="00A931E9">
        <w:t xml:space="preserve"> 2025 o zprávě o provádění Nástroje pro oživení a odolnost</w:t>
      </w:r>
      <w:bookmarkEnd w:id="5"/>
      <w:r w:rsidRPr="00A931E9">
        <w:t xml:space="preserve"> </w:t>
      </w:r>
      <w:bookmarkStart w:id="6" w:name="References"/>
      <w:r w:rsidRPr="00A931E9">
        <w:t>(2024/2085(INI))</w:t>
      </w:r>
      <w:bookmarkEnd w:id="6"/>
    </w:p>
    <w:p w14:paraId="76B5C1CA" w14:textId="77777777" w:rsidR="00567381" w:rsidRPr="00A931E9" w:rsidRDefault="00567381" w:rsidP="00567381">
      <w:pPr>
        <w:pStyle w:val="EPComma"/>
      </w:pPr>
      <w:r w:rsidRPr="00A931E9">
        <w:rPr>
          <w:rStyle w:val="Italic"/>
        </w:rPr>
        <w:t>Evropský parlament</w:t>
      </w:r>
      <w:r w:rsidRPr="00A931E9">
        <w:t>,</w:t>
      </w:r>
    </w:p>
    <w:p w14:paraId="35D8607D" w14:textId="77777777" w:rsidR="00567381" w:rsidRPr="00A931E9" w:rsidRDefault="00567381" w:rsidP="00567381">
      <w:pPr>
        <w:pStyle w:val="NormalHanging12a"/>
      </w:pPr>
      <w:r w:rsidRPr="00A931E9">
        <w:t>–</w:t>
      </w:r>
      <w:r w:rsidRPr="00A931E9">
        <w:tab/>
        <w:t>s ohledem na článek 175 Smlouvy o fungování Evropské unie,</w:t>
      </w:r>
    </w:p>
    <w:p w14:paraId="48FA69DC" w14:textId="77777777" w:rsidR="00567381" w:rsidRPr="00A931E9" w:rsidRDefault="00567381" w:rsidP="00567381">
      <w:pPr>
        <w:pStyle w:val="NormalHanging12a"/>
      </w:pPr>
      <w:r w:rsidRPr="00A931E9">
        <w:t>–</w:t>
      </w:r>
      <w:r w:rsidRPr="00A931E9">
        <w:tab/>
        <w:t>s ohledem na nařízení Evropského parlamentu a Rady (EU) 2021/241 ze dne 12. února 2021, kterým se zřizuje Nástroj pro oživení a odolnost</w:t>
      </w:r>
      <w:r w:rsidRPr="00A931E9">
        <w:rPr>
          <w:rStyle w:val="FootnoteReference"/>
        </w:rPr>
        <w:footnoteReference w:id="1"/>
      </w:r>
      <w:r w:rsidRPr="00A931E9">
        <w:t xml:space="preserve"> (dále jen „nařízení o Nástroji pro oživení a odolnost“),</w:t>
      </w:r>
    </w:p>
    <w:p w14:paraId="49BBFD94" w14:textId="77777777" w:rsidR="00567381" w:rsidRPr="00A931E9" w:rsidRDefault="00567381" w:rsidP="00567381">
      <w:pPr>
        <w:pStyle w:val="NormalHanging12a"/>
      </w:pPr>
      <w:r w:rsidRPr="00A931E9">
        <w:t>–</w:t>
      </w:r>
      <w:r w:rsidRPr="00A931E9">
        <w:tab/>
        <w:t xml:space="preserve">s ohledem na nařízení Evropského parlamentu a Rady (EU) 2023/435 ze dne 27. února 2023, kterým se mění nařízení (EU) 2021/241, pokud jde o kapitoly </w:t>
      </w:r>
      <w:proofErr w:type="spellStart"/>
      <w:r w:rsidRPr="00A931E9">
        <w:t>REPowerEU</w:t>
      </w:r>
      <w:proofErr w:type="spellEnd"/>
      <w:r w:rsidRPr="00A931E9">
        <w:t xml:space="preserve"> v plánech pro oživení a odolnost, a nařízení (EU) č. 1303/2013, (EU) 2021/1060 a (EU) 2021/1755 a směrnice 2003/87/ES</w:t>
      </w:r>
      <w:r w:rsidRPr="00A931E9">
        <w:rPr>
          <w:rStyle w:val="FootnoteReference"/>
        </w:rPr>
        <w:footnoteReference w:id="2"/>
      </w:r>
      <w:r w:rsidRPr="00A931E9">
        <w:t xml:space="preserve"> (dále jen „nařízení </w:t>
      </w:r>
      <w:proofErr w:type="spellStart"/>
      <w:r w:rsidRPr="00A931E9">
        <w:t>REPowerEU</w:t>
      </w:r>
      <w:proofErr w:type="spellEnd"/>
      <w:r w:rsidRPr="00A931E9">
        <w:t>“),</w:t>
      </w:r>
    </w:p>
    <w:p w14:paraId="4BFBFCBE" w14:textId="77777777" w:rsidR="00567381" w:rsidRPr="00A931E9" w:rsidRDefault="00567381" w:rsidP="00567381">
      <w:pPr>
        <w:pStyle w:val="NormalHanging12a"/>
      </w:pPr>
      <w:r w:rsidRPr="00A931E9">
        <w:t>–</w:t>
      </w:r>
      <w:r w:rsidRPr="00A931E9">
        <w:tab/>
        <w:t>s ohledem na nařízení Evropského parlamentu a Rady (EU, Euratom) 2020/2092 ze dne 16. prosince 2020 o obecném režimu podmíněnosti na ochranu rozpočtu Unie</w:t>
      </w:r>
      <w:r w:rsidRPr="00A931E9">
        <w:rPr>
          <w:rStyle w:val="FootnoteReference"/>
        </w:rPr>
        <w:footnoteReference w:id="3"/>
      </w:r>
      <w:r w:rsidRPr="00A931E9">
        <w:t xml:space="preserve"> (nařízení o podmíněnosti dodržováním zásad právního státu),</w:t>
      </w:r>
    </w:p>
    <w:p w14:paraId="1D1BE708" w14:textId="77777777" w:rsidR="00567381" w:rsidRPr="00A931E9" w:rsidRDefault="00567381" w:rsidP="00567381">
      <w:pPr>
        <w:pStyle w:val="NormalHanging12a"/>
      </w:pPr>
      <w:r w:rsidRPr="00A931E9">
        <w:t>–</w:t>
      </w:r>
      <w:r w:rsidRPr="00A931E9">
        <w:tab/>
        <w:t>s ohledem na nařízení Rady (EU, Euratom) 2024/765 ze dne 29. února 2024, kterým se mění nařízení (EU, Euratom) 2020/2093, kterým se stanoví víceletý finanční rámec na období 2021–2027</w:t>
      </w:r>
      <w:r w:rsidRPr="00A931E9">
        <w:rPr>
          <w:rStyle w:val="FootnoteReference"/>
        </w:rPr>
        <w:footnoteReference w:id="4"/>
      </w:r>
      <w:r w:rsidRPr="00A931E9">
        <w:t xml:space="preserve"> (nařízení o víceletém finančním rámci),</w:t>
      </w:r>
    </w:p>
    <w:p w14:paraId="527AE7DC" w14:textId="77777777" w:rsidR="00567381" w:rsidRPr="00A931E9" w:rsidRDefault="00567381" w:rsidP="00567381">
      <w:pPr>
        <w:pStyle w:val="NormalHanging12a"/>
      </w:pPr>
      <w:r w:rsidRPr="00A931E9">
        <w:t>–</w:t>
      </w:r>
      <w:r w:rsidRPr="00A931E9">
        <w:tab/>
        <w:t xml:space="preserve">s ohledem na interinstitucionální dohodu ze dne 16. prosince 2020 mezi Evropským parlamentem, Radou Evropské unie a Evropskou komisí o rozpočtové kázni, spolupráci v rozpočtových záležitostech a řádném finančním řízení, jakož i o nových vlastních </w:t>
      </w:r>
      <w:r w:rsidRPr="00A931E9">
        <w:lastRenderedPageBreak/>
        <w:t>zdrojích, včetně plánu zavádění nových vlastních zdrojů</w:t>
      </w:r>
      <w:r w:rsidRPr="00A931E9">
        <w:rPr>
          <w:rStyle w:val="FootnoteReference"/>
        </w:rPr>
        <w:footnoteReference w:id="5"/>
      </w:r>
      <w:r w:rsidRPr="00A931E9">
        <w:t xml:space="preserve"> (dále jen „interinstitucionální dohoda“),</w:t>
      </w:r>
    </w:p>
    <w:p w14:paraId="501DC77A" w14:textId="77777777" w:rsidR="00567381" w:rsidRPr="00A931E9" w:rsidRDefault="00567381" w:rsidP="00567381">
      <w:pPr>
        <w:pStyle w:val="NormalHanging12a"/>
      </w:pPr>
      <w:r w:rsidRPr="00A931E9">
        <w:t>–</w:t>
      </w:r>
      <w:r w:rsidRPr="00A931E9">
        <w:tab/>
        <w:t>s ohledem na nařízení Evropského parlamentu a Rady (EU, Euratom) 2024/2509 ze dne 23. září 2024, kterým se stanoví finanční pravidla pro souhrnný rozpočet Unie</w:t>
      </w:r>
      <w:r w:rsidRPr="00A931E9">
        <w:rPr>
          <w:rStyle w:val="FootnoteReference"/>
        </w:rPr>
        <w:footnoteReference w:id="6"/>
      </w:r>
      <w:r w:rsidRPr="00A931E9">
        <w:t xml:space="preserve"> (finanční nařízení),</w:t>
      </w:r>
    </w:p>
    <w:p w14:paraId="217A6405" w14:textId="77777777" w:rsidR="00567381" w:rsidRPr="00A931E9" w:rsidRDefault="00567381" w:rsidP="00567381">
      <w:pPr>
        <w:pStyle w:val="NormalHanging12a"/>
      </w:pPr>
      <w:r w:rsidRPr="00A931E9">
        <w:t>–</w:t>
      </w:r>
      <w:r w:rsidRPr="00A931E9">
        <w:tab/>
        <w:t>s ohledem na nařízení Evropského parlamentu a Rady (EU) 2024/795 ze dne 29. února 2024, kterým se zřizuje Platforma strategických technologií pro Evropu (STEP) a mění směrnice 2003/87/ES a nařízení (EU) 2021/1058, (EU) 2021/1056, (EU) 2021/1057, (EU) č. 1303/2013, (EU) č. 223/2014, (EU) 2021/1060, (EU) 2021/523, (EU) 2021/695, (EU) 2021/697 a (EU) 2021/241</w:t>
      </w:r>
      <w:r w:rsidRPr="00A931E9">
        <w:rPr>
          <w:rStyle w:val="FootnoteReference"/>
        </w:rPr>
        <w:footnoteReference w:id="7"/>
      </w:r>
      <w:r w:rsidRPr="00A931E9">
        <w:t>,</w:t>
      </w:r>
    </w:p>
    <w:p w14:paraId="6F5BDF57" w14:textId="77777777" w:rsidR="00567381" w:rsidRPr="00A931E9" w:rsidRDefault="00567381" w:rsidP="00567381">
      <w:pPr>
        <w:pStyle w:val="NormalHanging12a"/>
      </w:pPr>
      <w:r w:rsidRPr="00A931E9">
        <w:t>–</w:t>
      </w:r>
      <w:r w:rsidRPr="00A931E9">
        <w:tab/>
        <w:t>s ohledem na nařízení Evropského parlamentu a Rady (EU) 2024/1263 ze dne 29. dubna 2024 o účinné koordinaci hospodářských politik a mnohostranném rozpočtovém dohledu a o zrušení nařízení Rady (ES) č. 1466/97</w:t>
      </w:r>
      <w:r w:rsidRPr="00A931E9">
        <w:rPr>
          <w:rStyle w:val="FootnoteReference"/>
        </w:rPr>
        <w:footnoteReference w:id="8"/>
      </w:r>
      <w:r w:rsidRPr="00A931E9">
        <w:t>,</w:t>
      </w:r>
    </w:p>
    <w:p w14:paraId="32941068" w14:textId="77777777" w:rsidR="00567381" w:rsidRPr="00A931E9" w:rsidRDefault="00567381" w:rsidP="00567381">
      <w:pPr>
        <w:pStyle w:val="NormalHanging12a"/>
      </w:pPr>
      <w:r w:rsidRPr="00A931E9">
        <w:t>–</w:t>
      </w:r>
      <w:r w:rsidRPr="00A931E9">
        <w:tab/>
        <w:t>s ohledem na usnesení Evropského parlamentu ze dne 23. června 2022 o provádění Nástroje pro oživení a odolnost</w:t>
      </w:r>
      <w:r w:rsidRPr="00A931E9">
        <w:rPr>
          <w:rStyle w:val="FootnoteReference"/>
        </w:rPr>
        <w:footnoteReference w:id="9"/>
      </w:r>
      <w:r w:rsidRPr="00A931E9">
        <w:t>,</w:t>
      </w:r>
    </w:p>
    <w:p w14:paraId="75462CBC" w14:textId="77777777" w:rsidR="00567381" w:rsidRPr="00A931E9" w:rsidRDefault="00567381" w:rsidP="00567381">
      <w:pPr>
        <w:pStyle w:val="NormalHanging12a"/>
      </w:pPr>
      <w:r w:rsidRPr="00A931E9">
        <w:t>–</w:t>
      </w:r>
      <w:r w:rsidRPr="00A931E9">
        <w:tab/>
        <w:t>s ohledem na sdělení Komise ze dne 22. července 2024 nazvané „Pokyny k plánům pro oživení a odolnost“</w:t>
      </w:r>
      <w:r w:rsidRPr="00A931E9">
        <w:rPr>
          <w:rStyle w:val="FootnoteReference"/>
        </w:rPr>
        <w:footnoteReference w:id="10"/>
      </w:r>
      <w:r w:rsidRPr="00A931E9">
        <w:t>,</w:t>
      </w:r>
    </w:p>
    <w:p w14:paraId="202F2907" w14:textId="77777777" w:rsidR="00567381" w:rsidRPr="00A931E9" w:rsidRDefault="00567381" w:rsidP="00567381">
      <w:pPr>
        <w:pStyle w:val="NormalHanging12a"/>
      </w:pPr>
      <w:r w:rsidRPr="00A931E9">
        <w:t>–</w:t>
      </w:r>
      <w:r w:rsidRPr="00A931E9">
        <w:tab/>
        <w:t>s ohledem na sdělení Komise ze dne 21. února 2024 o posílení EU prostřednictvím ambiciózních reforem a investic (</w:t>
      </w:r>
      <w:proofErr w:type="gramStart"/>
      <w:r w:rsidRPr="00A931E9">
        <w:t>COM(</w:t>
      </w:r>
      <w:proofErr w:type="gramEnd"/>
      <w:r w:rsidRPr="00A931E9">
        <w:t>2024)0082),</w:t>
      </w:r>
    </w:p>
    <w:p w14:paraId="4C45A76A" w14:textId="77777777" w:rsidR="00567381" w:rsidRPr="00A931E9" w:rsidRDefault="00567381" w:rsidP="00567381">
      <w:pPr>
        <w:pStyle w:val="NormalHanging12a"/>
      </w:pPr>
      <w:r w:rsidRPr="00A931E9">
        <w:t>–</w:t>
      </w:r>
      <w:r w:rsidRPr="00A931E9">
        <w:tab/>
        <w:t>s ohledem na třetí výroční zprávu Komise ze dne 10. října 2024 o provádění Nástroje pro oživení a odolnost (</w:t>
      </w:r>
      <w:proofErr w:type="gramStart"/>
      <w:r w:rsidRPr="00A931E9">
        <w:t>COM(</w:t>
      </w:r>
      <w:proofErr w:type="gramEnd"/>
      <w:r w:rsidRPr="00A931E9">
        <w:t>2024)0474),</w:t>
      </w:r>
    </w:p>
    <w:p w14:paraId="27347E5A" w14:textId="77777777" w:rsidR="00567381" w:rsidRPr="00A931E9" w:rsidRDefault="00567381" w:rsidP="00567381">
      <w:pPr>
        <w:pStyle w:val="NormalHanging12a"/>
      </w:pPr>
      <w:r w:rsidRPr="00A931E9">
        <w:t>–</w:t>
      </w:r>
      <w:r w:rsidRPr="00A931E9">
        <w:tab/>
        <w:t>s ohledem na výroční zprávu Účetního dvora (EÚD) ze dne 10. října 2024 o plnění rozpočtu na rozpočtový rok 2023 spolu s odpověďmi orgánů,</w:t>
      </w:r>
    </w:p>
    <w:p w14:paraId="23E00B4E" w14:textId="77777777" w:rsidR="00567381" w:rsidRPr="00A931E9" w:rsidRDefault="00567381" w:rsidP="00567381">
      <w:pPr>
        <w:pStyle w:val="NormalHanging12a"/>
      </w:pPr>
      <w:r w:rsidRPr="00A931E9">
        <w:t>–</w:t>
      </w:r>
      <w:r w:rsidRPr="00A931E9">
        <w:tab/>
        <w:t>s ohledem na zvláštní zprávu EÚD č. 13/2024 ze dne 2. září 2024 nazvanou „Čerpání finančních prostředků z Nástroje pro oživení a odolnost – Postupuje se zpožděním a přetrvávají rizika pro dokončení opatření, a tudíž pro dosažení cílů nástroje“, zvláštní zprávu EÚD č. 14/2024 ze dne 11. září 2024 nazvanou „Ekologická transformace – nejasný příspěvek Nástroje pro oživení a odolnost“ a zvláštní zprávu EÚD č. 22/2024 ze dne 21. října 2024 nazvanou „Dvojí financování z rozpočtu EU – kontrolní systémy postrádají základní prvky, které by zmírňovaly zvýšené riziko plynoucí ze skutečnosti, že model financování Nástroje pro oživení a odolnost není spojen s náklady“,</w:t>
      </w:r>
    </w:p>
    <w:p w14:paraId="651E632F" w14:textId="77777777" w:rsidR="00567381" w:rsidRPr="00A931E9" w:rsidRDefault="00567381" w:rsidP="00567381">
      <w:pPr>
        <w:pStyle w:val="NormalHanging12a"/>
      </w:pPr>
      <w:r w:rsidRPr="00A931E9">
        <w:t>–</w:t>
      </w:r>
      <w:r w:rsidRPr="00A931E9">
        <w:tab/>
        <w:t>s ohledem na studii z prosince 2023 doplňující hodnocení provádění Nástroje pro oživení a odolnost v polovině období,</w:t>
      </w:r>
    </w:p>
    <w:p w14:paraId="59CFF696" w14:textId="77777777" w:rsidR="00567381" w:rsidRPr="00A931E9" w:rsidRDefault="00567381" w:rsidP="00567381">
      <w:pPr>
        <w:pStyle w:val="NormalHanging12a"/>
        <w:ind w:hanging="578"/>
      </w:pPr>
      <w:r w:rsidRPr="00A931E9">
        <w:lastRenderedPageBreak/>
        <w:t>–</w:t>
      </w:r>
      <w:r w:rsidRPr="00A931E9">
        <w:tab/>
        <w:t>s ohledem na výroční zprávu Úřadu evropského veřejného žalobce (EPPO) za rok 2024 zveřejněnou dne 3. března 2025,</w:t>
      </w:r>
    </w:p>
    <w:p w14:paraId="1A33C3A4" w14:textId="77777777" w:rsidR="00567381" w:rsidRPr="00A931E9" w:rsidRDefault="00567381" w:rsidP="00567381">
      <w:pPr>
        <w:pStyle w:val="NormalHanging12a"/>
      </w:pPr>
      <w:r w:rsidRPr="00A931E9">
        <w:t>–</w:t>
      </w:r>
      <w:r w:rsidRPr="00A931E9">
        <w:tab/>
        <w:t xml:space="preserve">s ohledem na zprávu Maria </w:t>
      </w:r>
      <w:proofErr w:type="spellStart"/>
      <w:r w:rsidRPr="00A931E9">
        <w:t>Draghiho</w:t>
      </w:r>
      <w:proofErr w:type="spellEnd"/>
      <w:r w:rsidRPr="00A931E9">
        <w:t xml:space="preserve"> ze září 2024 s názvem „Budoucnost evropské konkurenceschopnosti“ (</w:t>
      </w:r>
      <w:proofErr w:type="spellStart"/>
      <w:r w:rsidRPr="00A931E9">
        <w:t>Draghiho</w:t>
      </w:r>
      <w:proofErr w:type="spellEnd"/>
      <w:r w:rsidRPr="00A931E9">
        <w:t xml:space="preserve"> zpráva),</w:t>
      </w:r>
    </w:p>
    <w:p w14:paraId="4EE53AAD" w14:textId="77777777" w:rsidR="00567381" w:rsidRPr="00A931E9" w:rsidRDefault="00567381" w:rsidP="00567381">
      <w:pPr>
        <w:pStyle w:val="NormalHanging12a"/>
      </w:pPr>
      <w:r w:rsidRPr="00A931E9">
        <w:t>–</w:t>
      </w:r>
      <w:r w:rsidRPr="00A931E9">
        <w:tab/>
        <w:t>s ohledem na stanovisko Výboru regionů ze dne 8. října 2024 nazvané „Přezkum evropského plánu na podporu oživení po pandemii covid-19 v polovině období (Nástroj pro oživení a odolnost)“</w:t>
      </w:r>
      <w:r w:rsidRPr="00A931E9">
        <w:rPr>
          <w:rStyle w:val="FootnoteReference"/>
        </w:rPr>
        <w:footnoteReference w:id="11"/>
      </w:r>
      <w:r w:rsidRPr="00A931E9">
        <w:t>,</w:t>
      </w:r>
    </w:p>
    <w:p w14:paraId="4B08DF5B" w14:textId="77777777" w:rsidR="00567381" w:rsidRPr="00A931E9" w:rsidRDefault="00567381" w:rsidP="00567381">
      <w:pPr>
        <w:pStyle w:val="NormalHanging12a"/>
      </w:pPr>
      <w:r w:rsidRPr="00A931E9">
        <w:t>–</w:t>
      </w:r>
      <w:r w:rsidRPr="00A931E9">
        <w:tab/>
        <w:t>s ohledem na informace zveřejněné ve srovnávacím přehledu pro Nástroj pro oživení a odolnosti (srovnávací přehled RRF),</w:t>
      </w:r>
    </w:p>
    <w:p w14:paraId="2E6D7E1A" w14:textId="77777777" w:rsidR="00567381" w:rsidRPr="00A931E9" w:rsidRDefault="00567381" w:rsidP="00567381">
      <w:pPr>
        <w:pStyle w:val="NormalHanging12a"/>
      </w:pPr>
      <w:r w:rsidRPr="00A931E9">
        <w:t>–</w:t>
      </w:r>
      <w:r w:rsidRPr="00A931E9">
        <w:tab/>
        <w:t>s ohledem na pracovní dokument útvarů Komise ze dne 20. listopadu 2024 nazvaný „Zpráva o přidělování a dopadu zelených dluhopisů NGEU za rok 2024“ (SWD(2024)0275),</w:t>
      </w:r>
    </w:p>
    <w:p w14:paraId="398B6F55" w14:textId="77777777" w:rsidR="00567381" w:rsidRPr="00A931E9" w:rsidRDefault="00567381" w:rsidP="00567381">
      <w:pPr>
        <w:pStyle w:val="NormalHanging12a"/>
      </w:pPr>
      <w:r w:rsidRPr="00A931E9">
        <w:t>–</w:t>
      </w:r>
      <w:r w:rsidRPr="00A931E9">
        <w:tab/>
        <w:t>s ohledem na svůj interní výzkum, hloubkovou analýzu a publikace týkající se provádění Nástroje pro oživení a odolnost</w:t>
      </w:r>
      <w:r w:rsidRPr="00A931E9">
        <w:rPr>
          <w:rStyle w:val="FootnoteReference"/>
        </w:rPr>
        <w:footnoteReference w:id="12"/>
      </w:r>
      <w:r w:rsidRPr="00A931E9">
        <w:t>,</w:t>
      </w:r>
    </w:p>
    <w:p w14:paraId="353AD916" w14:textId="77777777" w:rsidR="00567381" w:rsidRPr="00A931E9" w:rsidRDefault="00567381" w:rsidP="00567381">
      <w:pPr>
        <w:pStyle w:val="NormalHanging12a"/>
      </w:pPr>
      <w:r w:rsidRPr="00A931E9">
        <w:t>–</w:t>
      </w:r>
      <w:r w:rsidRPr="00A931E9">
        <w:tab/>
        <w:t>s ohledem na své usnesení ze dne 18. ledna 2024 o situaci v Maďarsku a zmrazení finančních prostředků EU</w:t>
      </w:r>
      <w:r w:rsidRPr="00A931E9">
        <w:rPr>
          <w:rStyle w:val="FootnoteReference"/>
        </w:rPr>
        <w:footnoteReference w:id="13"/>
      </w:r>
      <w:r w:rsidRPr="00A931E9">
        <w:t>;</w:t>
      </w:r>
    </w:p>
    <w:p w14:paraId="2DA6E63A" w14:textId="77777777" w:rsidR="00567381" w:rsidRPr="00A931E9" w:rsidRDefault="00567381" w:rsidP="00567381">
      <w:pPr>
        <w:pStyle w:val="NormalHanging12a"/>
      </w:pPr>
      <w:r w:rsidRPr="00A931E9">
        <w:t>–</w:t>
      </w:r>
      <w:r w:rsidRPr="00A931E9">
        <w:tab/>
        <w:t>s ohledem na článek 55 jednacího řádu a na čl. 1 odst. 1 písm. e) a přílohu 3 rozhodnutí Konference předsedů ze dne 12. prosince 2002 o postupu udělování svolení k vypracování zpráv z vlastního podnětu,</w:t>
      </w:r>
    </w:p>
    <w:p w14:paraId="76DB129D" w14:textId="77777777" w:rsidR="00567381" w:rsidRPr="00A931E9" w:rsidRDefault="00567381" w:rsidP="00567381">
      <w:pPr>
        <w:pStyle w:val="NormalHanging12a"/>
      </w:pPr>
      <w:r w:rsidRPr="00A931E9">
        <w:t>–</w:t>
      </w:r>
      <w:r w:rsidRPr="00A931E9">
        <w:tab/>
        <w:t>s ohledem na stanoviska Výboru pro rozpočtovou kontrolu, Výboru pro zaměstnanost a sociální věci, Výboru pro životní prostředí, klima a bezpečnost potravin a Výboru pro dopravu a cestovní ruch,</w:t>
      </w:r>
    </w:p>
    <w:p w14:paraId="4D65FF2E" w14:textId="77777777" w:rsidR="00567381" w:rsidRPr="00A931E9" w:rsidRDefault="00567381" w:rsidP="00567381">
      <w:pPr>
        <w:pStyle w:val="NormalHanging12a"/>
      </w:pPr>
      <w:r w:rsidRPr="00A931E9">
        <w:t>–</w:t>
      </w:r>
      <w:r w:rsidRPr="00A931E9">
        <w:tab/>
        <w:t>s ohledem na společná jednání Rozpočtového výboru a Hospodářského a měnového výboru podle článku 59 jednacího řádu,</w:t>
      </w:r>
    </w:p>
    <w:p w14:paraId="5CFB6226" w14:textId="77777777" w:rsidR="00567381" w:rsidRPr="00A931E9" w:rsidRDefault="00567381" w:rsidP="00567381">
      <w:pPr>
        <w:pStyle w:val="NormalHanging12a"/>
      </w:pPr>
      <w:r w:rsidRPr="00A931E9">
        <w:t>–</w:t>
      </w:r>
      <w:r w:rsidRPr="00A931E9">
        <w:tab/>
        <w:t>s ohledem na zprávu Rozpočtového výboru a Hospodářského a měnového výboru (A10-0098/2025),</w:t>
      </w:r>
    </w:p>
    <w:p w14:paraId="32F12EDC" w14:textId="77777777" w:rsidR="00567381" w:rsidRPr="00A931E9" w:rsidRDefault="00567381" w:rsidP="00567381">
      <w:pPr>
        <w:pStyle w:val="NormalHanging12a"/>
      </w:pPr>
      <w:r w:rsidRPr="00A931E9">
        <w:t>A.</w:t>
      </w:r>
      <w:r w:rsidRPr="00A931E9">
        <w:tab/>
        <w:t>vzhledem k tomu, že Nástroj pro oživení a odolnost (nástroj RRF) byl vytvořen s cílem učinit evropské ekonomiky a společnosti udržitelnějšími, odolnějšími a lépe připravenými s ohledem na bezprecedentní krize v letech 2019 a 2022, a to podporou členských států při financování strategických investic a provádění reforem;</w:t>
      </w:r>
    </w:p>
    <w:p w14:paraId="699F8CB4" w14:textId="77777777" w:rsidR="00567381" w:rsidRPr="00A931E9" w:rsidRDefault="00567381" w:rsidP="00567381">
      <w:pPr>
        <w:pStyle w:val="NormalHanging12a"/>
      </w:pPr>
      <w:r w:rsidRPr="00A931E9">
        <w:t>B.</w:t>
      </w:r>
      <w:r w:rsidRPr="00A931E9">
        <w:tab/>
        <w:t xml:space="preserve">vzhledem k tomu, že reformy a investice v rámci nástroje RRF by měly přispět k tomu, aby EU byla odolnější a méně závislá díky diverzifikaci klíčových dodavatelských </w:t>
      </w:r>
      <w:r w:rsidRPr="00A931E9">
        <w:lastRenderedPageBreak/>
        <w:t>řetězců, čímž se posílí její strategická autonomie; vzhledem k tomu, že reformy a investice v rámci nástroje RRF rovněž vytvářejí evropskou přidanou hodnotu;</w:t>
      </w:r>
    </w:p>
    <w:p w14:paraId="28E5CCFA" w14:textId="77777777" w:rsidR="00567381" w:rsidRPr="00A931E9" w:rsidRDefault="00567381" w:rsidP="00567381">
      <w:pPr>
        <w:pStyle w:val="NormalHanging12a"/>
      </w:pPr>
      <w:r w:rsidRPr="00A931E9">
        <w:t>C.</w:t>
      </w:r>
      <w:r w:rsidRPr="00A931E9">
        <w:tab/>
        <w:t>vzhledem k tomu, že nástroj RRF a další fondy EU, jako je evropský nástroj pro dočasnou podporu na zmírnění rizik nezaměstnanosti v mimořádné situaci, pomohly ochránit trhy práce před rizikem dlouhodobých škod způsobených dvojím hospodářským otřesem v podobě pandemie a energetické krize;</w:t>
      </w:r>
    </w:p>
    <w:p w14:paraId="12F568C4" w14:textId="77777777" w:rsidR="00567381" w:rsidRPr="00A931E9" w:rsidRDefault="00567381" w:rsidP="00567381">
      <w:pPr>
        <w:pStyle w:val="NormalHanging12a"/>
      </w:pPr>
      <w:r w:rsidRPr="00A931E9">
        <w:t>D.</w:t>
      </w:r>
      <w:r w:rsidRPr="00A931E9">
        <w:tab/>
        <w:t>vzhledem k tomu, že výdaje nástroje RRF nespadají do stropů víceletého finančního rámce (VFR) a příjmy z výpůjček tvoří vnější účelově vázané příjmy; vzhledem k tomu, že Parlament vyjadřuje politování nad tím, že nejsou součástí rozpočtového procesu; vzhledem k tomu, že podle zásady transparentnosti stanovené ve finančním nařízení by občané měli vědět, jak a za jakým účelem EU vynakládá finanční prostředky;</w:t>
      </w:r>
    </w:p>
    <w:p w14:paraId="6BC0E7CA" w14:textId="77777777" w:rsidR="00567381" w:rsidRPr="00A931E9" w:rsidRDefault="00567381" w:rsidP="00567381">
      <w:pPr>
        <w:pStyle w:val="NormalHanging12a"/>
      </w:pPr>
      <w:r w:rsidRPr="00A931E9">
        <w:t>E.</w:t>
      </w:r>
      <w:r w:rsidRPr="00A931E9">
        <w:tab/>
        <w:t>vzhledem k tomu, že v důsledku nedostatečného pokroku při zavádění nových vlastních zdrojů v EU a potřeby zajistit udržitelný splátkový plán EU je naprosto nezbytné vytvořit jasnou a spolehlivou dlouhodobou strategii financování, která by umožnila plnit povinnosti spojené se splácením, aniž by bylo nutné přijímat v rámci rozpočtu EU obtížné kompromisy, které by mohly ohrozit budoucí investice a politické priority; vzhledem k tomu, že k zajištění dlouhodobé životaschopnosti plánu EU pro splácení dluhu budou nezbytné další diskuze a konkrétní finanční řešení;</w:t>
      </w:r>
    </w:p>
    <w:p w14:paraId="62892040" w14:textId="77777777" w:rsidR="00567381" w:rsidRPr="00A931E9" w:rsidRDefault="00567381" w:rsidP="00567381">
      <w:pPr>
        <w:pStyle w:val="NormalHanging12a"/>
      </w:pPr>
      <w:r w:rsidRPr="00A931E9">
        <w:t>F.</w:t>
      </w:r>
      <w:r w:rsidRPr="00A931E9">
        <w:tab/>
        <w:t xml:space="preserve">vzhledem k tomu, že výpůjční náklady na nástroj </w:t>
      </w:r>
      <w:proofErr w:type="spellStart"/>
      <w:r w:rsidRPr="00A931E9">
        <w:t>NextGenerationEU</w:t>
      </w:r>
      <w:proofErr w:type="spellEnd"/>
      <w:r w:rsidRPr="00A931E9">
        <w:t xml:space="preserve"> (NGEU) musí být hrazeny z rozpočtu EU a skutečné náklady v důsledku vysokých úrokových sazeb výrazně přesahují prognózy z roku 2020; vzhledem k tomu, že celkové náklady na splácení kapitálu </w:t>
      </w:r>
      <w:r w:rsidR="00685931">
        <w:t xml:space="preserve">a úroků </w:t>
      </w:r>
      <w:r w:rsidRPr="00A931E9">
        <w:t xml:space="preserve">v rámci nástroje NGEU se počínaje rokem 2028 odhadují na přibližně 25–30 miliard EUR ročně, což představuje 15–20 % ročního rozpočtu na rok 2025; vzhledem k tomu, že Parlament trvá na tom, aby náklady na refinancování byly nad úrovní stropů VFR; vzhledem k tomu, že během revize VFR 2024 byl zaveden třístupňový „kaskádový mechanismus“, včetně nového zvláštního nástroje EURI, s cílem pokrýt významné překročení nákladů v důsledku výpůjček z nástroje </w:t>
      </w:r>
      <w:proofErr w:type="spellStart"/>
      <w:r w:rsidRPr="00A931E9">
        <w:t>NextGenerationEU</w:t>
      </w:r>
      <w:proofErr w:type="spellEnd"/>
      <w:r w:rsidRPr="00A931E9">
        <w:t xml:space="preserve"> souvisejících se zásadními změnami tržních podmínek; vzhledem k tomu, že v rámci rozpočtového procesu na rok 2025 bylo dosaženo dohody o dodržování roční referenční hodnoty 50/50, konkrétně o financování překročených nákladů rovným dílem prostřednictvím složky pro zrušení závazku zvláštního nástroje EURI a nástroje pružnosti;</w:t>
      </w:r>
    </w:p>
    <w:p w14:paraId="41A7186F" w14:textId="77777777" w:rsidR="00567381" w:rsidRPr="00A931E9" w:rsidRDefault="00567381" w:rsidP="00567381">
      <w:pPr>
        <w:pStyle w:val="NormalHanging12a"/>
      </w:pPr>
      <w:r w:rsidRPr="00A931E9">
        <w:t>G.</w:t>
      </w:r>
      <w:r w:rsidRPr="00A931E9">
        <w:tab/>
        <w:t>vzhledem k tomu, že dluhopisy vydané k financování nástroje RRF mají být splaceny způsobem, který zajistí stálé a předvídatelné snižování závazků, a to nejpozději do roku 2058; vzhledem k tomu, že Rada dosud nepřijala upravený soubor nových vlastních zdrojů navržený Komisí, což vyvolává obavy ohledně proveditelnosti splácení dluhu vzniklého v rámci NGEU;</w:t>
      </w:r>
    </w:p>
    <w:p w14:paraId="4261245B" w14:textId="77777777" w:rsidR="00567381" w:rsidRPr="00A931E9" w:rsidRDefault="00567381" w:rsidP="00567381">
      <w:pPr>
        <w:pStyle w:val="NormalHanging12a"/>
      </w:pPr>
      <w:r w:rsidRPr="00A931E9">
        <w:t>H.</w:t>
      </w:r>
      <w:r w:rsidRPr="00A931E9">
        <w:tab/>
        <w:t>vzhledem k tomu, že jedním z klíčových aspektů nástroje RRF je sociální rozměr, který přispívá k vzestupné hospodářské a sociální konvergenci, obnově a podpoře udržitelného růstu a vytváření kvalitních pracovních míst;</w:t>
      </w:r>
    </w:p>
    <w:p w14:paraId="23BC7C38" w14:textId="77777777" w:rsidR="00567381" w:rsidRPr="00A931E9" w:rsidRDefault="00567381" w:rsidP="00567381">
      <w:pPr>
        <w:pStyle w:val="NormalHanging12a"/>
      </w:pPr>
      <w:r w:rsidRPr="00A931E9">
        <w:t>I.</w:t>
      </w:r>
      <w:r w:rsidRPr="00A931E9">
        <w:tab/>
        <w:t xml:space="preserve">vzhledem k tomu, že nástroj RRF by měl mimo jiné přispívat k financování opatření k posílení odolnosti členských států vůči klimatickým katastrofám a podporovat strategie pro přizpůsobení se změně klimatu; vzhledem k tomu, že členské státy by měly </w:t>
      </w:r>
      <w:r w:rsidRPr="00A931E9">
        <w:lastRenderedPageBreak/>
        <w:t>provádět řádná posouzení dopadu opatření a sdílet osvědčené postupy týkající se uplatňování zásady „významně nepoškozovat“;</w:t>
      </w:r>
    </w:p>
    <w:p w14:paraId="10F63CEC" w14:textId="77777777" w:rsidR="00567381" w:rsidRPr="00A931E9" w:rsidRDefault="00567381" w:rsidP="00567381">
      <w:pPr>
        <w:pStyle w:val="NormalHanging12a"/>
      </w:pPr>
      <w:r w:rsidRPr="00A931E9">
        <w:t>J.</w:t>
      </w:r>
      <w:r w:rsidRPr="00A931E9">
        <w:tab/>
        <w:t>vzhledem k tomu, že nástroj RRF hraje důležitou úlohu při podpoře investic a reforem v oblasti udržitelné mobility, inteligentní dopravní infrastruktury, alternativních paliv a řešení digitální mobility, čímž zlepšuje konektivitu a účinnost v celé EU; vzhledem k tomu, že je politováníhodné, že pouze několik členských států se rozhodlo využít nástroj RRF k podpoře investic, zejména do vysokorychlostní železniční a vodní infrastruktury, jejichž cílem je rozvoj evropských koridorů, a to navzdory podněcování k realizaci přeshraničních projektů a projektů pro více zemí; vzhledem k tomu, že je velmi důležité zvýšit investice do dopravní infrastruktury, zejména v regionech s nedostatečnou obslužností, aby se zlepšilo dopravní propojení, podpořila regionální soudržnost a přispělo k ekologické transformaci;</w:t>
      </w:r>
    </w:p>
    <w:p w14:paraId="518BF5A3" w14:textId="77777777" w:rsidR="00567381" w:rsidRPr="00A931E9" w:rsidRDefault="00567381" w:rsidP="00567381">
      <w:pPr>
        <w:pStyle w:val="NormalHanging12a"/>
      </w:pPr>
      <w:r w:rsidRPr="00A931E9">
        <w:t>K.</w:t>
      </w:r>
      <w:r w:rsidRPr="00A931E9">
        <w:tab/>
        <w:t>vzhledem k tomu, že do 31. prosince 2024 předložily členské státy 95 žádostí o platbu a výše vyplacených prostředků z nástroje RRF včetně předběžného financování činila 197,46 miliardy EUR ve formě grantů (55 % celkového finančního krytí grantů) a 108,68 miliardy EUR ve formě úvěrů (37 % celkového krytí úvěrů); vzhledem k tomu, že tři členské státy již obdržely pátou platbu, zatímco jeden členský stát dosud z nástroje RRF neobdržel žádné finanční prostředky; vzhledem k tomu, že všechny členské státy alespoň jednou revidovaly své národní plány pro oživení a odolnost; vzhledem k tomu, že 28 % milníků a cílů bylo uspokojivě splněno a Komise využila možnosti částečného pozastavení plateb, pokud se zjistilo, že některé milníky a cíle spojené s žádostí o platbu nebyly uspokojivě splněny; vzhledem k tomu, že zpoždění při provádění plánovaných reforem a investic, zejména do sociální infrastruktury a veřejných služeb, by mohlo vést k nedostatečnému využívání dostupných zdrojů, čímž by se snížil jejich očekávaný dopad na hospodářský růst, zaměstnanost a sociální soudržnost;</w:t>
      </w:r>
    </w:p>
    <w:p w14:paraId="015B4822" w14:textId="77777777" w:rsidR="00567381" w:rsidRDefault="00567381" w:rsidP="00567381">
      <w:pPr>
        <w:pStyle w:val="NormalHanging12a"/>
      </w:pPr>
      <w:r w:rsidRPr="00A931E9">
        <w:t>L.</w:t>
      </w:r>
      <w:r w:rsidRPr="00A931E9">
        <w:tab/>
        <w:t>vzhledem k tomu, že EÚD odhalil různé nedostatky nástroje RRF, zejména pokud jde o jeho koncepci, transparentnost a podávání zpráv, riziko dvojího financování a provádění opatření souběžné transformace;</w:t>
      </w:r>
    </w:p>
    <w:p w14:paraId="25EAF2A1" w14:textId="77777777" w:rsidR="000E17F4" w:rsidRPr="00A931E9" w:rsidRDefault="000E17F4" w:rsidP="00567381">
      <w:pPr>
        <w:pStyle w:val="NormalHanging12a"/>
      </w:pPr>
      <w:r>
        <w:t>M</w:t>
      </w:r>
      <w:r w:rsidRPr="000E17F4">
        <w:t>.</w:t>
      </w:r>
      <w:r w:rsidRPr="000E17F4">
        <w:tab/>
        <w:t>vzhledem k tomu, že podle EÚD je výkonnost měřítkem toho, do jaké míry opatření, projekt nebo program splnil své cíle a zajistil optimální využití prostředků; vzhledem k tomu, že financování, které není spojeno s náklady, navíc samo o sobě nepředstavuje nástroj založený na výkonnosti;</w:t>
      </w:r>
    </w:p>
    <w:p w14:paraId="416ADFC2" w14:textId="77777777" w:rsidR="00567381" w:rsidRPr="00A931E9" w:rsidRDefault="000E17F4" w:rsidP="00567381">
      <w:pPr>
        <w:pStyle w:val="NormalHanging12a"/>
      </w:pPr>
      <w:r>
        <w:t>N</w:t>
      </w:r>
      <w:r w:rsidR="00567381" w:rsidRPr="00A931E9">
        <w:t>.</w:t>
      </w:r>
      <w:r w:rsidR="00567381" w:rsidRPr="00A931E9">
        <w:tab/>
        <w:t>vzhledem k tomu, že spolehlivé systémy auditu a kontroly mají zásadní význam pro ochranu finančních zájmů EU během celého životního cyklu nástroje RRF; vzhledem k tomu, že před vyplacením prostředků z nástroje RRF bylo třeba splnit milníky obecně známé jako tzv. „</w:t>
      </w:r>
      <w:proofErr w:type="spellStart"/>
      <w:r w:rsidR="00567381" w:rsidRPr="00A931E9">
        <w:t>supermilníky</w:t>
      </w:r>
      <w:proofErr w:type="spellEnd"/>
      <w:r w:rsidR="00567381" w:rsidRPr="00A931E9">
        <w:t>“, zejména ty, které se týkají právního státu;</w:t>
      </w:r>
    </w:p>
    <w:p w14:paraId="3C16EF94" w14:textId="77777777" w:rsidR="00567381" w:rsidRPr="00A931E9" w:rsidRDefault="000E17F4" w:rsidP="00567381">
      <w:pPr>
        <w:pStyle w:val="NormalHanging12a"/>
      </w:pPr>
      <w:r>
        <w:t>O</w:t>
      </w:r>
      <w:r w:rsidR="00567381" w:rsidRPr="00A931E9">
        <w:t>.</w:t>
      </w:r>
      <w:r w:rsidR="00567381" w:rsidRPr="00A931E9">
        <w:tab/>
        <w:t>vzhledem k tomu, že se v nařízení o Nástroji pro oživení a odolnost odkazuje v souvislosti s tímto nástrojem na to, že „je ve své podstatě založen na výsledcích“, aniž by byly tyto „výsledky“ v nařízení definovány; vzhledem k tomu, že výsledky nástroje RRF by měly souviset se zásadami řádného finančního řízení a být měřítkem toho, do jaké míry opatření, projekt nebo program financovaný ze strany EU splnil své cíle a zajistil optimální využití prostředků;</w:t>
      </w:r>
    </w:p>
    <w:p w14:paraId="56F1D7AE" w14:textId="77777777" w:rsidR="00567381" w:rsidRPr="00A931E9" w:rsidRDefault="000E17F4" w:rsidP="00567381">
      <w:pPr>
        <w:pStyle w:val="NormalHanging12a"/>
      </w:pPr>
      <w:r>
        <w:lastRenderedPageBreak/>
        <w:t>P</w:t>
      </w:r>
      <w:r w:rsidR="00567381" w:rsidRPr="00A931E9">
        <w:t>.</w:t>
      </w:r>
      <w:r w:rsidR="00567381" w:rsidRPr="00A931E9">
        <w:tab/>
        <w:t>vzhledem k tomu, že účinná demokratická a parlamentní kontrola nad uplatňováním nástroje RRF vyžaduje, aby byl Parlament neustále plně zapojen a aby byla ve všech fázích zohledňována všechna jeho doporučení;</w:t>
      </w:r>
    </w:p>
    <w:p w14:paraId="16EC2307" w14:textId="77777777" w:rsidR="00567381" w:rsidRPr="00A931E9" w:rsidRDefault="000E17F4" w:rsidP="00567381">
      <w:pPr>
        <w:pStyle w:val="NormalHanging12a"/>
      </w:pPr>
      <w:r>
        <w:t>Q</w:t>
      </w:r>
      <w:r w:rsidR="00567381" w:rsidRPr="00A931E9">
        <w:t>.</w:t>
      </w:r>
      <w:r w:rsidR="00567381" w:rsidRPr="00A931E9">
        <w:tab/>
        <w:t xml:space="preserve">vzhledem k tomu, že Komise musí do 31. prosince 2028 předložit nezávislou hodnotící zprávu </w:t>
      </w:r>
      <w:r w:rsidR="00567381" w:rsidRPr="00A931E9">
        <w:rPr>
          <w:rStyle w:val="Italic"/>
        </w:rPr>
        <w:t>ex post</w:t>
      </w:r>
      <w:r w:rsidR="00567381" w:rsidRPr="00A931E9">
        <w:t xml:space="preserve"> o uplatňování nástroje RRF, která bude obsahovat posouzení toho, do jaké míry bylo dosaženo cílů, informace o účinnosti využívání zdrojů a o evropské přidané hodnotě a také celkové posouzení nástroje RRF a informace o jeho dlouhodobém dopadu;</w:t>
      </w:r>
    </w:p>
    <w:p w14:paraId="7C087DD5" w14:textId="77777777" w:rsidR="00567381" w:rsidRPr="00A931E9" w:rsidRDefault="000E17F4" w:rsidP="00567381">
      <w:pPr>
        <w:pStyle w:val="NormalHanging12a"/>
      </w:pPr>
      <w:r>
        <w:t>R</w:t>
      </w:r>
      <w:r w:rsidR="00567381" w:rsidRPr="00A931E9">
        <w:t>.</w:t>
      </w:r>
      <w:r w:rsidR="00567381" w:rsidRPr="00A931E9">
        <w:tab/>
        <w:t>vzhledem k tomu, že účelem této zprávy je sledovat uplatňování nástroje RRF v souladu s úlohou Parlamentu stanovenou v nařízení o Nástroji pro oživení a odolnost, přičemž by se v ní mělo poukazovat na přínosy a nedostatky tohoto nástroje a vycházet ze zkušeností získaných při jeho uplatňování;</w:t>
      </w:r>
    </w:p>
    <w:p w14:paraId="6CD060B8" w14:textId="77777777" w:rsidR="00567381" w:rsidRPr="00A931E9" w:rsidRDefault="00567381" w:rsidP="00567381">
      <w:pPr>
        <w:pStyle w:val="Normal12a24b"/>
      </w:pPr>
      <w:r w:rsidRPr="00A931E9">
        <w:rPr>
          <w:rStyle w:val="BoldItalic"/>
        </w:rPr>
        <w:t>Posílení sociální a hospodářské odolnosti Evropy</w:t>
      </w:r>
    </w:p>
    <w:p w14:paraId="111B54EE" w14:textId="77777777" w:rsidR="00567381" w:rsidRPr="00A931E9" w:rsidRDefault="00567381" w:rsidP="00567381">
      <w:pPr>
        <w:pStyle w:val="NormalHanging12a"/>
      </w:pPr>
      <w:r w:rsidRPr="00A931E9">
        <w:t>1.</w:t>
      </w:r>
      <w:r w:rsidRPr="00A931E9">
        <w:tab/>
        <w:t xml:space="preserve">zdůrazňuje skutečnost, že nástroj RRF je bezprecedentním nástrojem solidarity reagujícím na dvě bezprecedentní krize a základním kamenem nástroje </w:t>
      </w:r>
      <w:proofErr w:type="spellStart"/>
      <w:r w:rsidRPr="00A931E9">
        <w:t>NextGenerationEU</w:t>
      </w:r>
      <w:proofErr w:type="spellEnd"/>
      <w:r w:rsidRPr="00A931E9">
        <w:t>, který skončí v roce 2026; zdůrazňuje, že je důležité vyvodit ponaučení z jeho provádění pro nadcházející VFR, a to i pokud jde o transparentnost, podávání zpráv a konzistentní měření výsledků; zdůrazňuje stabilizační účinek nástroje RRF na členské státy v době velké hospodářské nejistoty, neboť zmírňuje negativní hospodářské a sociální důsledky a podporuje vlády tím, že přispívá k provádění evropského pilíře sociálních práv, podporuje hospodářskou obnovu a konkurenceschopnost, zvyšuje odolnost, podporuje inovace a ekologickou a digitální transformaci;</w:t>
      </w:r>
    </w:p>
    <w:p w14:paraId="6095D918" w14:textId="77777777" w:rsidR="00567381" w:rsidRPr="00A931E9" w:rsidRDefault="00567381" w:rsidP="00567381">
      <w:pPr>
        <w:pStyle w:val="NormalHanging12a"/>
      </w:pPr>
      <w:r w:rsidRPr="00A931E9">
        <w:t>2.</w:t>
      </w:r>
      <w:r w:rsidRPr="00A931E9">
        <w:tab/>
        <w:t>zdůrazňuje, že nástroj RRF hraje důležitou úlohu při předcházení roztříštěnosti vnitřního trhu a dalšímu prohlubování makroekonomických rozdílů, při podpoře sociální a územní soudržnosti (tím, že přispívá k makroekonomické stabilizaci) a při poskytování jistoty finančním trhům (tím, že zlepšuje důvěru investorů v době nestability, čímž snižuje rozpětí výnosů);</w:t>
      </w:r>
    </w:p>
    <w:p w14:paraId="6FB6551E" w14:textId="77777777" w:rsidR="00567381" w:rsidRPr="00A931E9" w:rsidRDefault="00567381" w:rsidP="00567381">
      <w:pPr>
        <w:pStyle w:val="NormalHanging12a"/>
      </w:pPr>
      <w:r w:rsidRPr="00A931E9">
        <w:t>3.</w:t>
      </w:r>
      <w:r w:rsidRPr="00A931E9">
        <w:tab/>
        <w:t>vítá skutečnost, že RRF je jednorázovým nástrojem poskytujícím dodatečný fiskální prostor, který přispívá k předcházení značným ekonomickým a sociálním rozdílům mezi členskými státy s odlišným fiskálním prostorem; upozorňuje na to, že podle zjištění Komise nástroj RRF vyvolal stabilní zvyšování investic v celé EU a že Komise očekává, že tento nástroj bude vzhledem ke svým synergickým účinkům s dalšími fondy EU ovlivňovat celou EU ještě dlouho po roce 2026; je však znepokojen rizikem, že s ukončením nástroje v roce 2026 by mohlo dojít k výraznému poklesu veřejných investic do společných evropských priorit;</w:t>
      </w:r>
    </w:p>
    <w:p w14:paraId="40EC5337" w14:textId="77777777" w:rsidR="00567381" w:rsidRPr="00A931E9" w:rsidRDefault="00567381" w:rsidP="00567381">
      <w:pPr>
        <w:pStyle w:val="NormalHanging12a"/>
      </w:pPr>
      <w:r w:rsidRPr="00A931E9">
        <w:t>4.</w:t>
      </w:r>
      <w:r w:rsidRPr="00A931E9">
        <w:tab/>
        <w:t>připomíná, že VFR spolu s nástrojem RRF dosahují v programovém období 2021–2027 celkové výše téměř 2 bilionů EUR, avšak poukazuje na to, že vysoká míra inflace a související vysoké ceny zboží a služby snížily současnou hodnotu evropských výdajů dohodnutých v nominálním vyjádření;</w:t>
      </w:r>
    </w:p>
    <w:p w14:paraId="45412D70" w14:textId="77777777" w:rsidR="00567381" w:rsidRPr="00A931E9" w:rsidRDefault="00567381" w:rsidP="00567381">
      <w:pPr>
        <w:pStyle w:val="NormalHanging12a"/>
      </w:pPr>
      <w:r w:rsidRPr="00A931E9">
        <w:t>5.</w:t>
      </w:r>
      <w:r w:rsidRPr="00A931E9">
        <w:tab/>
        <w:t xml:space="preserve">bere na vědomí prognózu Komise z roku 2024 týkající se možného vlivu nástroje </w:t>
      </w:r>
      <w:proofErr w:type="spellStart"/>
      <w:r w:rsidRPr="00A931E9">
        <w:t>NextGenerationEU</w:t>
      </w:r>
      <w:proofErr w:type="spellEnd"/>
      <w:r w:rsidRPr="00A931E9">
        <w:t xml:space="preserve"> na reálný hrubý domácí produkt (HDP) EU do roku 2026, který je výrazně nižší než ukazuje simulace z roku 2020 (1,4 % ve srovnání s 2,3 %), což je </w:t>
      </w:r>
      <w:r w:rsidRPr="00A931E9">
        <w:lastRenderedPageBreak/>
        <w:t>částečně dáno nepříznivými ekonomickými a geopolitickými podmínkami, a odhad, že tento nástroj by mohl vést k výraznému krátkodobému nárůstu zaměstnanosti v EU až o 0,8 %; konstatuje, že dlouhodobé přínosy nástroje RRF pro HDP přesáhnou přijaté rozpočtové závazky pravděpodobně třikrát až šestkrát, a to v závislosti na dopadech investic z nástroje RRF na produktivitu a na důsledném provádění reforem a investic;</w:t>
      </w:r>
    </w:p>
    <w:p w14:paraId="7078EDF6" w14:textId="77777777" w:rsidR="00567381" w:rsidRPr="00A931E9" w:rsidRDefault="00567381" w:rsidP="00567381">
      <w:pPr>
        <w:pStyle w:val="NormalHanging12a"/>
      </w:pPr>
      <w:r w:rsidRPr="00A931E9">
        <w:t>6.</w:t>
      </w:r>
      <w:r w:rsidRPr="00A931E9">
        <w:tab/>
        <w:t>zdůrazňuje, že je obtížné vyčíslit přesný sociální a hospodářský dopad nástroje RRF, neboť dopad reforem a investic se projeví až po určitém čase; zdůrazňuje, že k posouzení skutečného dopadu reforem a investic jsou zapotřebí další nezávislá hodnocení a že by se měla dále zlepšovat základní metodika; bere na vědomí zjištění Komise, že přibližně polovina očekávaného nárůstu veřejných investic v letech 2019–2025 souvisí s investicemi financovanými z rozpočtu EU, zejména z nástroje RRF, avšak poznamenává, že dopad některých investic není dosud měřitelný;</w:t>
      </w:r>
    </w:p>
    <w:p w14:paraId="6A4DF31F" w14:textId="77777777" w:rsidR="00567381" w:rsidRPr="00A931E9" w:rsidRDefault="00567381" w:rsidP="00567381">
      <w:pPr>
        <w:pStyle w:val="NormalHanging12a"/>
      </w:pPr>
      <w:r w:rsidRPr="00A931E9">
        <w:t>7.</w:t>
      </w:r>
      <w:r w:rsidRPr="00A931E9">
        <w:tab/>
        <w:t>konstatuje, že nástroj RRF motivuje k provádění některých reforem obsažených v doporučeních pro jednotlivé země vydaných v rámci evropského semestru, neboť došlo k začlenění těchto reforem do národních plánů pro oživení a odolnost; zdůrazňuje, že pokud jde o monitorování provádění nástroje RRF, došlo ke kvalitativnímu posunu vpřed; připomíná, že srovnávací přehled RRF se používá ke sledování pokroku při dosahování milníků a cílů a také souladu s horizontálními zásadami, a zejména se šesti pilíři, kterými jsou zelená transformace, digitální transformace, inteligentní, udržitelný a inkluzivní růst (včetně hospodářské soudržnosti, pracovních míst, produktivity, konkurenceschopnosti, výzkumu, vývoje a inovací a dobře fungujícího vnitřního trhu se silnými malými a středními podniky), sociální a územní soudržnost, zdravotnictví a hospodářská, sociální a institucionální odolnost, s cílem mimo jiné zvyšovat připravenost a schopnost reakce na krize, a politiky pro příští generaci, děti a mládež, jako je vzdělávání a rozvoj dovedností; zdůrazňuje, že doporučení pro jednotlivé země vydaných v rámci evropského semestru se stále využívá jen v malé míře a tato míra využití dokonce klesá;</w:t>
      </w:r>
    </w:p>
    <w:p w14:paraId="4B74D6BC" w14:textId="77777777" w:rsidR="00567381" w:rsidRPr="00A931E9" w:rsidRDefault="00567381" w:rsidP="00567381">
      <w:pPr>
        <w:pStyle w:val="NormalHanging12a"/>
      </w:pPr>
      <w:r w:rsidRPr="00A931E9">
        <w:t>8.</w:t>
      </w:r>
      <w:r w:rsidRPr="00A931E9">
        <w:tab/>
        <w:t>zdůrazňuje, že v souvislosti s novým rámcem pro správu ekonomických záležitostí by soubor reforem a investic, které jsou podkladem pro prodloužení období korekce, měl být v souladu se závazky obsaženými ve schválených národních plánech pro oživení a odolnost během období fungování nástroje RRF a v dohodě o partnerství podle nařízení o společných ustanoveních</w:t>
      </w:r>
      <w:r w:rsidRPr="00A931E9">
        <w:rPr>
          <w:rStyle w:val="FootnoteReference"/>
        </w:rPr>
        <w:footnoteReference w:id="14"/>
      </w:r>
      <w:r w:rsidRPr="00A931E9">
        <w:t>; konstatuje, že pět členských států, které požádaly o prodloužení období korekce do 31. prosince 2024, se při odůvodnění prodloužení částečně opíralo o reformy a investice, které již byly schváleny v rámci nástroje RRF; bere na vědomí skutečnost, že většina členských států zahrnula informace o tom, zda jsou reformy a investice uvedené ve střednědobých fiskálně-strukturálních plánech spojeny s nástrojem RRF;</w:t>
      </w:r>
    </w:p>
    <w:p w14:paraId="5C5EC868" w14:textId="77777777" w:rsidR="00567381" w:rsidRPr="00A931E9" w:rsidRDefault="00567381" w:rsidP="00567381">
      <w:pPr>
        <w:pStyle w:val="NormalHanging12a"/>
      </w:pPr>
      <w:r w:rsidRPr="00A931E9">
        <w:t>9.</w:t>
      </w:r>
      <w:r w:rsidRPr="00A931E9">
        <w:tab/>
        <w:t xml:space="preserve">vítá skutečnost, že nástroj RRF poskytuje podporu jak reformám, tak investicím v členských státech, ale se znepokojením konstatuje, že krátký časový rámec pro </w:t>
      </w:r>
      <w:r w:rsidRPr="00A931E9">
        <w:lastRenderedPageBreak/>
        <w:t>zbývající provádění tohoto nástroje představuje výzvu pro dokončení klíčových reforem a rozsáhlých investic, které mají být dokončeny ke konci jeho platnosti, a pro včasné splnění 70 % zbývajících milníků a cílů;</w:t>
      </w:r>
    </w:p>
    <w:p w14:paraId="3B3B1D04" w14:textId="77777777" w:rsidR="00567381" w:rsidRPr="00A931E9" w:rsidRDefault="00567381" w:rsidP="00567381">
      <w:pPr>
        <w:pStyle w:val="NormalHanging12a"/>
      </w:pPr>
      <w:r w:rsidRPr="00A931E9">
        <w:t>10.</w:t>
      </w:r>
      <w:r w:rsidRPr="00A931E9">
        <w:tab/>
        <w:t xml:space="preserve">připomíná, že výdaje z nástroje RRF by kromě řádně odůvodněných případů neměly nahrazovat opakující se výdaje z vnitrostátního rozpočtu a měly by se řídit zásadou </w:t>
      </w:r>
      <w:proofErr w:type="spellStart"/>
      <w:r w:rsidRPr="00A931E9">
        <w:t>adicionality</w:t>
      </w:r>
      <w:proofErr w:type="spellEnd"/>
      <w:r w:rsidRPr="00A931E9">
        <w:t xml:space="preserve"> financování z prostředků EU; trvá na tom, že zásadní význam pro zajištění </w:t>
      </w:r>
      <w:proofErr w:type="spellStart"/>
      <w:r w:rsidRPr="00A931E9">
        <w:t>adicionality</w:t>
      </w:r>
      <w:proofErr w:type="spellEnd"/>
      <w:r w:rsidRPr="00A931E9">
        <w:t xml:space="preserve"> a dlouhodobého účinku dodatečných evropských finančních prostředků má důsledné, udržitelné a ověřitelné uplatňování zásady neopakování a zaměření jasně vymezených evropských cílů reforem a investic; připomíná nutnost tuto zásadu dodržovat a vyslovuje se proti tomu, aby nástroj RRF či jiné dočasné nástroje vytlačily nebo nahradily politiku soudržnosti, neboť politika soudržnosti má nadále zásadní význam pro dlouhodobou a udržitelnou územní soudržnost a konvergenci;</w:t>
      </w:r>
    </w:p>
    <w:p w14:paraId="65D4F71F" w14:textId="77777777" w:rsidR="00567381" w:rsidRPr="00A931E9" w:rsidRDefault="00567381" w:rsidP="00567381">
      <w:pPr>
        <w:pStyle w:val="NormalHanging12a"/>
      </w:pPr>
      <w:r w:rsidRPr="00A931E9">
        <w:t>11.</w:t>
      </w:r>
      <w:r w:rsidRPr="00A931E9">
        <w:tab/>
        <w:t>poukazuje na to, že při přednostním uplatňování nástroje RRF má nedostatečná administrativní kapacita v mnoha členských státech a problémy spojené s globálními dodavatelskými řetězci za následek zpoždění při uplatňování politiky soudržnosti; v této souvislosti vyzývá Komisi, aby poskytla komplexní posouzení dopadu, který má nástroj RRF na jiné finanční nástroje a veřejné investice, technickou podporu a správní a absorpční kapacity členských států;</w:t>
      </w:r>
    </w:p>
    <w:p w14:paraId="361943D8" w14:textId="77777777" w:rsidR="00567381" w:rsidRPr="00A931E9" w:rsidRDefault="00567381" w:rsidP="00567381">
      <w:pPr>
        <w:pStyle w:val="NormalHanging12a"/>
      </w:pPr>
      <w:r w:rsidRPr="00A931E9">
        <w:t>12.</w:t>
      </w:r>
      <w:r w:rsidRPr="00A931E9">
        <w:tab/>
        <w:t xml:space="preserve">připomíná, že v reakci na útočnou válku Ruska proti Ukrajině přispívá přepracování plánu </w:t>
      </w:r>
      <w:proofErr w:type="spellStart"/>
      <w:r w:rsidRPr="00A931E9">
        <w:t>REPowerEU</w:t>
      </w:r>
      <w:proofErr w:type="spellEnd"/>
      <w:r w:rsidRPr="00A931E9">
        <w:t xml:space="preserve"> k zajištění energetické bezpečnosti Evropy tím, že snižuje její závislost na fosilních palivech, diverzifikuje její dodávky energie, investuje do evropských zdrojů a infrastruktury, řeší problematiku energetické chudoby a investuje do energetických úspor a účinnosti ve všech odvětvích včetně dopravy; zdůrazňuje, že prostřednictvím tohoto plánu bylo v roce 2023 poskytnuto formou grantů dalších 20 miliard EUR, včetně 8 miliard EUR, které byly k dispozici díky předběžnému vyplacení částek v rámci systému EU pro obchodování s emisemi, a 12 miliard EUR z Inovačního fondu; poukazuje na úspěchy, kterých dosáhl Parlamentu při jednáních, zejména pokud jde o ustanovení týkající se doplnění prostředků Inovačního fondu, 30% cíl financování přeshraničních projektů, důraz na investice, které řeší problém energetické chudoby ohrožených domácností, malých a středních podniků a mikropodniků, a o flexibilní využívání nevyužitých prostředků z Fondu soudržnosti v rámci VFR na období 2014–2020 a až 7,5 % vnitrostátních přídělů v rámci VFR na období 2021–2027;</w:t>
      </w:r>
    </w:p>
    <w:p w14:paraId="024C784F" w14:textId="77777777" w:rsidR="00567381" w:rsidRPr="00A931E9" w:rsidRDefault="00567381" w:rsidP="00567381">
      <w:pPr>
        <w:pStyle w:val="NormalHanging12a"/>
      </w:pPr>
      <w:r w:rsidRPr="00A931E9">
        <w:t>13.</w:t>
      </w:r>
      <w:r w:rsidRPr="00A931E9">
        <w:tab/>
        <w:t>připomíná svou výzvu, aby se intervence nástroje RRF zaměřovaly na opatření s evropskou přidanou hodnotou, a proto vyjadřuje politování nad nedostatkem životaschopných přeshraničních opatření nebo opatření s dopadem na více zemí, včetně projektů infrastruktury vysokorychlostních železnic a udržitelné mobility dvojího užití, které jsou nezbytné k dokončení sítě TEN-T, a nad rizikem, které se s tím pojí, totiž že bude nutné prostředky na tyto projekty hledat výhradně v členských státech; konstatuje, že široký rozsah cílů nástroje RRF k tomu přispěl tím, že umožnil, aby do oblasti působnosti nástroje RRF spadala široká škála vnitrostátně zaměřených projektů;</w:t>
      </w:r>
    </w:p>
    <w:p w14:paraId="4AB02313" w14:textId="77777777" w:rsidR="00567381" w:rsidRPr="00A931E9" w:rsidRDefault="00567381" w:rsidP="00567381">
      <w:pPr>
        <w:pStyle w:val="NormalHanging12a"/>
      </w:pPr>
      <w:r w:rsidRPr="00A931E9">
        <w:t>14.</w:t>
      </w:r>
      <w:r w:rsidRPr="00A931E9">
        <w:tab/>
        <w:t xml:space="preserve">poukazuje na změnu článku 27 nařízení o Nástroji pro oživení a odolnost prostřednictvím plánu </w:t>
      </w:r>
      <w:proofErr w:type="spellStart"/>
      <w:r w:rsidRPr="00A931E9">
        <w:t>REPowerEU</w:t>
      </w:r>
      <w:proofErr w:type="spellEnd"/>
      <w:r w:rsidRPr="00A931E9">
        <w:t xml:space="preserve">, která výrazně posílila přeshraniční rozměr nástroje RRF s dopadem na více zemí doporučením, aby členské státy upravily své národní plány pro oživení a odolnost doplněním kapitol týkajících se plánu </w:t>
      </w:r>
      <w:proofErr w:type="spellStart"/>
      <w:r w:rsidRPr="00A931E9">
        <w:t>REPowerEU</w:t>
      </w:r>
      <w:proofErr w:type="spellEnd"/>
      <w:r w:rsidRPr="00A931E9">
        <w:t xml:space="preserve"> včetně výdajového cíle ve výši alespoň 30 % na takováto opatření, aby byla zaručena </w:t>
      </w:r>
      <w:r w:rsidRPr="00A931E9">
        <w:lastRenderedPageBreak/>
        <w:t>energetická autonomie EU; je znepokojen širokým výkladem Komise, který umožňuje, aby jakékoli snížení (vnitrostátní) poptávky po energii bylo důvodem pro uplatnění přeshraničního rozměru s dopadem na více zemí;</w:t>
      </w:r>
    </w:p>
    <w:p w14:paraId="623E6878" w14:textId="77777777" w:rsidR="00567381" w:rsidRPr="00A931E9" w:rsidRDefault="00567381" w:rsidP="00567381">
      <w:pPr>
        <w:pStyle w:val="NormalHanging12a"/>
      </w:pPr>
      <w:r w:rsidRPr="00A931E9">
        <w:t>15.</w:t>
      </w:r>
      <w:r w:rsidRPr="00A931E9">
        <w:tab/>
        <w:t xml:space="preserve">vítá možnost, aby se financování z nástroje RRF použilo k plnění cílů Platformy strategických technologií pro Evropu (STEP) tím, že se za účelem zvýšení konkurenceschopnosti průmyslu podpoří investice do kritických technologií v EU; konstatuje, že žádný členský stát nevyužil možnosti zahrnout do svého národního plánu pro oživení a odolnost dodatečný peněžní příspěvek na cíle STEP prostřednictvím složky členského státu v rámci Programu </w:t>
      </w:r>
      <w:proofErr w:type="spellStart"/>
      <w:r w:rsidRPr="00A931E9">
        <w:t>InvestEU</w:t>
      </w:r>
      <w:proofErr w:type="spellEnd"/>
      <w:r w:rsidRPr="00A931E9">
        <w:t>; připomíná, že členské státy mohou ještě stále v tomto ohledu své národní plány změnit; očekává, že procesy revize budou účinné, efektivní a jednoduché, zejména s ohledem na konečný termín v roce 2026, současný geopolitický kontext a potřebu investovat do evropských obranných schopností;</w:t>
      </w:r>
    </w:p>
    <w:p w14:paraId="0F3AA8E6" w14:textId="77777777" w:rsidR="00567381" w:rsidRPr="00A931E9" w:rsidRDefault="00567381" w:rsidP="00567381">
      <w:pPr>
        <w:pStyle w:val="NormalHanging12a"/>
      </w:pPr>
      <w:r w:rsidRPr="00A931E9">
        <w:t>16.</w:t>
      </w:r>
      <w:r w:rsidRPr="00A931E9">
        <w:tab/>
        <w:t xml:space="preserve">připomíná, že je nutné v rámci všech reforem a investic podporovaných z nástroje RRF uplatňovat zásadu „významně nepoškozovat“, přičemž aby bylo možné okamžitě zabezpečit zásoby, je nutné pro energetickou infrastrukturu a energetická zařízení zajistit v rámci plánu </w:t>
      </w:r>
      <w:proofErr w:type="spellStart"/>
      <w:r w:rsidRPr="00A931E9">
        <w:t>REPowerEU</w:t>
      </w:r>
      <w:proofErr w:type="spellEnd"/>
      <w:r w:rsidRPr="00A931E9">
        <w:t xml:space="preserve"> cílenou výjimku; vybízí Komisi, aby posoudila možnost jednotnějšího výkladu zásady „významně nepoškozovat“ mezi nástrojem RRF a taxonomií EU pro udržitelnou činnost a přihlédla ke specifikům uvedeného nástroje coby programu určeného k hrazení veřejných výdajů;</w:t>
      </w:r>
    </w:p>
    <w:p w14:paraId="586E4935" w14:textId="77777777" w:rsidR="00567381" w:rsidRPr="00A931E9" w:rsidRDefault="00567381" w:rsidP="00567381">
      <w:pPr>
        <w:pStyle w:val="Normal12a24b"/>
      </w:pPr>
      <w:r w:rsidRPr="00A931E9">
        <w:rPr>
          <w:rStyle w:val="BoldItalic"/>
        </w:rPr>
        <w:t>Finanční hlediska nástroje RRF</w:t>
      </w:r>
    </w:p>
    <w:p w14:paraId="19FB654D" w14:textId="77777777" w:rsidR="00567381" w:rsidRPr="00A931E9" w:rsidRDefault="00567381" w:rsidP="00567381">
      <w:pPr>
        <w:pStyle w:val="NormalHanging12a"/>
      </w:pPr>
      <w:r w:rsidRPr="00A931E9">
        <w:t>17.</w:t>
      </w:r>
      <w:r w:rsidRPr="00A931E9">
        <w:tab/>
        <w:t>zdůrazňuje, že nástroj RRF je prvním rozsáhlým nástrojem na úrovni EU založeným na výkonnosti, který se opírá výhradně o financování, jež není spojeno s náklady; připomíná, že v článku 8 nařízení o Nástroji pro oživení a odolnost je stanoveno, že nástroj RRF musí Komise provádět v rámci přímého řízení v souladu s příslušnými pravidly přijatými podle článku 322 SFEU, zejména s finančním nařízením a nařízením o podmíněnosti dodržováním zásad právního státu; s politováním konstatuje, že Rada nesouhlasila s tím, aby byla do finančního nařízení začleněna konkrétní pravidla, která by řešila rizika tohoto realizačního modelu, jako je dvojí financování; domnívá se, že pravidla finančního nařízení by měla být plně uplatnitelná na budoucí nástroje založené na financování, které není spojeno s náklady, a to i pokud jde o pokuty a sankce;</w:t>
      </w:r>
    </w:p>
    <w:p w14:paraId="5C69F5CA" w14:textId="77777777" w:rsidR="00567381" w:rsidRPr="00A931E9" w:rsidRDefault="00567381" w:rsidP="00567381">
      <w:pPr>
        <w:pStyle w:val="NormalHanging12a"/>
      </w:pPr>
      <w:r w:rsidRPr="00A931E9">
        <w:t>18.</w:t>
      </w:r>
      <w:r w:rsidRPr="00A931E9">
        <w:tab/>
        <w:t xml:space="preserve">konstatuje, že o půjčky požádalo pouze 13 států a že v důsledku toho, že se do 31. prosince 2023 nepodařilo přidělit na závazky 92 miliard z 385,8 miliard EUR, zůstane tato částka nevyužita; bere na vědomí, že půjčky byly atraktivní pro ty členské státy, které se na finančních trzích potýkají s vyššími výpůjčními náklady nebo které se snažily vykompenzovat snížení grantů poskytovaných v rámci nástroje RRF; poukazuje na to, že některé členské státy využily půjčky z nástroje RRF jen v omezené míře, a to buď z důvodu silné fiskální pozice, nebo z administrativních důvodů; vyzývá Komisi, aby analyzovala důvody nízké míry využívání těchto půjček v některých členských státech a zohlednila tato zjištění při navrhování budoucích finančních nástrojů EU; se znepokojením konstatuje, že vnitrostátní finanční nástroje k provádění národních plánů pro oživení a odolnost nebyly dostatečně propagovány, což vedlo k tomu, že nejsou dostatečné známé a potenciální příjemci je nevyužívají; domnívá se, že vzhledem k napjatým veřejným rozpočtům a naléhavým strategickým prioritám EU je zapotřebí zahájit politickou diskuzi o využití nevyužitých finančních prostředků; vyzývá </w:t>
      </w:r>
      <w:r w:rsidRPr="00A931E9">
        <w:lastRenderedPageBreak/>
        <w:t>k posouzení toho, jak a za jakých podmínek by nevyužité finanční prostředky z nástroje RRF mohly být přesměrovány na podporu evropské konkurenceschopnosti, odolnosti, obrany a sociální, hospodářské a územní soudržnosti, zejména prostřednictvím investic do digitálních a zelených technologií v souladu s původním účelem nástroje RRF;</w:t>
      </w:r>
    </w:p>
    <w:p w14:paraId="680736C6" w14:textId="77777777" w:rsidR="00567381" w:rsidRPr="00A931E9" w:rsidRDefault="00567381" w:rsidP="00567381">
      <w:pPr>
        <w:pStyle w:val="NormalHanging12a"/>
      </w:pPr>
      <w:r w:rsidRPr="00A931E9">
        <w:t>19.</w:t>
      </w:r>
      <w:r w:rsidRPr="00A931E9">
        <w:tab/>
        <w:t>připomíná, že podle přijatého právního závazku je nutné veškeré výdaje poskytnuté v rámci nástroje NGEU uhradit nejpozději do 31. prosince 2058; připomíná dále Radě a Komisi jejich právní závazek, který byl přijat v roce 2020 v rámci interinstitucionální dohody, totiž zajistit realizovatelnou možnost refinancovat dluh vzniklý v souvislosti s využitím nástroje NGEU, mj. pomocí dostatečných výnosů z vlastních zdrojů zavedených po roce 2021, aniž by došlo k přílišnému omezení výdajů na programy nebo investičních nástrojů v rámci VFR; vyjadřuje politování nad tím, že v tomto směru nebylo dosaženo dostatečného pokroku, což vyvolává obavy, pokud jde o splatitelnost dluhu vzniklého v rámci nástroje NGEU, a naléhavě vyzývá Radu, aby neprodleně a co nejdříve schválila nové vlastní zdroje; dále naléhavě vyzývá Komisi, aby pokračovala ve svém úsilí o určení dalších skutečných nových vlastních zdrojů nad rámec interinstitucionální dohody, které jsou spojeny s politikou EU, aby bylo možné pokrýt vysoké potřeby v oblasti výdajů spojené s financováním nových priorit a se splácením dluhu vzniklého v souvislosti s využitím nástroje NGEU;</w:t>
      </w:r>
    </w:p>
    <w:p w14:paraId="77CD3573" w14:textId="77777777" w:rsidR="00567381" w:rsidRPr="00A931E9" w:rsidRDefault="00567381" w:rsidP="00567381">
      <w:pPr>
        <w:pStyle w:val="NormalHanging12a"/>
      </w:pPr>
      <w:r w:rsidRPr="00A931E9">
        <w:t>20.</w:t>
      </w:r>
      <w:r w:rsidRPr="00A931E9">
        <w:tab/>
        <w:t xml:space="preserve">se znepokojením bere na vědomí, že podle odhadů Komise dosáhnou celkové náklady na splácení kapitálu </w:t>
      </w:r>
      <w:r w:rsidR="00685931">
        <w:t xml:space="preserve">a úroků </w:t>
      </w:r>
      <w:r w:rsidR="00685931" w:rsidRPr="00685931">
        <w:t xml:space="preserve">v rámci nástroje </w:t>
      </w:r>
      <w:r w:rsidRPr="00A931E9">
        <w:t>NGEU počínaje rokem 2028 přibližně 25–30 miliard EUR ročně, což představuje 15–20 % ročního rozpočtu na rok 2025; připomíná, že v rámci posledních tří rozpočtových procesů bylo nutné využít zvláštní nástroje, aby bylo možné pokrýt náklady na nástroj EURI; zdůrazňuje, že výrazné zvýšení nákladů na financování vyvíjí tlak na budoucí rozpočet EU a omezuje schopnost reagovat na budoucí výzvy;</w:t>
      </w:r>
    </w:p>
    <w:p w14:paraId="16886FB8" w14:textId="77777777" w:rsidR="00567381" w:rsidRPr="00A931E9" w:rsidRDefault="00567381" w:rsidP="00567381">
      <w:pPr>
        <w:pStyle w:val="NormalHanging12a"/>
      </w:pPr>
      <w:r w:rsidRPr="00A931E9">
        <w:t>21.</w:t>
      </w:r>
      <w:r w:rsidRPr="00A931E9">
        <w:tab/>
        <w:t>bere na vědomí cíl Komise, kterým je financování až 30 % nákladů na nástroj NGEU prostřednictvím emise zelených dluhopisů; konstatuje, že do 31. prosince 2024 vydala Komise evropské zelené dluhopisy v hodnotě 68,2 miliardy EUR;</w:t>
      </w:r>
    </w:p>
    <w:p w14:paraId="0B32B1E6" w14:textId="77777777" w:rsidR="00567381" w:rsidRPr="00A931E9" w:rsidRDefault="00567381" w:rsidP="00567381">
      <w:pPr>
        <w:pStyle w:val="Normal12a24b"/>
      </w:pPr>
      <w:r w:rsidRPr="00A931E9">
        <w:rPr>
          <w:rStyle w:val="BoldItalic"/>
        </w:rPr>
        <w:t>Koncepce a realizace národních plánů pro oživení a odolnost</w:t>
      </w:r>
    </w:p>
    <w:p w14:paraId="32DF860B" w14:textId="77777777" w:rsidR="00567381" w:rsidRPr="00A931E9" w:rsidRDefault="00567381" w:rsidP="00567381">
      <w:pPr>
        <w:pStyle w:val="NormalHanging12a"/>
      </w:pPr>
      <w:r w:rsidRPr="00A931E9">
        <w:t>22.</w:t>
      </w:r>
      <w:r w:rsidRPr="00A931E9">
        <w:tab/>
        <w:t>konstatuje, že do 31. prosince 2024 bylo vyplaceno 47 % dostupných prostředků v rámci nástroje RRF, z čehož granty tvořily 55 % a půjčky 37 %, což vedlo k tomu, že velká část opatření dosud nebyla v letech 2025 a 2026 dokončena; je však znepokojen zjištěním Účetního dvora, že do října 2023 se ke konečným příjemcům v 15 z 22 členských států dostalo pouze 50 % vyplacených finančních prostředků; vyzývá Komisi, aby doporučení Účetního dvora řádně zohlednila s cílem zlepšit fungování jakýchkoli budoucích nástrojů založených na výkonnosti podobných nástroji RRF, zejména v kontextu cílenějšího VFR;</w:t>
      </w:r>
    </w:p>
    <w:p w14:paraId="44262465" w14:textId="77777777" w:rsidR="00567381" w:rsidRPr="00A931E9" w:rsidRDefault="00567381" w:rsidP="00567381">
      <w:pPr>
        <w:pStyle w:val="NormalHanging12a"/>
      </w:pPr>
      <w:r w:rsidRPr="00A931E9">
        <w:t>23.</w:t>
      </w:r>
      <w:r w:rsidRPr="00A931E9">
        <w:tab/>
        <w:t>s potěšením konstatuje, že všechny členské státy překonaly cíle týkající se ekologické transformace (o 37 %) a digitální transformace (o 20 %), přičemž průměrné výdaje na cíle v oblasti klimatu a digitalizace v rámci nástroje RRF dosahovaly celkově 42 %, resp. 26 %; konstatuje, že Účetní dvůr zpochybnil způsob, jakým provádění opatření v rámci nástroje RRF přispělo k ekologické transformaci, a navrhl zdokonalit metodiku používanou k posuzování opatření souvisejících s klimatem; poukazuje na to, že stejné metodologické nedostatky existují u všech pilířů nástroje RRF;</w:t>
      </w:r>
    </w:p>
    <w:p w14:paraId="064F0CB7" w14:textId="77777777" w:rsidR="00567381" w:rsidRPr="00A931E9" w:rsidRDefault="00567381" w:rsidP="00567381">
      <w:pPr>
        <w:pStyle w:val="NormalHanging12a"/>
      </w:pPr>
      <w:r w:rsidRPr="00A931E9">
        <w:lastRenderedPageBreak/>
        <w:t>24.</w:t>
      </w:r>
      <w:r w:rsidRPr="00A931E9">
        <w:tab/>
        <w:t>konstatuje, že nástroj RRF by mohl mít hmatatelný dopad na dosažení sociálních cílů, s tím, že členské státy plánují vynaložit na tuto oblast přibližně 163 miliard EUR; poukazuje na to, že tyto výdaje musí být zaměřeny na výsledky a musí zajišťovat měřitelné hospodářské nebo sociální přínosy; zdůrazňuje, že je nutné urychlit investice do rozvoje venkovských, okrajových a nejvzdálenějších, izolovaných a odlehlých oblastí a do dostupného bydlení, sociální ochrany a integrace zranitelných skupin a také do zaměstnanosti mladých lidí, což je oblast, v níž dochází při vynakládání prostředků k průtahům; vyzývá Komisi k tomu, aby pomocí srovnávacího přehledu nástroje RRF důkladně posoudila projekty a reformy týkající se vzdělávání a mladých lidí, které členské státy provádějí v rámci nástroje RRF; vyjadřuje politování nad tím, že v některých členských státech bylo zaznamenáno zpoždění při plnění cílů v oblasti zdraví, vzhledem k tomu, že nástroj RRF by měl rovněž zlepšit dostupnost a kapacitu systémů zdravotní péče a klíčových investic do sociální infrastruktury, včetně zařízení předškolního vzdělávání a péče; zdůrazňuje, že tato zpoždění, která jsou v některých případech spojena se změnami rozpočtových priorit a revidovanými vnitrostátními harmonogramy provádění, mohou ohrozit dosahování cílů nástroje RRF v oblasti sociální soudržnosti;</w:t>
      </w:r>
    </w:p>
    <w:p w14:paraId="21A769AD" w14:textId="77777777" w:rsidR="00567381" w:rsidRPr="00A931E9" w:rsidRDefault="00567381" w:rsidP="00567381">
      <w:pPr>
        <w:pStyle w:val="NormalHanging12a"/>
      </w:pPr>
      <w:r w:rsidRPr="00A931E9">
        <w:t>25.</w:t>
      </w:r>
      <w:r w:rsidRPr="00A931E9">
        <w:tab/>
        <w:t>opakuje svůj vyjednávací postoj, tedy že je třeba zahrnout cíle v oblasti vzdělávání (10 %) a kulturních aktivit (2 %); podporuje úsilí Komise o hodnocení těchto cílů jako referenčního měřítka při posuzování politiky vzdělávání v národních plánech pro oživení a odolnost prostřednictvím srovnávacího přehledu nástroje RRF;</w:t>
      </w:r>
    </w:p>
    <w:p w14:paraId="2E8DD73C" w14:textId="77777777" w:rsidR="00567381" w:rsidRPr="00A931E9" w:rsidRDefault="00567381" w:rsidP="00567381">
      <w:pPr>
        <w:pStyle w:val="NormalHanging12a"/>
      </w:pPr>
      <w:r w:rsidRPr="00A931E9">
        <w:t>26.</w:t>
      </w:r>
      <w:r w:rsidRPr="00A931E9">
        <w:tab/>
        <w:t xml:space="preserve">konstatuje, že převážná většina národních plánů pro oživení a odolnost obsahuje zvláštní část, v níž je vysvětleno, jak plán řeší genderové aspekty a výzvy; je však znepokojen tím, že některé národní plány pro oživení a odolnost neobsahují vysvětlení, jak mají opatření obsažená v národním plánu pro oživení a odolnost přispívat </w:t>
      </w:r>
      <w:proofErr w:type="gramStart"/>
      <w:r w:rsidRPr="00A931E9">
        <w:t>k</w:t>
      </w:r>
      <w:proofErr w:type="gramEnd"/>
      <w:r w:rsidRPr="00A931E9">
        <w:t> genderové rovnosti žen a k rovným příležitostem pro všechny, a vyzývá dotyčné členské státy, aby tato vysvětlení neprodleně doplnily;</w:t>
      </w:r>
    </w:p>
    <w:p w14:paraId="1286D3EB" w14:textId="77777777" w:rsidR="00567381" w:rsidRPr="00A931E9" w:rsidRDefault="00567381" w:rsidP="00567381">
      <w:pPr>
        <w:pStyle w:val="NormalHanging12a"/>
      </w:pPr>
      <w:r w:rsidRPr="00A931E9">
        <w:t>27.</w:t>
      </w:r>
      <w:r w:rsidRPr="00A931E9">
        <w:tab/>
        <w:t>zdůrazňuje, že je důležité provést reformy zaměřené na roztříštěnost trhu práce, podporu kvalitních pracovních podmínek, řešení nerovností ve výši mezd, zajištění důstojných životních podmínek a posílení sociálního dialogu, sociální ochrany a sociální ekonomiky;</w:t>
      </w:r>
    </w:p>
    <w:p w14:paraId="597C9DE9" w14:textId="77777777" w:rsidR="00567381" w:rsidRPr="00A931E9" w:rsidRDefault="00567381" w:rsidP="00567381">
      <w:pPr>
        <w:pStyle w:val="NormalHanging12a"/>
      </w:pPr>
      <w:r w:rsidRPr="00A931E9">
        <w:t>28.</w:t>
      </w:r>
      <w:r w:rsidRPr="00A931E9">
        <w:tab/>
        <w:t>bere na vědomí hmatatelný dopad, který by nástroj RRF mohl mít na cíl digitální transformace, vzhledem k tomu, že na příslušné plány bylo vyčleněno 166 miliard EUR; vítá příspěvky, jichž bylo dosaženo v rámci pilíře pro inteligentní a udržitelný růst podporující začlenění, zejména pokud jde o konkurenceschopnost a podporu malých a středních podniků; podotýká, že je nutné urychlit zaostávající investice do nadnárodní spolupráce, podpory konkurenceschopných podniků provádějících inovativní projekty a regulačních změn ve prospěch inteligentního a udržitelného růstu podporujícího začlenění;</w:t>
      </w:r>
    </w:p>
    <w:p w14:paraId="1CC2CEAF" w14:textId="77777777" w:rsidR="00567381" w:rsidRPr="00A931E9" w:rsidRDefault="00567381" w:rsidP="00567381">
      <w:pPr>
        <w:pStyle w:val="NormalHanging12a"/>
      </w:pPr>
      <w:r w:rsidRPr="00A931E9">
        <w:t>29.</w:t>
      </w:r>
      <w:r w:rsidRPr="00A931E9">
        <w:tab/>
        <w:t>zdůrazňuje, že úspěch investic EU závisí na dobře fungujících kapitálových trzích; vyzývá členské státy, aby zajistily účinnější a včasnější vyplácení finančních prostředků, zejména pro malé a střední podniky a mladé podnikatele, zefektivnily postupy podávání žádostí v zájmu zlepšení dostupnosti a zavedly konkrétní opatření pro poskytování cílené podpory, která jim pomůže hrát významnější úlohu v procesu inteligentního růstu podporujícího začlenění;</w:t>
      </w:r>
    </w:p>
    <w:p w14:paraId="787FDDA5" w14:textId="77777777" w:rsidR="00567381" w:rsidRPr="00A931E9" w:rsidRDefault="00567381" w:rsidP="00567381">
      <w:pPr>
        <w:pStyle w:val="NormalHanging12a"/>
      </w:pPr>
      <w:r w:rsidRPr="00A931E9">
        <w:lastRenderedPageBreak/>
        <w:t>30.</w:t>
      </w:r>
      <w:r w:rsidRPr="00A931E9">
        <w:tab/>
        <w:t xml:space="preserve">je znepokojen tím, že dosahování jednotlivých milníků a cílů zaostává za orientačním harmonogramem stanoveným v národních plánech pro oživení a odolnost a že rychlost pokroku se v různých členských státech liší; vyjadřuje politování nad časovou prodlevou mezi plněním milníků a cílů a prováděním projektů; zdůrazňuje, že nástroj RRF dosáhne svého dlouhodobého a krátkodobého potenciálu pouze tehdy, bude-li řádně provedena reformní, respektive investiční složka; s potěšením konstatuje, že po pomalém rozjezdu se od druhé poloviny roku 2023 provádění nástroje RRF zrychluje, nicméně stále dochází k významným zpožděním, která lze připsat nejrůznějším faktorům, mj. revizím spojeným se začleněním plánu </w:t>
      </w:r>
      <w:proofErr w:type="spellStart"/>
      <w:r w:rsidRPr="00A931E9">
        <w:t>REPowerEU</w:t>
      </w:r>
      <w:proofErr w:type="spellEnd"/>
      <w:r w:rsidRPr="00A931E9">
        <w:t>, zvyšující se inflaci, nedostatečné administrativní kapacitě členských států, zejména malých členských států, nejistotě týkající se konkrétních pravidel pro uplatňování nástroje RRF, vysokým nákladům na energie, nedostatečným dodávkám a podcenění doby nutné k realizaci příslušných opatření; konstatuje, že odložení klíčových prováděcích lhůt některými vládami na rok 2026 vyvolává obavy ohledně toho, zda budou některé členské státy schopny v plné míře čerpat přidělené finanční prostředky v časovém rámci nástroje RRF; zdůrazňuje, že je důležité zachovat realistický a účinný harmonogram provádění, aby se zabránilo tomu, že projekty nebudou dokončeny a promarní se příležitosti ke strukturálním zlepšením; vyzývá Komisi, aby zajistila urychlené odstranění administrativních překážek;</w:t>
      </w:r>
    </w:p>
    <w:p w14:paraId="5C670D7B" w14:textId="77777777" w:rsidR="00567381" w:rsidRPr="00A931E9" w:rsidRDefault="00567381" w:rsidP="00567381">
      <w:pPr>
        <w:pStyle w:val="NormalHanging12a"/>
      </w:pPr>
      <w:r w:rsidRPr="00A931E9">
        <w:t>31.</w:t>
      </w:r>
      <w:r w:rsidRPr="00A931E9">
        <w:tab/>
        <w:t xml:space="preserve">připomíná, že nařízení o Nástroji pro oživení a odolnost bylo změněno v důsledku začlenění kapitoly </w:t>
      </w:r>
      <w:proofErr w:type="spellStart"/>
      <w:r w:rsidRPr="00A931E9">
        <w:t>REPowerEU</w:t>
      </w:r>
      <w:proofErr w:type="spellEnd"/>
      <w:r w:rsidRPr="00A931E9">
        <w:t xml:space="preserve">; poukazuje na význam kapitol </w:t>
      </w:r>
      <w:proofErr w:type="spellStart"/>
      <w:r w:rsidRPr="00A931E9">
        <w:t>REPowerEU</w:t>
      </w:r>
      <w:proofErr w:type="spellEnd"/>
      <w:r w:rsidRPr="00A931E9">
        <w:t xml:space="preserve"> v národních plánech pro oživení a odolnost a vyzývá členské státy k tomu, aby přednostně realizovaly pokročilé projekty a aby prováděly své národní plány rychleji, jak pokud jde o reformy, tak i pokud jde o investice, a případně upravily národní plány v souladu s cíli nástroje RRF, což umožní reagovat na výzvy vyplývající z geopolitických změn a řešit stávající reálnou situaci na místě, aniž by docházelo k narušení celkové rovnováhy nebo ke snížení úrovně ambicí těchto národních plánů;</w:t>
      </w:r>
    </w:p>
    <w:p w14:paraId="787D2257" w14:textId="77777777" w:rsidR="00567381" w:rsidRPr="00A931E9" w:rsidRDefault="00567381" w:rsidP="00567381">
      <w:pPr>
        <w:pStyle w:val="NormalHanging12a"/>
      </w:pPr>
      <w:r w:rsidRPr="00A931E9">
        <w:t>32.</w:t>
      </w:r>
      <w:r w:rsidRPr="00A931E9">
        <w:tab/>
        <w:t>zdůrazňuje skutečnost, že nástroj RRF mohl pomoci zmírnit dopady současné celounijní krize v oblasti bydlení; vyjadřuje politování nad tím, že některé členské státy této příležitosti nevyužily, a zdůrazňuje, že je důležité, aby členské státy urychlily investice do dosažitelného a cenově dostupného bydlení;</w:t>
      </w:r>
    </w:p>
    <w:p w14:paraId="739B4AB4" w14:textId="77777777" w:rsidR="00567381" w:rsidRPr="00A931E9" w:rsidRDefault="00567381" w:rsidP="00567381">
      <w:pPr>
        <w:pStyle w:val="NormalHanging12a"/>
      </w:pPr>
      <w:r w:rsidRPr="00A931E9">
        <w:t>33.</w:t>
      </w:r>
      <w:r w:rsidRPr="00A931E9">
        <w:tab/>
        <w:t>poukazuje na úlohu tzv. super milníků při ochraně finančních zájmů EU proti nedostatkům v oblasti právního státu a při zajišťování plného provádění požadavků podle článku 22 nařízení o Nástroji pro oživení a odolnost; s potěšením konstatuje, že tyto „super milníky“ uspokojivě splnily všechny členské státy kromě jednoho; připomíná, že Komise si musí vyžádat zpět veškeré předem vyplacené prostředky, které nebyly do konce platnosti nástroje RRF zaúčtovány proti pravidelným žádostem o platby;</w:t>
      </w:r>
    </w:p>
    <w:p w14:paraId="278DD932" w14:textId="77777777" w:rsidR="00567381" w:rsidRPr="00A931E9" w:rsidRDefault="00567381" w:rsidP="00567381">
      <w:pPr>
        <w:pStyle w:val="NormalHanging12a"/>
      </w:pPr>
      <w:r w:rsidRPr="00A931E9">
        <w:t>34.</w:t>
      </w:r>
      <w:r w:rsidRPr="00A931E9">
        <w:tab/>
        <w:t xml:space="preserve">bere na vědomí vysokou administrativní zátěž a komplikovanost, kterou s sebou přinesl nástroj RRF; poukazuje na to, že na úrovni členských států je zapotřebí značného úsilí k uplatňování nástroje RRF souběžně se strukturálními fondy; konstatuje, že Nástroj pro technickou podporu založený na poptávce poskytl mezi lety 2021 a 2024 v členských státech podporu více než 500 reforem spojených s nástrojem RRF, které přímo či nepřímo souvisely s přípravou, změnami, přepracováním a prováděním národních plánů pro oživení a odolnost; bere na vědomí pokyny Komise z července 2024 obsahující zjednodušení a ujasnění, která mají usnadnit provádění nástroje RRF, očekává však, že Komise bude jednat rychle a splní svůj slib, že o 25 % sníží administrativní zátěž; </w:t>
      </w:r>
      <w:r w:rsidRPr="00A931E9">
        <w:lastRenderedPageBreak/>
        <w:t>naléhavě vyzývá Komisi, aby členským státům poskytla jasnou a cílenou technickou podporu, což jim umožní vybudovat efektivní správní kapacity pro plnění milníků a cílů; žádá Komisi, aby snížila míru složitosti pravidel EU pro zadávání veřejných zakázek, která se uplatňují u zakázek s vyšší hodnotou;</w:t>
      </w:r>
    </w:p>
    <w:p w14:paraId="07D22C1C" w14:textId="77777777" w:rsidR="00567381" w:rsidRPr="00A931E9" w:rsidRDefault="00567381" w:rsidP="00567381">
      <w:pPr>
        <w:pStyle w:val="NormalHanging12a"/>
      </w:pPr>
      <w:r w:rsidRPr="00A931E9">
        <w:t>35.</w:t>
      </w:r>
      <w:r w:rsidRPr="00A931E9">
        <w:tab/>
        <w:t>vyjadřuje znepokojení nad složitostí postupů podávání žádostí o financování z nástroje RRF, zejména pro malé a střední podniky a nevládní organizace, neboť tyto postupy vyžadují externí poradenské služby i v případě malých grantů; zdůrazňuje, že tyto byrokratické překážky jsou v rozporu s původními cíli nástroje RRF, který měl poskytovat rychlou a přímou finanční podporu; požaduje urychlené zjednodušení požadavků na podávání žádostí a zpráv, zejména pro menší příjemce, s cílem maximalizovat čerpání a dopad finančních prostředků a pomoci jim využít je pro ekologickou a digitální transformaci;</w:t>
      </w:r>
    </w:p>
    <w:p w14:paraId="24F2D297" w14:textId="77777777" w:rsidR="00567381" w:rsidRPr="00A931E9" w:rsidRDefault="00567381" w:rsidP="00567381">
      <w:pPr>
        <w:pStyle w:val="NormalHanging12a"/>
      </w:pPr>
      <w:r w:rsidRPr="00A931E9">
        <w:t>36.</w:t>
      </w:r>
      <w:r w:rsidRPr="00A931E9">
        <w:tab/>
        <w:t>domnívá se, že průtahy při uplatňování nástroje RRF podtrhují riziko, že opatření, na která byly vyplaceny prostředky z tohoto nástroje, nebudou dokončena ve lhůtě k provedení plateb v roce 2026; vítá prohlášení, které Komise učinila dne 16. září 2024 v rámci dialogu o oživení a odolnosti, že nebude hradit projekty, které nebyly realizovány; považuje za chybu, že prostředky z nástroje RRF vyplacené na milníky a cíle, jež byly vyhodnoceny jako splněné, nelze získat zpět, pokud související opatření nakonec nejsou realizována; vybízí Komisi, aby zohlednila související doporučení EÚD a ve spolupráci s členskými státy posoudila opatření, u nichž je největší riziko, že nebudou do 31. srpna 2026 dokončena; zdůrazňuje, že je důležité tato opatření monitorovat, napomáhat k provedení včasných následných opatření a usilovat o řešení v případech zpoždění;</w:t>
      </w:r>
    </w:p>
    <w:p w14:paraId="1285A8F9" w14:textId="77777777" w:rsidR="00567381" w:rsidRPr="00A931E9" w:rsidRDefault="00567381" w:rsidP="00567381">
      <w:pPr>
        <w:pStyle w:val="NormalHanging12a"/>
      </w:pPr>
      <w:r w:rsidRPr="00A931E9">
        <w:t>37.</w:t>
      </w:r>
      <w:r w:rsidRPr="00A931E9">
        <w:tab/>
        <w:t>se znepokojením konstatuje, že časový rámec pro provádění zbývající části nástroje RRF je příliš krátký pro realizaci mnoha inovativních projektů; dále konstatuje, že inovativní projekty je z podstaty obtížnější plánovat a s větší pravděpodobností se během jejich provádění vyskytnou překážky, a z tohoto důvodu nevyhovují přísným lhůtám nástroje RRF; naléhavě vyzývá Komisi, aby budoucí programy, které vytvoří, byly dostatečně flexibilní a umožňovaly vhodně reagovat na měnící se okolnosti a zároveň zaručovaly určitou předvídatelnost;</w:t>
      </w:r>
    </w:p>
    <w:p w14:paraId="2CB02230" w14:textId="77777777" w:rsidR="00567381" w:rsidRPr="00A931E9" w:rsidRDefault="00567381" w:rsidP="00567381">
      <w:pPr>
        <w:pStyle w:val="NormalHanging12a"/>
      </w:pPr>
      <w:r w:rsidRPr="00A931E9">
        <w:t>38.</w:t>
      </w:r>
      <w:r w:rsidRPr="00A931E9">
        <w:tab/>
        <w:t>podotýká, že je možné, že některých milníků a cílů už není možné dosáhnout z objektivních důvodů; zdůrazňuje, že jakékoli přepracování národních plánů pro oživení a odolnost by mělo probíhat v souladu s nařízením o Nástroji pro oživení a odolnost, mj. s příslušnými lhůtami, a nemělo by vést ke slevování z reforem či závazků nebo k méně kvalitním projektům, ale mělo by zachovat celkové ambice a efektivitu veřejných výdajů;</w:t>
      </w:r>
    </w:p>
    <w:p w14:paraId="7C1C5B15" w14:textId="77777777" w:rsidR="00567381" w:rsidRPr="00A931E9" w:rsidRDefault="00567381" w:rsidP="00567381">
      <w:pPr>
        <w:pStyle w:val="NormalHanging12a"/>
      </w:pPr>
      <w:r w:rsidRPr="00A931E9">
        <w:t>39.</w:t>
      </w:r>
      <w:r w:rsidRPr="00A931E9">
        <w:tab/>
        <w:t>je znepokojen rozdílným posuzováním národních plánů pro oživení a odolnost ze strany Komise, což vede k dvojím standardům při uplatňování nařízení; mimoto je znepokojen rozdílnou definicí milníků a cílů, která se v jednotlivých národních plánech pro oživení a odolnost liší, jak soustavně uvádí EÚD;</w:t>
      </w:r>
    </w:p>
    <w:p w14:paraId="66DF380D" w14:textId="77777777" w:rsidR="00567381" w:rsidRPr="00A931E9" w:rsidRDefault="00567381" w:rsidP="00567381">
      <w:pPr>
        <w:pStyle w:val="NormalHanging12a"/>
      </w:pPr>
      <w:r w:rsidRPr="00A931E9">
        <w:t>40.</w:t>
      </w:r>
      <w:r w:rsidRPr="00A931E9">
        <w:tab/>
        <w:t xml:space="preserve">poukazuje na to, že se doba nutná k tomu, aby Komise posoudila žádosti členských států o výplatu prostředků, mezi jednotlivými členskými státy výrazně liší, a zdůrazňuje, že Komise musí jednat transparentněji; naléhavě vyzývá Komisi, aby urychlila posuzování těchto žádostí a zajistila, že se s členskými státy bude jednat </w:t>
      </w:r>
      <w:r w:rsidRPr="00A931E9">
        <w:lastRenderedPageBreak/>
        <w:t>stejně; zdůrazňuje, že je třeba zajistit rovné podmínky v celé EU, pokud jde o opatření a ukazatele, které se používají k posouzení všech projektů nástroje RRF;</w:t>
      </w:r>
    </w:p>
    <w:p w14:paraId="1C763BA4" w14:textId="77777777" w:rsidR="00567381" w:rsidRPr="00A931E9" w:rsidRDefault="00567381" w:rsidP="00567381">
      <w:pPr>
        <w:pStyle w:val="NormalHanging12a"/>
      </w:pPr>
      <w:r w:rsidRPr="00A931E9">
        <w:t>41.</w:t>
      </w:r>
      <w:r w:rsidRPr="00A931E9">
        <w:tab/>
        <w:t>naléhavě vyzývá členské státy, aby zintenzivnily své úsilí o řešení administrativních překážek a aby zajistily dostatečnou administrativní kapacitu s cílem umožnit urychlené provádění nástroje RRF s ohledem na vypršení lhůty v roce 2026 a zabránit koncentraci projektů realizovaných v rámci tohoto nástroje do rozvinutějších regionů a hlavních měst tím, že se umožní využívání prostředků z tohoto nástroje v rámci projektů prováděných v nejvíce ohrožených regionech, což přispěje k dosažení cíle nástroje, kterým je zvýšit sociální, územní a hospodářskou soudržnost; zdůrazňuje význam spravedlivého regionálního rozdělení v rámci národních plánů pro oživení a odolnost; zároveň je třeba zajistit, aby finanční prostředky z nástroje RRF byly přidělovány na základě hospodářského a sociálního dopadu, proveditelnosti a dlouhodobých přínosů;</w:t>
      </w:r>
    </w:p>
    <w:p w14:paraId="7EDAD226" w14:textId="77777777" w:rsidR="00567381" w:rsidRPr="00A931E9" w:rsidRDefault="00567381" w:rsidP="00567381">
      <w:pPr>
        <w:pStyle w:val="Normal12a24b"/>
        <w:ind w:left="567" w:hanging="567"/>
        <w:rPr>
          <w:rStyle w:val="BoldItalic"/>
          <w:b w:val="0"/>
          <w:i w:val="0"/>
        </w:rPr>
      </w:pPr>
      <w:r w:rsidRPr="00766B6E">
        <w:rPr>
          <w:rStyle w:val="BoldItalic"/>
          <w:b w:val="0"/>
          <w:i w:val="0"/>
        </w:rPr>
        <w:t>42.</w:t>
      </w:r>
      <w:r w:rsidRPr="00A931E9">
        <w:rPr>
          <w:rStyle w:val="BoldItalic"/>
        </w:rPr>
        <w:tab/>
      </w:r>
      <w:r w:rsidRPr="00A931E9">
        <w:t>vyzývá k případnému prodloužení pokročilých projektů v rámci nástroje RRF o 18 měsíců prostřednictvím změny nařízení o Nástroji pro oživení a odolnost postupem spolurozhodování; zdůrazňuje, že zamýšlené prodloužení projektů bude provedeno Komisí na základě objektivních, jasných a spravedlivých měřítek; vitá možnost cíleného stanovování priorit na základě výkonnosti a zavedení systému převodů po vypršení lhůty v roce 2026, aby bylo možné dokončit probíhající projekty díky jiným režimům financování, mj. prostřednictvím Evropského investičního fondu a případného nového evropského fondu pro konkurenceschopnost; naléhavě vyzývá Komisi, aby předložila strategii zaměřenou na řešení obrovské poptávky po veřejných investicích po roce 2026, aniž by byly ohroženy rozpočtové zdroje v jiných kritických oblastech;</w:t>
      </w:r>
    </w:p>
    <w:p w14:paraId="2BBCF843" w14:textId="77777777" w:rsidR="00567381" w:rsidRPr="00A522C1" w:rsidRDefault="00567381" w:rsidP="00567381">
      <w:pPr>
        <w:pStyle w:val="Normal12a24b"/>
        <w:ind w:left="567" w:hanging="567"/>
        <w:rPr>
          <w:rStyle w:val="BoldItalic"/>
          <w:b w:val="0"/>
          <w:i w:val="0"/>
        </w:rPr>
      </w:pPr>
      <w:r w:rsidRPr="00A522C1">
        <w:rPr>
          <w:rStyle w:val="BoldItalic"/>
          <w:b w:val="0"/>
          <w:i w:val="0"/>
        </w:rPr>
        <w:t>43.</w:t>
      </w:r>
      <w:r w:rsidRPr="00A522C1">
        <w:rPr>
          <w:rStyle w:val="BoldItalic"/>
          <w:b w:val="0"/>
          <w:i w:val="0"/>
        </w:rPr>
        <w:tab/>
        <w:t>vyzývá k hodnocení toho, jak by tento rámec mohl umožnit cílené investice do dodavatelských řetězců EU v oblasti obrany, strategických zásob a inovací týkajících se obrany, a zajistit soulad s širšími evropskými bezpečnostními cíli;</w:t>
      </w:r>
    </w:p>
    <w:p w14:paraId="0B8CF0F1" w14:textId="77777777" w:rsidR="00567381" w:rsidRPr="00A522C1" w:rsidRDefault="00567381" w:rsidP="00567381">
      <w:pPr>
        <w:pStyle w:val="Normal12a24b"/>
        <w:ind w:left="567" w:hanging="567"/>
        <w:rPr>
          <w:rStyle w:val="BoldItalic"/>
          <w:b w:val="0"/>
          <w:i w:val="0"/>
        </w:rPr>
      </w:pPr>
      <w:r w:rsidRPr="00A522C1">
        <w:rPr>
          <w:rStyle w:val="BoldItalic"/>
          <w:b w:val="0"/>
          <w:i w:val="0"/>
        </w:rPr>
        <w:t>44.</w:t>
      </w:r>
      <w:r w:rsidRPr="00A522C1">
        <w:rPr>
          <w:rStyle w:val="BoldItalic"/>
          <w:b w:val="0"/>
          <w:i w:val="0"/>
        </w:rPr>
        <w:tab/>
        <w:t>je znepokojen tím, že některé členské státy by se mohly rozhodnout vzdát se částí nebo celých částek spojených s jejich poslední žádostí o platbu, čímž nedojde ke splnění posledních milníků a cílů;</w:t>
      </w:r>
    </w:p>
    <w:p w14:paraId="390415C8" w14:textId="77777777" w:rsidR="00567381" w:rsidRPr="00A931E9" w:rsidRDefault="00567381" w:rsidP="00567381">
      <w:pPr>
        <w:pStyle w:val="Normal12a24b"/>
      </w:pPr>
      <w:r w:rsidRPr="00A931E9">
        <w:rPr>
          <w:rStyle w:val="BoldItalic"/>
        </w:rPr>
        <w:t>Transparentnost, sledování a kontrola</w:t>
      </w:r>
    </w:p>
    <w:p w14:paraId="6CC47764" w14:textId="77777777" w:rsidR="00567381" w:rsidRPr="00A931E9" w:rsidRDefault="00567381" w:rsidP="00567381">
      <w:pPr>
        <w:pStyle w:val="NormalHanging12a"/>
      </w:pPr>
      <w:r w:rsidRPr="00A931E9">
        <w:t>45.</w:t>
      </w:r>
      <w:r w:rsidRPr="00A931E9">
        <w:tab/>
        <w:t>bere na vědomí skutečnost, že Komise plánovala provést v roce 2024 ve všech členských státech 112 auditů nástroje RRF; připomíná Komisi její povinnost podle čl. 24 odst. </w:t>
      </w:r>
      <w:r w:rsidR="00685931">
        <w:t>9</w:t>
      </w:r>
      <w:r w:rsidRPr="00A931E9">
        <w:t xml:space="preserve"> nařízení o Nástroji pro oživení a odolnost získat zpět finanční prostředky v případě nesprávného vyplacení nebo zrušení opatření;</w:t>
      </w:r>
    </w:p>
    <w:p w14:paraId="48251A15" w14:textId="77777777" w:rsidR="00567381" w:rsidRPr="00A931E9" w:rsidRDefault="00567381" w:rsidP="00567381">
      <w:pPr>
        <w:pStyle w:val="NormalHanging12a"/>
      </w:pPr>
      <w:r w:rsidRPr="00A931E9">
        <w:t>46.</w:t>
      </w:r>
      <w:r w:rsidRPr="00A931E9">
        <w:tab/>
        <w:t>konstatuje, že Komise se při výpočtu částečných plateb a pozastavení vyplácení finančních prostředků spoléhá na své vlastní metodiky; vyjadřuje politování nad tím, že tyto metodiky byly vypracovány až dva roky po začátku provádění nástroje RRF a bez konzultace s Parlamentem;</w:t>
      </w:r>
    </w:p>
    <w:p w14:paraId="5266810D" w14:textId="77777777" w:rsidR="00567381" w:rsidRDefault="00567381" w:rsidP="00567381">
      <w:pPr>
        <w:pStyle w:val="NormalHanging12a"/>
      </w:pPr>
      <w:r w:rsidRPr="00A931E9">
        <w:t>47.</w:t>
      </w:r>
      <w:r w:rsidRPr="00A931E9">
        <w:tab/>
        <w:t xml:space="preserve">vítá rozsáhlou práci EÚD v souvislosti s nástrojem RRF a považuje za důležité důkladně posoudit jeho zjištění, zejména zjištění, že milníky a cíle jsou často spíše vágní a zaměřené na výstupy, a proto nejsou vhodné k měření výsledků a dopadů, a jeho zjištění týkající se rizika dvojího financování vyplývajícího z překrývání s jinými politickými opatřeními; konstatuje, že Komise přijala mnoho doporučení EÚD, ale </w:t>
      </w:r>
      <w:r w:rsidRPr="00A931E9">
        <w:lastRenderedPageBreak/>
        <w:t>nikoli všechna; zdůrazňuje, že je třeba naléhavě řešit nedostatky ve finančních kontrolách, na něž upozornil EÚD, aby se zabránilo dvojímu financování, neefektivnosti nákladů a špatnému hospodaření s finančními prostředky EU; vyzývá k větší transparentnosti a k plnému zohlednění doporučení EÚD, aniž by se tím zbytečně zvyšovala administrativní zátěž;</w:t>
      </w:r>
    </w:p>
    <w:p w14:paraId="4171BF5E" w14:textId="77777777" w:rsidR="000E17F4" w:rsidRPr="00A931E9" w:rsidRDefault="000E17F4" w:rsidP="00567381">
      <w:pPr>
        <w:pStyle w:val="NormalHanging12a"/>
      </w:pPr>
      <w:r>
        <w:t>48</w:t>
      </w:r>
      <w:r w:rsidRPr="000E17F4">
        <w:t>.</w:t>
      </w:r>
      <w:r w:rsidRPr="000E17F4">
        <w:tab/>
        <w:t>konstatuje, že EÚD se domnívá, že nástroj RRF se zaměřuje spíše na pokrok v provádění než na výkonnost, zejména proto, že opatření financovaná z nástroje RRF se zaměřují spíše na výstupy než na výsledky, liší se v ambicích, někdy postrádají jasnost a ne vždy pokrývají klíčové fáze provádění opatření, včetně dokončení;</w:t>
      </w:r>
    </w:p>
    <w:p w14:paraId="43C7455A" w14:textId="77777777" w:rsidR="00567381" w:rsidRPr="00A931E9" w:rsidRDefault="000E17F4" w:rsidP="00567381">
      <w:pPr>
        <w:pStyle w:val="NormalHanging12a"/>
      </w:pPr>
      <w:r w:rsidRPr="00A931E9">
        <w:t>4</w:t>
      </w:r>
      <w:r>
        <w:t>9</w:t>
      </w:r>
      <w:r w:rsidR="00567381" w:rsidRPr="00A931E9">
        <w:t>.</w:t>
      </w:r>
      <w:r w:rsidR="00567381" w:rsidRPr="00A931E9">
        <w:tab/>
        <w:t>konstatuje, že audity EÚD odhalily několik případů, kdy byly vyplaceny finanční prostředky, ačkoli nebyly řádně splněny požadavky související s plněním příslušných milníků a cílů; dále konstatuje, že rámec Komise pro posuzování „uspokojivého plnění“ příslušných milníků a cílů obsahuje prvky umožňující volné uvážení, jako je „minimální odchylka od požadavku“ nebo „přiměřené prodlevy“, a že metodika určení částečné platby neposkytuje vysvětlení hodnot zvolených jako koeficienty, čímž ponechává prostor pro výklad; žádá Komisi, aby Parlamentu poskytla další objasnění;</w:t>
      </w:r>
    </w:p>
    <w:p w14:paraId="4EBC5D1E" w14:textId="77777777" w:rsidR="00567381" w:rsidRPr="00A931E9" w:rsidRDefault="000E17F4" w:rsidP="00567381">
      <w:pPr>
        <w:pStyle w:val="NormalHanging12a"/>
      </w:pPr>
      <w:r>
        <w:t>50</w:t>
      </w:r>
      <w:r w:rsidR="00567381" w:rsidRPr="00A931E9">
        <w:t>.</w:t>
      </w:r>
      <w:r w:rsidR="00567381" w:rsidRPr="00A931E9">
        <w:tab/>
        <w:t>trvá na tom, že opatření, která již byla zahrnuta do jiných vnitrostátních plánů financovaných z prostředků EU (např. soudržnost, zemědělství atd.), by zpravidla neměla být zahrnuta do národních plánů pro oživení a odolnost, i když s sebou nenesou žádné náklady; naléhavě vyzývá Komisi, aby byla i nadále ostražitá a proaktivní při zjišťování jakéhokoli potenciálního rizika dvojího financování, zejména pokud jde o různé modely provádění nástroje RRF a jiných nástrojů financování EU;</w:t>
      </w:r>
    </w:p>
    <w:p w14:paraId="2B4D366B" w14:textId="77777777" w:rsidR="00567381" w:rsidRPr="00A931E9" w:rsidRDefault="00567381" w:rsidP="00567381">
      <w:pPr>
        <w:pStyle w:val="NormalHanging12a"/>
      </w:pPr>
      <w:r w:rsidRPr="00A931E9">
        <w:t>5</w:t>
      </w:r>
      <w:r w:rsidR="000E17F4">
        <w:t>1</w:t>
      </w:r>
      <w:r w:rsidRPr="00A931E9">
        <w:t>.</w:t>
      </w:r>
      <w:r w:rsidRPr="00A931E9">
        <w:tab/>
        <w:t xml:space="preserve">vyjadřuje politování nad tím, že v případě nástroje RRF neexistuje řádná auditní stopa, a nad přetrvávající nedostatečnou transparentností navzdory požadavku, aby členské státy podávaly pololetní zprávy o 100 největších konečných příjemcích, který byl do plánu </w:t>
      </w:r>
      <w:proofErr w:type="spellStart"/>
      <w:r w:rsidRPr="00A931E9">
        <w:t>REPowerEU</w:t>
      </w:r>
      <w:proofErr w:type="spellEnd"/>
      <w:r w:rsidRPr="00A931E9">
        <w:t xml:space="preserve"> zaveden na žádost Parlamentu; vyjadřuje politování nad průtahy při podávání zpráv ze strany některých členských států a nad omezenou informační hodnotou poskytovaných údajů, což v konečném důsledku brání tomu, aby Komise nebo EÚD provedly kontrolu souladu; opakuje svou výzvu, aby seznamy největších konečných příjemců v každém členském státu byly pravidelně aktualizovány a zveřejňovány ve srovnávacím přehledu nástroje RRF a aby obsahovaly informace o zúčastněných hospodářských subjektech, včetně zhotovitelů, dodavatelů nebo poskytovatelů a subdodavatelů, a jejich skutečných majitelích, a nikoli pouze údaje o ministerstvech nebo jiných vládních orgánech nebo státních podnicích; dále vyjadřuje politování nad tím, že stávající definice „konečného příjemce“ ponechává prostor pro výklad, což vede k tomu, že u podobných opatření jsou v různých členských státech různí koneční příjemci; vyzývá v této souvislosti Komisi, aby zajistila obecnou shodu na tom, co znamená „konečný příjemce“, aby se tento pojem uplatňoval jednotně;</w:t>
      </w:r>
    </w:p>
    <w:p w14:paraId="4C2D7DA3" w14:textId="77777777" w:rsidR="00567381" w:rsidRPr="00A931E9" w:rsidRDefault="00567381" w:rsidP="00567381">
      <w:pPr>
        <w:pStyle w:val="NormalHanging12a"/>
      </w:pPr>
      <w:r w:rsidRPr="00A931E9">
        <w:t>5</w:t>
      </w:r>
      <w:r w:rsidR="000E17F4">
        <w:t>2</w:t>
      </w:r>
      <w:r w:rsidRPr="00A931E9">
        <w:t>.</w:t>
      </w:r>
      <w:r w:rsidRPr="00A931E9">
        <w:tab/>
        <w:t xml:space="preserve">je znepokojen přetrvávajícími nedostatky ve vnitrostátních mechanismech podávání zpráv a kontroly, které jsou částečně způsobeny tlakem na využití dostupných prostředků, což ovlivňuje schopnost odhalovat nezpůsobilé výdaje, a složitostí auditních a kontrolních postupů, což vedlo k nejistotě v členských státech a příliš velkému zatížení administrativními postupy; vyzývá Komisi, aby poskytla ujištění o tom, zda kontrolní systémy členských států fungují odpovídajícím způsobem, a aby kontrolovala soulad investičních projektů financovaných z nástroje RRF s unijními a vnitrostátními pravidly; vyzývá k omezení plateb a případně k vrácení částek v souladu s článkem 22 </w:t>
      </w:r>
      <w:r w:rsidRPr="00A931E9">
        <w:lastRenderedPageBreak/>
        <w:t>nařízení o Nástroji pro oživení a odolnost, pokud budou ve vnitrostátních kontrolních systémech přetrvávat nedostatky; vyjadřuje politování nad tím, že se při neexistenci interoperabilních nástrojů IT a harmonizovaných norem spoléhá na manuální křížovou kontrolu a na vlastní prohlášení příjemců finančních prostředků EU, a to navzdory tomu, že existují nástroje, jako je systém včasného odhalování rizik a vylučování hospodářských subjektů a ARACHNE, jejichž používání není v současné době povinné, což s sebou nese riziko, že výdaje budou vykazovány dvakrát; v této souvislosti připomíná neochotu členských států dosáhnout pokroku tím, že včas vyvinou příslušné nástroje IT;</w:t>
      </w:r>
    </w:p>
    <w:p w14:paraId="0839BD18" w14:textId="77777777" w:rsidR="00567381" w:rsidRPr="00A931E9" w:rsidRDefault="00567381" w:rsidP="00567381">
      <w:pPr>
        <w:pStyle w:val="NormalHanging12a"/>
      </w:pPr>
      <w:r w:rsidRPr="00A931E9">
        <w:t>5</w:t>
      </w:r>
      <w:r w:rsidR="000E17F4">
        <w:t>3</w:t>
      </w:r>
      <w:r w:rsidRPr="00A931E9">
        <w:t>.</w:t>
      </w:r>
      <w:r w:rsidRPr="00A931E9">
        <w:tab/>
        <w:t>sdílí názor EÚD, že model financování, které není spojeno s náklady, nebrání vykazování skutečných nákladů; konstatuje, že jasné porozumění nákladům rovněž usnadňuje práci kontrolních orgánů a orgánů dohledu, jakož i Úřadu evropského veřejného žalobce a Evropského úřadu pro boj proti podvodům (OLAF), a umožňuje větší veřejnou kontrolu;</w:t>
      </w:r>
    </w:p>
    <w:p w14:paraId="2A180442" w14:textId="77777777" w:rsidR="00567381" w:rsidRPr="00A931E9" w:rsidRDefault="00567381" w:rsidP="00567381">
      <w:pPr>
        <w:pStyle w:val="NormalHanging12a"/>
      </w:pPr>
      <w:r w:rsidRPr="00A931E9">
        <w:t>5</w:t>
      </w:r>
      <w:r w:rsidR="000E17F4">
        <w:t>4</w:t>
      </w:r>
      <w:r w:rsidRPr="00A931E9">
        <w:t>.</w:t>
      </w:r>
      <w:r w:rsidRPr="00A931E9">
        <w:tab/>
        <w:t>znovu zdůrazňuje úlohu srovnávacího přehledu nástroje RRF, který občanům poskytuje informace o celkovém pokroku při provádění národních plánů pro oživení a odolnost; poukazuje na význam tohoto srovnávacího přehledu pro posílení transparentnosti a vyzývá Komisi, aby zvýšila úroveň transparentnosti a vizualizace údajů ve srovnávacím přehledu;</w:t>
      </w:r>
    </w:p>
    <w:p w14:paraId="766816D7" w14:textId="77777777" w:rsidR="00567381" w:rsidRPr="00A931E9" w:rsidRDefault="00567381" w:rsidP="00567381">
      <w:pPr>
        <w:pStyle w:val="NormalHanging12a"/>
      </w:pPr>
      <w:r w:rsidRPr="00A931E9">
        <w:t>5</w:t>
      </w:r>
      <w:r w:rsidR="000E17F4">
        <w:t>5</w:t>
      </w:r>
      <w:r w:rsidRPr="00A931E9">
        <w:t>.</w:t>
      </w:r>
      <w:r w:rsidRPr="00A931E9">
        <w:tab/>
        <w:t>připomíná, že vykazování pokroku při provádění ve srovnávacím přehledu nástroje RRF vychází z informací, které poskytují členské státy dvakrát ročně;</w:t>
      </w:r>
    </w:p>
    <w:p w14:paraId="12411F28" w14:textId="77777777" w:rsidR="00567381" w:rsidRPr="00A931E9" w:rsidRDefault="00567381" w:rsidP="00567381">
      <w:pPr>
        <w:pStyle w:val="NormalHanging12a"/>
      </w:pPr>
      <w:r w:rsidRPr="00A931E9">
        <w:t>5</w:t>
      </w:r>
      <w:r w:rsidR="000E17F4">
        <w:t>6</w:t>
      </w:r>
      <w:r w:rsidRPr="00A931E9">
        <w:t>.</w:t>
      </w:r>
      <w:r w:rsidRPr="00A931E9">
        <w:tab/>
        <w:t>poukazuje na důležitou úlohu úřadu EPPO a úřadu OLAF při ochraně finančních zájmů EU; vítá skutečnost, že vyšetřování případů podvodů a korupce souvisejících s nástrojem RRF ze strany úřadu EPPO vedlo k několika zatčením, obžalobám a zabavení finančních prostředků z tohoto nástroje; připomíná, že úřad EPPO se v roce 2024 zabýval 307 aktivními případy souvisejícími s nástrojem RRF, což představuje přibližně 17 % všech vyšetřovaných podvodů ve vztahu k výdajům, a odhadovaná škoda pro finanční zájmy EU činí 2,8 miliardy EUR; očekává, že pokračování v provádění nástroje RRF povede ke zvýšení počtu vyšetřovaných případů; vyzývá Komisi, aby prozkoumala prohlášení řídících subjektů členských států, pokud jde o vykazování odhalených podvodů a přijatých nápravných opatření;</w:t>
      </w:r>
    </w:p>
    <w:p w14:paraId="67550E7B" w14:textId="77777777" w:rsidR="00567381" w:rsidRPr="00A931E9" w:rsidRDefault="00567381" w:rsidP="00567381">
      <w:pPr>
        <w:pStyle w:val="Normal12a24b"/>
      </w:pPr>
      <w:r w:rsidRPr="00A931E9">
        <w:rPr>
          <w:rStyle w:val="BoldItalic"/>
        </w:rPr>
        <w:t>Úloha Evropského parlamentu</w:t>
      </w:r>
    </w:p>
    <w:p w14:paraId="4519736D" w14:textId="77777777" w:rsidR="00567381" w:rsidRPr="00A931E9" w:rsidRDefault="00567381" w:rsidP="00567381">
      <w:pPr>
        <w:pStyle w:val="NormalHanging12a"/>
      </w:pPr>
      <w:r w:rsidRPr="00A931E9">
        <w:t>5</w:t>
      </w:r>
      <w:r w:rsidR="000E17F4">
        <w:t>7</w:t>
      </w:r>
      <w:r w:rsidRPr="00A931E9">
        <w:t>.</w:t>
      </w:r>
      <w:r w:rsidRPr="00A931E9">
        <w:tab/>
        <w:t>znovu připomíná, že Parlament hraje důležitou úlohu, pokud jde o kontrolu a monitorování uplatňování nástroje RRF a dohlížení na to, aby byla Komise odpovědná za své jednání; poukazuje na příspěvky Parlamentu poskytované prostřednictvím rozličných kanálů, zejména prostřednictvím různých plenárních rozprav, parlamentních usnesení, dialogů o oživení a odolnosti s příslušnými komisaři konaných každé dva měsíce, více než třiceti schůzí stálé pracovní skupiny pro kontrolu nástroje RRF, četných parlamentních otázek, každoročního postupu udělování absolutoria Komisi a pravidelného toku informací a </w:t>
      </w:r>
      <w:r w:rsidRPr="00A931E9">
        <w:rPr>
          <w:i/>
          <w:iCs/>
        </w:rPr>
        <w:t>ad hoc</w:t>
      </w:r>
      <w:r w:rsidRPr="00A931E9">
        <w:t xml:space="preserve"> žádostí o informace adresovaných Komisi; vyjadřuje politování nad tím, že model využívání milníků a cílů k aktivaci vyplácení prostředků nebyl doprovázen odpovídajícími mechanismy rozpočtové kontroly, což vedlo k menší úloze Parlamentu ve srovnání s jeho kontrolou výdajů VFR;</w:t>
      </w:r>
    </w:p>
    <w:p w14:paraId="7C6E0844" w14:textId="77777777" w:rsidR="00567381" w:rsidRPr="00A931E9" w:rsidRDefault="00567381" w:rsidP="00567381">
      <w:pPr>
        <w:pStyle w:val="NormalHanging12a"/>
      </w:pPr>
      <w:r w:rsidRPr="00A931E9">
        <w:lastRenderedPageBreak/>
        <w:t>5</w:t>
      </w:r>
      <w:r w:rsidR="000E17F4">
        <w:t>8</w:t>
      </w:r>
      <w:r w:rsidRPr="00A931E9">
        <w:t>.</w:t>
      </w:r>
      <w:r w:rsidRPr="00A931E9">
        <w:tab/>
        <w:t>připomíná práva Parlamentu stanovená v článku 25 nařízení o Nástroji pro oživení a odolnost, zejména právo, aby mu Komise současně poskytovala veškeré informace, které v souvislosti s nařízením o Nástroji pro oživení a odolnost nebo jeho prováděním předává Radě nebo některým jejím přípravným orgánům, stejně jako přehled svých předběžných zjištění týkajících se uspokojivého splnění příslušných milníků a cílů zahrnutých v národních plánech pro oživení a odolnost; vybízí k tomu, aby byly relevantní výsledky diskuzí vedených v přípravných orgánech Rady sdíleny s příslušnými parlamentními výbory;</w:t>
      </w:r>
    </w:p>
    <w:p w14:paraId="24401995" w14:textId="77777777" w:rsidR="00567381" w:rsidRPr="00A931E9" w:rsidRDefault="00567381" w:rsidP="00567381">
      <w:pPr>
        <w:pStyle w:val="NormalHanging12a"/>
      </w:pPr>
      <w:r w:rsidRPr="00A931E9">
        <w:t>5</w:t>
      </w:r>
      <w:r w:rsidR="000E17F4">
        <w:t>9</w:t>
      </w:r>
      <w:r w:rsidRPr="00A931E9">
        <w:t>.</w:t>
      </w:r>
      <w:r w:rsidRPr="00A931E9">
        <w:tab/>
        <w:t>dále připomíná právo příslušných výborů Parlamentu vyzvat Komisi, aby v kontextu dialogů o oživení a odolnosti poskytla informace o aktuálním stavu posuzování národních plánů pro oživení a odolnost;</w:t>
      </w:r>
    </w:p>
    <w:p w14:paraId="4A222CCA" w14:textId="77777777" w:rsidR="00567381" w:rsidRPr="00A931E9" w:rsidRDefault="000E17F4" w:rsidP="00567381">
      <w:pPr>
        <w:pStyle w:val="NormalHanging12a"/>
      </w:pPr>
      <w:r>
        <w:t>60</w:t>
      </w:r>
      <w:r w:rsidR="00567381" w:rsidRPr="00A931E9">
        <w:t>.</w:t>
      </w:r>
      <w:r w:rsidR="00567381" w:rsidRPr="00A931E9">
        <w:tab/>
        <w:t>vyjadřuje politování nad tím, že Parlament nehraje žádnou úlohu při navrhování národních plánů pro oživení a odolnost a není konzultován ohledně žádostí o platby; dále kritizuje skutečnost, že Parlamentu nebyl poskytnut jasný a dohledatelný přehled o stavu provádění projektů a plateb; očekává, že bude informován o kontextu přepracování národních plánů pro oživení a odolnost, aby mohl provést vlastní posouzení těchto přepracování a na základě zkušeností s nástrojem RRF hrát větší úlohu v případných budoucích nástrojích;</w:t>
      </w:r>
    </w:p>
    <w:p w14:paraId="1C1D1C0C" w14:textId="77777777" w:rsidR="00567381" w:rsidRPr="00A931E9" w:rsidRDefault="00567381" w:rsidP="00567381">
      <w:pPr>
        <w:pStyle w:val="Normal12a24b"/>
      </w:pPr>
      <w:r w:rsidRPr="00A931E9">
        <w:rPr>
          <w:rStyle w:val="BoldItalic"/>
        </w:rPr>
        <w:t>Zapojení zúčastněných stran</w:t>
      </w:r>
    </w:p>
    <w:p w14:paraId="23C9C9F5" w14:textId="77777777" w:rsidR="00567381" w:rsidRPr="00A931E9" w:rsidRDefault="00567381" w:rsidP="00567381">
      <w:pPr>
        <w:pStyle w:val="NormalHanging12a"/>
      </w:pPr>
      <w:r w:rsidRPr="00A931E9">
        <w:t>6</w:t>
      </w:r>
      <w:r w:rsidR="000E17F4">
        <w:t>1</w:t>
      </w:r>
      <w:r w:rsidRPr="00A931E9">
        <w:t>.</w:t>
      </w:r>
      <w:r w:rsidRPr="00A931E9">
        <w:tab/>
        <w:t>vyjadřuje politování nad nedostatečným zapojením místních a regionálních orgánů, organizací občanské společnosti, sociálních partnerů, vnitrostátních parlamentů a dalších příslušných zúčastněných stran do navrhování, revize nebo provádění národních plánů pro oživení a odolnost, což vede k horším politickým výsledkům i k omezené odpovědnosti; vyjadřuje rovněž politování nad tím, že některé členské státy při navrhování a provádění národních plánů pro oživení a odolnost jasně upřednostňovaly některé místní a regionální orgány nebo zúčastněné strany na úkor jiných; připomíná, že účast místních, regionálních a celostátních orgánů a subjektů odpovědných za vypracování těchto politik má pro úspěšnost nástroje RRF zásadní význam, jak je uvedeno v článku 28 nařízení o Nástroji pro oživení a odolnost; připomíná, že Parlament podpořil závazné ustanovení v rámci nástroje RRF, aby byl zaveden víceúrovňový dialog, do kterého by byly zapojeny příslušné zúčastněné strany, s nimiž by se diskutovalo o přípravě a provádění národních plánů pro oživení a odolnost, a to s jasně vymezeným obdobím pro konzultace; požaduje proto, aby byly v souladu s vnitrostátním právním rámcem a na základě jasných a transparentních zásad do provádění národních plánů pro oživení a odolnost co nejvíce zapojeny zúčastněné strany;</w:t>
      </w:r>
    </w:p>
    <w:p w14:paraId="0F558E6E" w14:textId="77777777" w:rsidR="00567381" w:rsidRPr="00A931E9" w:rsidRDefault="00567381" w:rsidP="00567381">
      <w:pPr>
        <w:pStyle w:val="NormalHanging12a"/>
      </w:pPr>
      <w:r w:rsidRPr="00A931E9">
        <w:t>6</w:t>
      </w:r>
      <w:r w:rsidR="000E17F4">
        <w:t>2</w:t>
      </w:r>
      <w:r w:rsidRPr="00A931E9">
        <w:t>.</w:t>
      </w:r>
      <w:r w:rsidRPr="00A931E9">
        <w:tab/>
        <w:t>připomíná, že je zapotřebí, aby docházelo k pravidelné interakci mezi vnitrostátními koordinačními orgány a vnitrostátními zúčastněnými stranami zapojenými do monitorování provádění národních plánů pro oživení a odolnost v souladu se zásadou transparentnosti a odpovědnosti; zdůrazňuje, že k zajištění aktuálních informací o pokroku při provádění národních plánů pro oživení a odolnost je zapotřebí pravidelnější a veřejná komunikace ze strany vnitrostátních koordinačních orgánů;</w:t>
      </w:r>
    </w:p>
    <w:p w14:paraId="6045BDF1" w14:textId="77777777" w:rsidR="00567381" w:rsidRPr="00A931E9" w:rsidRDefault="00567381" w:rsidP="00567381">
      <w:pPr>
        <w:pStyle w:val="NormalHanging12a"/>
      </w:pPr>
      <w:r w:rsidRPr="00A931E9">
        <w:t>6</w:t>
      </w:r>
      <w:r w:rsidR="000E17F4">
        <w:t>3</w:t>
      </w:r>
      <w:r w:rsidRPr="00A931E9">
        <w:t>.</w:t>
      </w:r>
      <w:r w:rsidRPr="00A931E9">
        <w:tab/>
        <w:t xml:space="preserve">zdůrazňuje, že rozhodnutí by měla být přijímána na nejvhodnější úrovni; je přesvědčen o tom, že uplatňování zásady partnerství a větší zapojení místních a regionálních orgánů by mohlo zefektivnit provádění projektů, omezit rozdíly v členských státech a umožnit </w:t>
      </w:r>
      <w:r w:rsidRPr="00A931E9">
        <w:lastRenderedPageBreak/>
        <w:t>přijetí lepších a kvalitnějších opatření s přeshraničním rozměrem a dopadem na více zemí;</w:t>
      </w:r>
    </w:p>
    <w:p w14:paraId="6E94B84A" w14:textId="77777777" w:rsidR="00567381" w:rsidRPr="00A931E9" w:rsidRDefault="00567381" w:rsidP="00567381">
      <w:pPr>
        <w:pStyle w:val="NormalHanging12a"/>
      </w:pPr>
      <w:r w:rsidRPr="00A931E9">
        <w:t>6</w:t>
      </w:r>
      <w:r w:rsidR="000E17F4">
        <w:t>4</w:t>
      </w:r>
      <w:r w:rsidRPr="00A931E9">
        <w:t>.</w:t>
      </w:r>
      <w:r w:rsidRPr="00A931E9">
        <w:tab/>
        <w:t>domnívá se, že cenné zkušenosti získané při uplatňování nástroje RRF mohou být zohledněny při koncipování nástrojů založených na výkonnosti v příštím VFR, zejména s ohledem na program EU týkající se konkurenceschopnosti a zjednodušení;</w:t>
      </w:r>
    </w:p>
    <w:p w14:paraId="5A6EE4BE" w14:textId="77777777" w:rsidR="00567381" w:rsidRPr="00A931E9" w:rsidRDefault="00567381" w:rsidP="00567381">
      <w:pPr>
        <w:pStyle w:val="Normal12a24b"/>
      </w:pPr>
      <w:r w:rsidRPr="00A931E9">
        <w:rPr>
          <w:rStyle w:val="BoldItalic"/>
        </w:rPr>
        <w:t>Poučení do budoucna</w:t>
      </w:r>
    </w:p>
    <w:p w14:paraId="6B4A4295" w14:textId="77777777" w:rsidR="00567381" w:rsidRPr="00A931E9" w:rsidRDefault="00567381" w:rsidP="00567381">
      <w:pPr>
        <w:pStyle w:val="NormalHanging12a"/>
      </w:pPr>
      <w:r w:rsidRPr="00A931E9">
        <w:t>6</w:t>
      </w:r>
      <w:r w:rsidR="000E17F4">
        <w:t>5</w:t>
      </w:r>
      <w:r w:rsidRPr="00A931E9">
        <w:t>.</w:t>
      </w:r>
      <w:r w:rsidRPr="00A931E9">
        <w:tab/>
        <w:t>domnívá se, že kombinace reforem a investic se ukázala jako úspěšná, ale že je mezi nimi zapotřebí vytvořit jasnější vazbu; zdůrazňuje, že je důležité, aby bylo veškeré financování sladěno s cíli nástroje a vypláceno v souladu s pokrokem dosaženým při jejich plnění; trvá na tom, že úroveň ambicí národních plánů pro oživení a odolnost by neměla být snižována, ale měla by odpovídat harmonogramu nástroje RRF, aby se zajistilo jejich úspěšné naplňování;</w:t>
      </w:r>
    </w:p>
    <w:p w14:paraId="1AE94E1C" w14:textId="77777777" w:rsidR="00567381" w:rsidRPr="00A931E9" w:rsidRDefault="00567381" w:rsidP="00567381">
      <w:pPr>
        <w:pStyle w:val="NormalHanging12a"/>
      </w:pPr>
      <w:r w:rsidRPr="00A931E9">
        <w:t>6</w:t>
      </w:r>
      <w:r w:rsidR="000E17F4">
        <w:t>6</w:t>
      </w:r>
      <w:r w:rsidRPr="00A931E9">
        <w:t>.</w:t>
      </w:r>
      <w:r w:rsidRPr="00A931E9">
        <w:tab/>
        <w:t xml:space="preserve">je přesvědčen o tom, že posílení konkurenceschopnosti EU, dekarbonizace hospodářství EU a zvýšení jeho </w:t>
      </w:r>
      <w:proofErr w:type="spellStart"/>
      <w:r w:rsidRPr="00A931E9">
        <w:t>oběhovosti</w:t>
      </w:r>
      <w:proofErr w:type="spellEnd"/>
      <w:r w:rsidRPr="00A931E9">
        <w:t xml:space="preserve"> a účinného využívání zdrojů, jakož i řešení nedostatku dovedností, vytváření kvalitních pracovních míst a posílení inovační kapacity EU zůstane hlavní prioritou i v období po roce 2026, jak zdůrazňuje </w:t>
      </w:r>
      <w:proofErr w:type="spellStart"/>
      <w:r w:rsidRPr="00A931E9">
        <w:t>Draghiho</w:t>
      </w:r>
      <w:proofErr w:type="spellEnd"/>
      <w:r w:rsidRPr="00A931E9">
        <w:t xml:space="preserve"> zpráva; je znepokojen skutečností, že poté, co nástroj RRF přestane na konci roku 2026 fungovat, vznikne značná mezera ve financování, zejména pokud jde o veřejné investice do společných evropských priorit, neboť finanční zdroje z vnitrostátních rozpočtů se v jednotlivých členských státech velmi liší; zdůrazňuje, že poznatky získané z nástroje RRF je třeba uplatnit k lepšímu využití veřejných a soukromých investic, aby se odstranila mezera ve financování evropských cílů a transformace, kterou </w:t>
      </w:r>
      <w:proofErr w:type="spellStart"/>
      <w:r w:rsidRPr="00A931E9">
        <w:t>Draghiho</w:t>
      </w:r>
      <w:proofErr w:type="spellEnd"/>
      <w:r w:rsidRPr="00A931E9">
        <w:t xml:space="preserve"> zpráva odhaduje na více než 800 miliard EUR ročně, a aby se současně zajistilo plynulé pokračování investic do společných evropských statků;</w:t>
      </w:r>
    </w:p>
    <w:p w14:paraId="036644F1" w14:textId="77777777" w:rsidR="00567381" w:rsidRPr="00A931E9" w:rsidRDefault="00567381" w:rsidP="00567381">
      <w:pPr>
        <w:pStyle w:val="NormalHanging12a"/>
      </w:pPr>
      <w:r w:rsidRPr="00A931E9">
        <w:t>6</w:t>
      </w:r>
      <w:r w:rsidR="000E17F4">
        <w:t>7.</w:t>
      </w:r>
      <w:r w:rsidRPr="00A931E9">
        <w:tab/>
        <w:t xml:space="preserve">vítá větší využívání finančních nástrojů díky možnosti směrovat finanční prostředky z nástroje RRF do složky členských států v rámci Programu </w:t>
      </w:r>
      <w:proofErr w:type="spellStart"/>
      <w:r w:rsidRPr="00A931E9">
        <w:t>InvestEU</w:t>
      </w:r>
      <w:proofErr w:type="spellEnd"/>
      <w:r w:rsidRPr="00A931E9">
        <w:t>;</w:t>
      </w:r>
    </w:p>
    <w:p w14:paraId="056F90F2" w14:textId="77777777" w:rsidR="00567381" w:rsidRDefault="00567381" w:rsidP="00567381">
      <w:pPr>
        <w:pStyle w:val="NormalHanging12a"/>
      </w:pPr>
      <w:r w:rsidRPr="00A931E9">
        <w:t>6</w:t>
      </w:r>
      <w:r w:rsidR="000E17F4">
        <w:t>8</w:t>
      </w:r>
      <w:r w:rsidRPr="00A931E9">
        <w:t>.</w:t>
      </w:r>
      <w:r w:rsidRPr="00A931E9">
        <w:tab/>
        <w:t>naléhavě vyzývá Komisi, aby uplatnila získané zkušenosti a připomínky EÚD a aby zajistila, že budoucí nástroje založené na výkonnosti budou dobře zacílené a v souladu se záměrem financovat evropské veřejné statky a upřednostňovat řešení jasně definovaných strategických výzev, hospodářskou udržitelnost a konkurenceschopnost; požaduje, aby bylo zajištěno, že všechny budoucí nástroje budou koncipovány tak, aby neměřily pouze vstupy nebo krátkodobé výstupy a pokrok, ale rovněž výsledky z hlediska dlouhodobých dopadů podložených výstupy;</w:t>
      </w:r>
    </w:p>
    <w:p w14:paraId="24183AA7" w14:textId="77777777" w:rsidR="000E17F4" w:rsidRPr="00A931E9" w:rsidRDefault="000E17F4" w:rsidP="00567381">
      <w:pPr>
        <w:pStyle w:val="NormalHanging12a"/>
      </w:pPr>
      <w:r>
        <w:t>69</w:t>
      </w:r>
      <w:r w:rsidRPr="000E17F4">
        <w:t>.</w:t>
      </w:r>
      <w:r w:rsidRPr="000E17F4">
        <w:tab/>
        <w:t>konstatuje, že podle EÚD je nezbytné, aby budoucí nástroje založené na výkonnosti nebyly koncipovány a prováděny způsobem, který by poškozoval odpovědnost, a zejména aby byly v členských státech zavedeny vhodné kontrolní systémy, které budou před zahájením provádění kontrolovány Komisí; konstatuje, že by to znamenalo stanovení minimálních požadavků na kontroly prováděné členskými státy a kontroly prováděné Komisí;</w:t>
      </w:r>
    </w:p>
    <w:p w14:paraId="508EEEFC" w14:textId="77777777" w:rsidR="00567381" w:rsidRPr="00A931E9" w:rsidRDefault="000E17F4" w:rsidP="00567381">
      <w:pPr>
        <w:pStyle w:val="NormalHanging12a"/>
      </w:pPr>
      <w:r>
        <w:t>70</w:t>
      </w:r>
      <w:r w:rsidR="00567381" w:rsidRPr="00A931E9">
        <w:t>.</w:t>
      </w:r>
      <w:r w:rsidR="00567381" w:rsidRPr="00A931E9">
        <w:tab/>
        <w:t xml:space="preserve">vyzývá Komisi, aby provedla nezávislé hodnocení a podala zprávu o dopadu nástroje RRF na soukromé investice na souhrnné úrovni EU, zejména o jeho možném vytěsňovacím účinku na soukromé investice a o jeho určujících faktorech; dále vyzývá Komisi, aby provedla objektivní a jasné analýzy toho, jak provádění reforem a investic </w:t>
      </w:r>
      <w:r w:rsidR="00567381" w:rsidRPr="00A931E9">
        <w:lastRenderedPageBreak/>
        <w:t>v rámci národních plánů pro oživení a odolnost ovlivňuje ekonomiky jednotlivých členských států, přičemž se zvláště zaměří na inteligentní, udržitelný a inkluzivní růst; naléhavě vyzývá Komisi, aby při vypracovávání svých návrhů na příští programové období zohledňovala poznatky získané z těchto analýz a z připomínek EÚD k provádění nástroje RRF;</w:t>
      </w:r>
    </w:p>
    <w:p w14:paraId="16731CFB" w14:textId="77777777" w:rsidR="00567381" w:rsidRPr="00A931E9" w:rsidRDefault="000E17F4" w:rsidP="00567381">
      <w:pPr>
        <w:pStyle w:val="NormalHanging12a"/>
      </w:pPr>
      <w:r>
        <w:t>71</w:t>
      </w:r>
      <w:r w:rsidR="00567381" w:rsidRPr="00A931E9">
        <w:t>.</w:t>
      </w:r>
      <w:r w:rsidR="00567381" w:rsidRPr="00A931E9">
        <w:tab/>
        <w:t>zdůrazňuje, že všechny investice a reformy financované EU by měly být koordinovány a v souladu se strategickým plánováním na vnitrostátní úrovni a měly by se zaměřovat na projekty s jasnou evropskou přidanou hodnotou; zdůrazňuje, že je třeba stanovit výdajový cíl pro přeshraniční investice a investice prováděné ve více zemích; vyzývá Komisi, aby vypracovala důvěryhodnou metodiku pro posuzování přeshraničního rozměru a dopadu na více zemí u projektů financovaných EU;</w:t>
      </w:r>
    </w:p>
    <w:p w14:paraId="592B7E15" w14:textId="77777777" w:rsidR="00567381" w:rsidRPr="00A931E9" w:rsidRDefault="00567381" w:rsidP="00567381">
      <w:pPr>
        <w:pStyle w:val="NormalHanging12a"/>
      </w:pPr>
      <w:r w:rsidRPr="00A931E9">
        <w:t>7</w:t>
      </w:r>
      <w:r w:rsidR="000E17F4">
        <w:t>2</w:t>
      </w:r>
      <w:r w:rsidRPr="00A931E9">
        <w:t>.</w:t>
      </w:r>
      <w:r w:rsidRPr="00A931E9">
        <w:tab/>
        <w:t>zdůrazňuje, že smysluplný sociální a územní dialog s vysokou mírou zapojení místních a regionálních orgánů, sociálních partnerů, organizací občanské společnosti a vnitrostátních parlamentů v souladu s vnitrostátním právním rámcem má zásadní význam pro odpovědnost členských států, úspěšné provádění a demokratickou odpovědnost; vyjadřuje znepokojení nad nedostatečným zapojením všech relevantních zúčastněných stran do provádění iniciativ financovaných z nástroje RRF a dohledu nad nimi; zdůrazňuje zejména, že regiony a zastupitelstva obcí nemohou být pouhými příjemci rozhodnutí, aniž by jim bylo umožněno vyjádřit se k reformám a investicím, které skutečně přetvářejí jejich území;</w:t>
      </w:r>
    </w:p>
    <w:p w14:paraId="7490CE9B" w14:textId="77777777" w:rsidR="00567381" w:rsidRPr="00A931E9" w:rsidRDefault="00567381" w:rsidP="00567381">
      <w:pPr>
        <w:pStyle w:val="NormalHanging12a"/>
      </w:pPr>
      <w:r w:rsidRPr="00A931E9">
        <w:t>7</w:t>
      </w:r>
      <w:r w:rsidR="000E17F4">
        <w:t>3</w:t>
      </w:r>
      <w:r w:rsidRPr="00A931E9">
        <w:t>.</w:t>
      </w:r>
      <w:r w:rsidRPr="00A931E9">
        <w:tab/>
        <w:t>domnívá se, že je nezbytné, aby byly namísto uplatňování jednotného nebo univerzálního přístupu, který by mohl poškozovat méně rozvinuté regiony, přijaty diferencované strategie uznávající kulturní rozmanitost regionů a upevňující jejich hospodářskou a sociální soudržnost; vyzývá proto, aby byly posíleny a důsledněji využívány dialogy se zúčastněnými stranami, které by se mohly stát inspirací pro budoucí iniciativy a mechanismy v EU a jejích členských státech;</w:t>
      </w:r>
    </w:p>
    <w:p w14:paraId="72530E7C" w14:textId="77777777" w:rsidR="00567381" w:rsidRPr="00A931E9" w:rsidRDefault="00567381" w:rsidP="00567381">
      <w:pPr>
        <w:pStyle w:val="NormalHanging12a"/>
      </w:pPr>
      <w:r w:rsidRPr="00A931E9">
        <w:t>7</w:t>
      </w:r>
      <w:r w:rsidR="000E17F4">
        <w:t>4</w:t>
      </w:r>
      <w:r w:rsidRPr="00A931E9">
        <w:t>.</w:t>
      </w:r>
      <w:r w:rsidRPr="00A931E9">
        <w:tab/>
        <w:t>vyzdvihuje požadavek obsažený v nařízení o Nástroji pro oživení a odolnost, aby byly u projektů financovaných EU zveřejňovány informace o původu financování s cílem zajistit jejich přijetí evropskými občany;</w:t>
      </w:r>
    </w:p>
    <w:p w14:paraId="775FA6C0" w14:textId="77777777" w:rsidR="00567381" w:rsidRPr="00A931E9" w:rsidRDefault="00567381" w:rsidP="00567381">
      <w:pPr>
        <w:pStyle w:val="NormalHanging12a"/>
      </w:pPr>
      <w:r w:rsidRPr="00A931E9">
        <w:t>7</w:t>
      </w:r>
      <w:r w:rsidR="000E17F4">
        <w:t>5</w:t>
      </w:r>
      <w:r w:rsidRPr="00A931E9">
        <w:t>.</w:t>
      </w:r>
      <w:r w:rsidRPr="00A931E9">
        <w:tab/>
        <w:t>zdůrazňuje, že dialogy o oživení a odolnosti jsou významným nástrojem k posílení transparentnosti a odpovědnosti, jež jsou klíčové pro optimální provádění nástroje RRF;</w:t>
      </w:r>
    </w:p>
    <w:p w14:paraId="2B8D0FC2" w14:textId="77777777" w:rsidR="00567381" w:rsidRPr="00A931E9" w:rsidRDefault="00567381" w:rsidP="00567381">
      <w:pPr>
        <w:pStyle w:val="NormalHanging12a"/>
      </w:pPr>
      <w:r w:rsidRPr="00A931E9">
        <w:t>7</w:t>
      </w:r>
      <w:r w:rsidR="000E17F4">
        <w:t>6</w:t>
      </w:r>
      <w:r w:rsidRPr="00A931E9">
        <w:t>.</w:t>
      </w:r>
      <w:r w:rsidRPr="00A931E9">
        <w:tab/>
        <w:t>opakuje, že je třeba dále usilovat o zlepšení transparentnosti a sledovatelnosti využívání finančních prostředků EU; zdůrazňuje, že je nutné zajistit, aby byly k dispozici údaje, které jsou relevantní pro měření výkonnosti, a aby informace o výkonnosti byly prezentovány lépe a transparentněji; poukazuje také na to, že by měl být posílen mechanismus zpětné vazby, pokud jde o informace o výkonnosti a koncepci nebo pozměnění programu;</w:t>
      </w:r>
    </w:p>
    <w:p w14:paraId="5DA250A1" w14:textId="77777777" w:rsidR="00567381" w:rsidRPr="00A931E9" w:rsidRDefault="00567381" w:rsidP="00567381">
      <w:pPr>
        <w:pStyle w:val="NormalHanging12a"/>
      </w:pPr>
      <w:r w:rsidRPr="00A931E9">
        <w:t>7</w:t>
      </w:r>
      <w:r w:rsidR="000E17F4">
        <w:t>7</w:t>
      </w:r>
      <w:r w:rsidRPr="00A931E9">
        <w:t>.</w:t>
      </w:r>
      <w:r w:rsidRPr="00A931E9">
        <w:tab/>
        <w:t>domnívá se, že lepší odborná příprava a budování kapacit ve všech zúčastněných regionech a orgánech, zejména na vnitrostátní úrovni, mohly urychlit provádění nástroje RRF a umožnit prováděcím orgánům, aby se lépe přizpůsobily jeho povaze založené na výkonnosti; zastává názor, že Komise mohla členským státům více pomoci ve fázi plánování a poskytnout jim dříve prováděcí pokyny, zejména s cílem posílit jejich systémy auditu a kontroly a přeshraniční rozměr nástroje RRF;</w:t>
      </w:r>
    </w:p>
    <w:p w14:paraId="36FC1172" w14:textId="77777777" w:rsidR="00567381" w:rsidRPr="00A931E9" w:rsidRDefault="00567381" w:rsidP="00567381">
      <w:pPr>
        <w:pStyle w:val="NormalHanging12a"/>
      </w:pPr>
      <w:r w:rsidRPr="00A931E9">
        <w:lastRenderedPageBreak/>
        <w:t>7</w:t>
      </w:r>
      <w:r w:rsidR="000E17F4">
        <w:t>8</w:t>
      </w:r>
      <w:r w:rsidRPr="00A931E9">
        <w:t>.</w:t>
      </w:r>
      <w:r w:rsidRPr="00A931E9">
        <w:tab/>
        <w:t>zdůrazňuje, že je důležité zmírnit riziko dvojího financování; navrhuje, aby byl zaveden integrovaný a interoperabilní systém IT a vytěžování dat a aby byly vypracovány jasné normy pro datové soubory, které by se uplatňovaly ve všech členských státech, s cílem umožnit komplexní a automatizované sledování výdajů; požaduje lepší koordinační mechanismy, které jasně vymezí odpovědnost mezi orgány zapojenými do provádění různých unijních a vnitrostátních programů a současně se vyvarují zbytečné byrokratické složitosti a zajistí efektivní přidělování finančních prostředků; vybízí k integraci pokročilých nástrojů analýzy dat a umělé inteligence s cílem zlepšit sledování, hodnocení a vykazování výkonnosti, aby byla zmírněna manuální pracovní zátěž a zefektivněny vykazovací postupy; zdůrazňuje, že k tomuto pokroku může dojít pouze tehdy, existuje-li rovněž operativní podpora digitalizace správních orgánů;</w:t>
      </w:r>
    </w:p>
    <w:p w14:paraId="7F361DE6" w14:textId="77777777" w:rsidR="00567381" w:rsidRPr="00A931E9" w:rsidRDefault="00567381" w:rsidP="00567381">
      <w:pPr>
        <w:pStyle w:val="NormalHanging12a"/>
      </w:pPr>
      <w:r w:rsidRPr="00A931E9">
        <w:t>7</w:t>
      </w:r>
      <w:r w:rsidR="000E17F4">
        <w:t>9</w:t>
      </w:r>
      <w:r w:rsidRPr="00A931E9">
        <w:t>.</w:t>
      </w:r>
      <w:r w:rsidRPr="00A931E9">
        <w:tab/>
        <w:t>důrazně vyzývá Komisi a členské státy, aby zajistily, že jakýkoli druh financování EU, které není spojeno s náklady, nebo financování EU, které je založeno na výkonnosti, splňuje unijní a vnitrostátní předpisy, a v konečném důsledku chrání finanční zájmy EU; znovu připomíná odpovědnost Komise a členských států za zajištění legality a správnosti financování EU, jakož i dodržování zásad řádného finančního řízení;</w:t>
      </w:r>
    </w:p>
    <w:p w14:paraId="5A25F870" w14:textId="77777777" w:rsidR="00567381" w:rsidRPr="00A931E9" w:rsidRDefault="000E17F4" w:rsidP="00567381">
      <w:pPr>
        <w:pStyle w:val="NormalHanging12a"/>
      </w:pPr>
      <w:r>
        <w:t>80</w:t>
      </w:r>
      <w:r w:rsidR="00567381" w:rsidRPr="00A931E9">
        <w:t>.</w:t>
      </w:r>
      <w:r w:rsidR="00567381" w:rsidRPr="00A931E9">
        <w:tab/>
        <w:t>domnívá se, že by měla být dále posílena úloha Parlamentu při monitorování nástroje RRF;</w:t>
      </w:r>
    </w:p>
    <w:p w14:paraId="7DB8D280" w14:textId="77777777" w:rsidR="00567381" w:rsidRPr="00A931E9" w:rsidRDefault="000E17F4" w:rsidP="00567381">
      <w:pPr>
        <w:pStyle w:val="NormalHanging12a"/>
      </w:pPr>
      <w:r>
        <w:t>81</w:t>
      </w:r>
      <w:r w:rsidR="00567381" w:rsidRPr="00A931E9">
        <w:t>.</w:t>
      </w:r>
      <w:r w:rsidR="00567381" w:rsidRPr="00A931E9">
        <w:tab/>
        <w:t>požaduje, aby budoucí nástroje založené na výkonnosti měly jednotnou auditní stopu, která umožní sledování rozpočtových příspěvků na financované projekty; zdůrazňuje, že je zapotřebí provádět audity na úrovni projektů, aby se zmírnilo riziko poškození dobré pověsti v očích široké veřejnosti a usnadnilo se zpětné získávání finančních prostředků v případě zrušení opatření; zdůrazňuje, že je třeba zmírnit administrativní překážky a zátěž;</w:t>
      </w:r>
    </w:p>
    <w:p w14:paraId="36707555" w14:textId="77777777" w:rsidR="00567381" w:rsidRPr="00A931E9" w:rsidRDefault="00567381" w:rsidP="00567381">
      <w:pPr>
        <w:pStyle w:val="NormalHanging12a"/>
      </w:pPr>
      <w:r w:rsidRPr="00A931E9">
        <w:t>8</w:t>
      </w:r>
      <w:r w:rsidR="000E17F4">
        <w:t>2</w:t>
      </w:r>
      <w:r w:rsidRPr="00A931E9">
        <w:t>.</w:t>
      </w:r>
      <w:r w:rsidRPr="00A931E9">
        <w:tab/>
        <w:t>požaduje, aby u veškerých budoucích programů založených na výkonnosti existovaly jasnější vazby mezi milníky a cíli a skutečně realizovanými projekty; zdůrazňuje, že mezi plněním milníků a realizací projektů by mělo uplynout méně času;</w:t>
      </w:r>
    </w:p>
    <w:p w14:paraId="13520909" w14:textId="77777777" w:rsidR="00567381" w:rsidRPr="00A931E9" w:rsidRDefault="00567381" w:rsidP="00567381">
      <w:pPr>
        <w:pStyle w:val="NormalHanging12a"/>
      </w:pPr>
      <w:r w:rsidRPr="00A931E9">
        <w:t>8</w:t>
      </w:r>
      <w:r w:rsidR="000E17F4">
        <w:t>3</w:t>
      </w:r>
      <w:r w:rsidRPr="00A931E9">
        <w:t>.</w:t>
      </w:r>
      <w:r w:rsidRPr="00A931E9">
        <w:tab/>
        <w:t>opakuje svou výzvu k vytvoření otevřené platformy, která by obsahovala údaje o všech projektech, konečných příjemcích a regionálním rozdělení finančních prostředků, čímž by se usnadnil audit a demokratický dohled;</w:t>
      </w:r>
    </w:p>
    <w:p w14:paraId="4D3158DD" w14:textId="77777777" w:rsidR="00567381" w:rsidRPr="00A931E9" w:rsidRDefault="00567381" w:rsidP="00567381">
      <w:pPr>
        <w:pStyle w:val="NormalHanging12a"/>
      </w:pPr>
      <w:r w:rsidRPr="00A931E9">
        <w:t>8</w:t>
      </w:r>
      <w:r w:rsidR="000E17F4">
        <w:t>4</w:t>
      </w:r>
      <w:r w:rsidRPr="00A931E9">
        <w:t>.</w:t>
      </w:r>
      <w:r w:rsidRPr="00A931E9">
        <w:tab/>
        <w:t>zdůrazňuje, že veškerá případná budoucí rozpočtová rozhodnutí o půjčkách EU by měla respektovat jednotnost rozpočtu a úlohu Parlamentu jako součásti rozpočtového orgánu; poukazuje na rizika překročení nákladů na splácení dluhu vyplývající mimo jiné z kolísavých úrokových sazeb; považuje za důležité zajistit, aby byly od počátku k dispozici dostatečné finanční prostředky na pokrytí těchto nákladů, aniž by to šlo na úkor jiných programů nebo politických priorit;</w:t>
      </w:r>
    </w:p>
    <w:p w14:paraId="792AF1C5" w14:textId="77777777" w:rsidR="00567381" w:rsidRPr="00A931E9" w:rsidRDefault="00567381" w:rsidP="00567381">
      <w:pPr>
        <w:pStyle w:val="NormalHanging12a"/>
      </w:pPr>
      <w:r w:rsidRPr="00A931E9">
        <w:t>8</w:t>
      </w:r>
      <w:r w:rsidR="000E17F4">
        <w:t>5</w:t>
      </w:r>
      <w:r w:rsidRPr="00A931E9">
        <w:t>.</w:t>
      </w:r>
      <w:r w:rsidRPr="00A931E9">
        <w:tab/>
        <w:t>vyzývá Komisi a členské státy, aby pečlivě posoudily nástroje, jako je nástroj RRF, a poučily se z nich s cílem maximalizovat efektivitu a dopad financování, investic a reforem EU, zjednodušit politické cíle, zlepšit spolupráci orgánů a zúčastněných stran na vnitrostátní i evropské úrovni a zvýšit odpovědnost členských států;</w:t>
      </w:r>
    </w:p>
    <w:p w14:paraId="7F8A0A73" w14:textId="77777777" w:rsidR="00567381" w:rsidRDefault="00567381" w:rsidP="00567381">
      <w:pPr>
        <w:pStyle w:val="NormalHanging12a"/>
      </w:pPr>
      <w:r w:rsidRPr="00A931E9">
        <w:t>8</w:t>
      </w:r>
      <w:r w:rsidR="000E17F4">
        <w:t>6</w:t>
      </w:r>
      <w:r w:rsidRPr="00A931E9">
        <w:t>.</w:t>
      </w:r>
      <w:r w:rsidRPr="00A931E9">
        <w:tab/>
        <w:t xml:space="preserve">bere na vědomí deklarovaný záměr Komise využít zkušeností s uplatňováním nástroje RRF při vypracovávání návrhů programů financování EU na období po roce 2027, které mají být předloženy později v tomto roce; je si vědom toho, že nezávislé hodnocení </w:t>
      </w:r>
      <w:r w:rsidRPr="00A931E9">
        <w:rPr>
          <w:rStyle w:val="Italic"/>
        </w:rPr>
        <w:t xml:space="preserve">ex </w:t>
      </w:r>
      <w:r w:rsidRPr="00A931E9">
        <w:rPr>
          <w:rStyle w:val="Italic"/>
        </w:rPr>
        <w:lastRenderedPageBreak/>
        <w:t>post</w:t>
      </w:r>
      <w:r w:rsidRPr="00A931E9">
        <w:t xml:space="preserve"> bude provedeno příliš pozdě na to, aby se promítlo do procesu předcházejícího příštímu programovému období, očekává však, že Komise a </w:t>
      </w:r>
      <w:proofErr w:type="spellStart"/>
      <w:r w:rsidRPr="00A931E9">
        <w:t>spolunormotvůrci</w:t>
      </w:r>
      <w:proofErr w:type="spellEnd"/>
      <w:r w:rsidRPr="00A931E9">
        <w:t xml:space="preserve"> náležitě zohlední zkušenosti získané s uplatňováním nástroje RRF a doporučení příslušných zúčastněných stran, zejména místních a regionálních orgánů, organizací občanské společnosti a sociálních partnerů; domnívá se, že s ohledem na budoucí hospodářskou odolnost, o kterou EU usiluje, je rovněž nutné dále mobilizovat soukromé investice, posílit kapitálové trhy a zajistit, aby veřejné výdaje zůstaly fiskálně odpovědné a strategicky zaměřené na posílení odolnosti a suverenity EU ve stále konfliktnějším geopolitickém kontextu;</w:t>
      </w:r>
    </w:p>
    <w:p w14:paraId="6DBFCF97" w14:textId="77777777" w:rsidR="00766B6E" w:rsidRDefault="00766B6E" w:rsidP="00766B6E">
      <w:pPr>
        <w:pStyle w:val="NormalHanging12a"/>
        <w:ind w:left="0" w:firstLine="0"/>
        <w:jc w:val="center"/>
      </w:pPr>
      <w:r>
        <w:t>°</w:t>
      </w:r>
    </w:p>
    <w:p w14:paraId="728BD0C2" w14:textId="77777777" w:rsidR="00766B6E" w:rsidRDefault="00766B6E" w:rsidP="00766B6E">
      <w:pPr>
        <w:pStyle w:val="NormalHanging12a"/>
        <w:ind w:left="0" w:firstLine="0"/>
        <w:jc w:val="center"/>
      </w:pPr>
      <w:r>
        <w:t>°     °</w:t>
      </w:r>
    </w:p>
    <w:p w14:paraId="78D49AE2" w14:textId="77777777" w:rsidR="00A931E9" w:rsidRPr="00A931E9" w:rsidRDefault="00567381" w:rsidP="00A931E9">
      <w:pPr>
        <w:pStyle w:val="NormalHanging12a"/>
      </w:pPr>
      <w:r w:rsidRPr="00A931E9">
        <w:t>8</w:t>
      </w:r>
      <w:r w:rsidR="000E17F4">
        <w:t>7</w:t>
      </w:r>
      <w:r w:rsidRPr="00A931E9">
        <w:t>.</w:t>
      </w:r>
      <w:r w:rsidRPr="00A931E9">
        <w:tab/>
        <w:t>pověřuje svou předsedkyni, aby předala toto usnesení Radě, Komisi a vládám a parlamentům členských států.</w:t>
      </w:r>
    </w:p>
    <w:sectPr w:rsidR="00A931E9" w:rsidRPr="00A931E9" w:rsidSect="00A931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CF5F5" w14:textId="77777777" w:rsidR="006F6460" w:rsidRPr="00A931E9" w:rsidRDefault="006F6460">
      <w:r w:rsidRPr="00A931E9">
        <w:separator/>
      </w:r>
    </w:p>
  </w:endnote>
  <w:endnote w:type="continuationSeparator" w:id="0">
    <w:p w14:paraId="0AF1B7D8" w14:textId="77777777" w:rsidR="006F6460" w:rsidRPr="00A931E9" w:rsidRDefault="006F6460">
      <w:r w:rsidRPr="00A931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36148" w14:textId="77777777" w:rsidR="00064002" w:rsidRPr="00A931E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9BD60" w14:textId="77777777" w:rsidR="00064002" w:rsidRPr="00A931E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34A04" w14:textId="77777777" w:rsidR="00064002" w:rsidRPr="00A931E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C5C79" w14:textId="77777777" w:rsidR="006F6460" w:rsidRPr="00A931E9" w:rsidRDefault="006F6460">
      <w:r w:rsidRPr="00A931E9">
        <w:separator/>
      </w:r>
    </w:p>
  </w:footnote>
  <w:footnote w:type="continuationSeparator" w:id="0">
    <w:p w14:paraId="37C35573" w14:textId="77777777" w:rsidR="006F6460" w:rsidRPr="00A931E9" w:rsidRDefault="006F6460">
      <w:r w:rsidRPr="00A931E9">
        <w:continuationSeparator/>
      </w:r>
    </w:p>
  </w:footnote>
  <w:footnote w:id="1">
    <w:p w14:paraId="30D771AD" w14:textId="77777777" w:rsidR="00567381" w:rsidRPr="002C4166" w:rsidRDefault="00567381" w:rsidP="00A931E9">
      <w:pPr>
        <w:pStyle w:val="FootnoteText"/>
        <w:ind w:left="567" w:hanging="567"/>
        <w:rPr>
          <w:sz w:val="24"/>
          <w:szCs w:val="24"/>
          <w:lang w:val="cs-CZ"/>
        </w:rPr>
      </w:pPr>
      <w:r w:rsidRPr="002C4166">
        <w:rPr>
          <w:rStyle w:val="FootnoteReference"/>
          <w:sz w:val="24"/>
          <w:szCs w:val="24"/>
          <w:lang w:val="cs-CZ"/>
        </w:rPr>
        <w:footnoteRef/>
      </w:r>
      <w:r w:rsidR="00A931E9" w:rsidRPr="002C4166">
        <w:rPr>
          <w:sz w:val="24"/>
          <w:szCs w:val="24"/>
          <w:lang w:val="cs-CZ"/>
        </w:rPr>
        <w:t xml:space="preserve"> </w:t>
      </w:r>
      <w:r w:rsidR="00A931E9" w:rsidRPr="002C4166">
        <w:rPr>
          <w:sz w:val="24"/>
          <w:szCs w:val="24"/>
          <w:lang w:val="cs-CZ"/>
        </w:rPr>
        <w:tab/>
      </w:r>
      <w:proofErr w:type="spellStart"/>
      <w:r w:rsidRPr="002C4166">
        <w:rPr>
          <w:sz w:val="24"/>
          <w:szCs w:val="24"/>
          <w:lang w:val="cs-CZ"/>
        </w:rPr>
        <w:t>Úř</w:t>
      </w:r>
      <w:proofErr w:type="spellEnd"/>
      <w:r w:rsidRPr="002C4166">
        <w:rPr>
          <w:sz w:val="24"/>
          <w:szCs w:val="24"/>
          <w:lang w:val="cs-CZ"/>
        </w:rPr>
        <w:t xml:space="preserve">. </w:t>
      </w:r>
      <w:proofErr w:type="spellStart"/>
      <w:r w:rsidRPr="002C4166">
        <w:rPr>
          <w:sz w:val="24"/>
          <w:szCs w:val="24"/>
          <w:lang w:val="cs-CZ"/>
        </w:rPr>
        <w:t>věst</w:t>
      </w:r>
      <w:proofErr w:type="spellEnd"/>
      <w:r w:rsidRPr="002C4166">
        <w:rPr>
          <w:sz w:val="24"/>
          <w:szCs w:val="24"/>
          <w:lang w:val="cs-CZ"/>
        </w:rPr>
        <w:t xml:space="preserve">. L 57, 18.2.2021, s. 17, ELI: </w:t>
      </w:r>
      <w:hyperlink r:id="rId1" w:history="1">
        <w:r w:rsidRPr="002C4166">
          <w:rPr>
            <w:rStyle w:val="Hyperlink"/>
            <w:sz w:val="24"/>
            <w:szCs w:val="24"/>
            <w:lang w:val="cs-CZ"/>
          </w:rPr>
          <w:t>http://data.europa.eu/eli/reg/2021/241/oj</w:t>
        </w:r>
      </w:hyperlink>
      <w:r w:rsidRPr="002C4166">
        <w:rPr>
          <w:sz w:val="24"/>
          <w:szCs w:val="24"/>
          <w:lang w:val="cs-CZ"/>
        </w:rPr>
        <w:t>.</w:t>
      </w:r>
    </w:p>
  </w:footnote>
  <w:footnote w:id="2">
    <w:p w14:paraId="5430C706" w14:textId="77777777" w:rsidR="00567381" w:rsidRPr="002C4166" w:rsidRDefault="00567381" w:rsidP="00A931E9">
      <w:pPr>
        <w:pStyle w:val="FootnoteText"/>
        <w:ind w:left="567" w:hanging="567"/>
        <w:rPr>
          <w:sz w:val="24"/>
          <w:szCs w:val="24"/>
          <w:lang w:val="cs-CZ"/>
        </w:rPr>
      </w:pPr>
      <w:r w:rsidRPr="002C4166">
        <w:rPr>
          <w:rStyle w:val="FootnoteReference"/>
          <w:sz w:val="24"/>
          <w:szCs w:val="24"/>
          <w:lang w:val="cs-CZ"/>
        </w:rPr>
        <w:footnoteRef/>
      </w:r>
      <w:r w:rsidR="00A931E9" w:rsidRPr="002C4166">
        <w:rPr>
          <w:sz w:val="24"/>
          <w:szCs w:val="24"/>
          <w:lang w:val="cs-CZ"/>
        </w:rPr>
        <w:t xml:space="preserve"> </w:t>
      </w:r>
      <w:r w:rsidR="00A931E9" w:rsidRPr="002C4166">
        <w:rPr>
          <w:sz w:val="24"/>
          <w:szCs w:val="24"/>
          <w:lang w:val="cs-CZ"/>
        </w:rPr>
        <w:tab/>
      </w:r>
      <w:proofErr w:type="spellStart"/>
      <w:r w:rsidRPr="002C4166">
        <w:rPr>
          <w:sz w:val="24"/>
          <w:szCs w:val="24"/>
          <w:lang w:val="cs-CZ"/>
        </w:rPr>
        <w:t>Úř</w:t>
      </w:r>
      <w:proofErr w:type="spellEnd"/>
      <w:r w:rsidRPr="002C4166">
        <w:rPr>
          <w:sz w:val="24"/>
          <w:szCs w:val="24"/>
          <w:lang w:val="cs-CZ"/>
        </w:rPr>
        <w:t xml:space="preserve">. </w:t>
      </w:r>
      <w:proofErr w:type="spellStart"/>
      <w:r w:rsidRPr="002C4166">
        <w:rPr>
          <w:sz w:val="24"/>
          <w:szCs w:val="24"/>
          <w:lang w:val="cs-CZ"/>
        </w:rPr>
        <w:t>věst</w:t>
      </w:r>
      <w:proofErr w:type="spellEnd"/>
      <w:r w:rsidRPr="002C4166">
        <w:rPr>
          <w:sz w:val="24"/>
          <w:szCs w:val="24"/>
          <w:lang w:val="cs-CZ"/>
        </w:rPr>
        <w:t xml:space="preserve">. L 63, 28.2.2023, s. 1, ELI: </w:t>
      </w:r>
      <w:hyperlink r:id="rId2" w:history="1">
        <w:r w:rsidRPr="002C4166">
          <w:rPr>
            <w:rStyle w:val="Hyperlink"/>
            <w:sz w:val="24"/>
            <w:szCs w:val="24"/>
            <w:lang w:val="cs-CZ"/>
          </w:rPr>
          <w:t>http://data.europa.eu/eli/reg/2023/435/oj</w:t>
        </w:r>
      </w:hyperlink>
      <w:r w:rsidRPr="002C4166">
        <w:rPr>
          <w:sz w:val="24"/>
          <w:szCs w:val="24"/>
          <w:lang w:val="cs-CZ"/>
        </w:rPr>
        <w:t>.</w:t>
      </w:r>
    </w:p>
  </w:footnote>
  <w:footnote w:id="3">
    <w:p w14:paraId="6E500E77" w14:textId="77777777" w:rsidR="00567381" w:rsidRPr="002C4166" w:rsidRDefault="00567381" w:rsidP="00A931E9">
      <w:pPr>
        <w:pStyle w:val="FootnoteText"/>
        <w:ind w:left="567" w:hanging="567"/>
        <w:rPr>
          <w:sz w:val="24"/>
          <w:szCs w:val="24"/>
          <w:lang w:val="cs-CZ"/>
        </w:rPr>
      </w:pPr>
      <w:r w:rsidRPr="002C4166">
        <w:rPr>
          <w:rStyle w:val="FootnoteReference"/>
          <w:sz w:val="24"/>
          <w:szCs w:val="24"/>
          <w:lang w:val="cs-CZ"/>
        </w:rPr>
        <w:footnoteRef/>
      </w:r>
      <w:r w:rsidR="00A931E9" w:rsidRPr="002C4166">
        <w:rPr>
          <w:sz w:val="24"/>
          <w:szCs w:val="24"/>
          <w:lang w:val="cs-CZ"/>
        </w:rPr>
        <w:t xml:space="preserve"> </w:t>
      </w:r>
      <w:r w:rsidR="00A931E9" w:rsidRPr="002C4166">
        <w:rPr>
          <w:sz w:val="24"/>
          <w:szCs w:val="24"/>
          <w:lang w:val="cs-CZ"/>
        </w:rPr>
        <w:tab/>
      </w:r>
      <w:proofErr w:type="spellStart"/>
      <w:r w:rsidRPr="002C4166">
        <w:rPr>
          <w:sz w:val="24"/>
          <w:szCs w:val="24"/>
          <w:lang w:val="cs-CZ"/>
        </w:rPr>
        <w:t>Úř</w:t>
      </w:r>
      <w:proofErr w:type="spellEnd"/>
      <w:r w:rsidRPr="002C4166">
        <w:rPr>
          <w:sz w:val="24"/>
          <w:szCs w:val="24"/>
          <w:lang w:val="cs-CZ"/>
        </w:rPr>
        <w:t>. věst. L 433</w:t>
      </w:r>
      <w:r w:rsidR="00A522C1" w:rsidRPr="002C4166">
        <w:rPr>
          <w:sz w:val="24"/>
          <w:szCs w:val="24"/>
          <w:lang w:val="cs-CZ"/>
        </w:rPr>
        <w:t xml:space="preserve"> </w:t>
      </w:r>
      <w:r w:rsidRPr="002C4166">
        <w:rPr>
          <w:sz w:val="24"/>
          <w:szCs w:val="24"/>
          <w:lang w:val="cs-CZ"/>
        </w:rPr>
        <w:t xml:space="preserve">I, 22.12.2020, s. 1, ELI: </w:t>
      </w:r>
      <w:hyperlink r:id="rId3" w:history="1">
        <w:r w:rsidRPr="002C4166">
          <w:rPr>
            <w:rStyle w:val="Hyperlink"/>
            <w:sz w:val="24"/>
            <w:szCs w:val="24"/>
            <w:lang w:val="cs-CZ"/>
          </w:rPr>
          <w:t>http://data.europa.eu/eli/reg/2020/2092/oj</w:t>
        </w:r>
      </w:hyperlink>
      <w:r w:rsidRPr="002C4166">
        <w:rPr>
          <w:sz w:val="24"/>
          <w:szCs w:val="24"/>
          <w:lang w:val="cs-CZ"/>
        </w:rPr>
        <w:t>.</w:t>
      </w:r>
    </w:p>
  </w:footnote>
  <w:footnote w:id="4">
    <w:p w14:paraId="1047CA8B" w14:textId="174BC893" w:rsidR="00567381" w:rsidRPr="002C4166" w:rsidRDefault="00567381" w:rsidP="00A931E9">
      <w:pPr>
        <w:pStyle w:val="FootnoteText"/>
        <w:ind w:left="567" w:hanging="567"/>
        <w:rPr>
          <w:sz w:val="24"/>
          <w:szCs w:val="24"/>
          <w:lang w:val="cs-CZ"/>
        </w:rPr>
      </w:pPr>
      <w:r w:rsidRPr="002C4166">
        <w:rPr>
          <w:rStyle w:val="FootnoteReference"/>
          <w:sz w:val="24"/>
          <w:szCs w:val="24"/>
          <w:lang w:val="cs-CZ"/>
        </w:rPr>
        <w:footnoteRef/>
      </w:r>
      <w:r w:rsidR="00A931E9" w:rsidRPr="002C4166">
        <w:rPr>
          <w:sz w:val="24"/>
          <w:szCs w:val="24"/>
          <w:lang w:val="cs-CZ"/>
        </w:rPr>
        <w:t xml:space="preserve"> </w:t>
      </w:r>
      <w:r w:rsidR="00A931E9" w:rsidRPr="002C4166">
        <w:rPr>
          <w:sz w:val="24"/>
          <w:szCs w:val="24"/>
          <w:lang w:val="cs-CZ"/>
        </w:rPr>
        <w:tab/>
      </w:r>
      <w:r w:rsidR="008C0A57">
        <w:rPr>
          <w:sz w:val="24"/>
          <w:szCs w:val="24"/>
          <w:lang w:val="cs-CZ"/>
        </w:rPr>
        <w:t xml:space="preserve">Úř. věst. </w:t>
      </w:r>
      <w:r w:rsidR="008C0A57">
        <w:rPr>
          <w:sz w:val="24"/>
          <w:szCs w:val="24"/>
          <w:lang w:val="cs-CZ"/>
        </w:rPr>
        <w:t>L</w:t>
      </w:r>
      <w:r w:rsidR="00FD63EF">
        <w:rPr>
          <w:sz w:val="24"/>
          <w:szCs w:val="24"/>
          <w:lang w:val="bg-BG"/>
        </w:rPr>
        <w:t>,</w:t>
      </w:r>
      <w:r w:rsidRPr="002C4166">
        <w:rPr>
          <w:sz w:val="24"/>
          <w:szCs w:val="24"/>
          <w:lang w:val="cs-CZ"/>
        </w:rPr>
        <w:t xml:space="preserve"> 2024/765, 29.2.2024, ELI: </w:t>
      </w:r>
      <w:hyperlink r:id="rId4" w:history="1">
        <w:r w:rsidRPr="002C4166">
          <w:rPr>
            <w:rStyle w:val="Hyperlink"/>
            <w:sz w:val="24"/>
            <w:szCs w:val="24"/>
            <w:lang w:val="cs-CZ"/>
          </w:rPr>
          <w:t>http://data.europa.eu/eli/reg/2024/765/oj</w:t>
        </w:r>
      </w:hyperlink>
      <w:r w:rsidRPr="002C4166">
        <w:rPr>
          <w:sz w:val="24"/>
          <w:szCs w:val="24"/>
          <w:lang w:val="cs-CZ"/>
        </w:rPr>
        <w:t>.</w:t>
      </w:r>
    </w:p>
  </w:footnote>
  <w:footnote w:id="5">
    <w:p w14:paraId="2D31EBC6" w14:textId="04EA550F" w:rsidR="00567381" w:rsidRPr="002C4166" w:rsidRDefault="00567381" w:rsidP="00A931E9">
      <w:pPr>
        <w:pStyle w:val="FootnoteText"/>
        <w:ind w:left="567" w:hanging="567"/>
        <w:rPr>
          <w:sz w:val="24"/>
          <w:szCs w:val="24"/>
          <w:lang w:val="cs-CZ"/>
        </w:rPr>
      </w:pPr>
      <w:r w:rsidRPr="002C4166">
        <w:rPr>
          <w:rStyle w:val="FootnoteReference"/>
          <w:sz w:val="24"/>
          <w:szCs w:val="24"/>
          <w:lang w:val="cs-CZ"/>
        </w:rPr>
        <w:footnoteRef/>
      </w:r>
      <w:r w:rsidR="00A931E9" w:rsidRPr="002C4166">
        <w:rPr>
          <w:sz w:val="24"/>
          <w:szCs w:val="24"/>
          <w:lang w:val="cs-CZ"/>
        </w:rPr>
        <w:t xml:space="preserve"> </w:t>
      </w:r>
      <w:r w:rsidR="00A931E9" w:rsidRPr="002C4166">
        <w:rPr>
          <w:sz w:val="24"/>
          <w:szCs w:val="24"/>
          <w:lang w:val="cs-CZ"/>
        </w:rPr>
        <w:tab/>
      </w:r>
      <w:r w:rsidR="008C0A57">
        <w:rPr>
          <w:sz w:val="24"/>
          <w:szCs w:val="24"/>
          <w:lang w:val="cs-CZ"/>
        </w:rPr>
        <w:t>Úř. věst. L</w:t>
      </w:r>
      <w:r w:rsidRPr="002C4166">
        <w:rPr>
          <w:sz w:val="24"/>
          <w:szCs w:val="24"/>
          <w:lang w:val="cs-CZ"/>
        </w:rPr>
        <w:t xml:space="preserve"> 433 I, 22.12.2020, s. 28.</w:t>
      </w:r>
    </w:p>
  </w:footnote>
  <w:footnote w:id="6">
    <w:p w14:paraId="6F2EC406" w14:textId="77777777" w:rsidR="00567381" w:rsidRPr="002C4166" w:rsidRDefault="00567381" w:rsidP="00A931E9">
      <w:pPr>
        <w:pStyle w:val="FootnoteText"/>
        <w:ind w:left="567" w:hanging="567"/>
        <w:rPr>
          <w:sz w:val="24"/>
          <w:szCs w:val="24"/>
          <w:lang w:val="cs-CZ"/>
        </w:rPr>
      </w:pPr>
      <w:r w:rsidRPr="002C4166">
        <w:rPr>
          <w:rStyle w:val="FootnoteReference"/>
          <w:sz w:val="24"/>
          <w:szCs w:val="24"/>
          <w:lang w:val="cs-CZ"/>
        </w:rPr>
        <w:footnoteRef/>
      </w:r>
      <w:r w:rsidR="00A931E9" w:rsidRPr="002C4166">
        <w:rPr>
          <w:sz w:val="24"/>
          <w:szCs w:val="24"/>
          <w:lang w:val="cs-CZ"/>
        </w:rPr>
        <w:t xml:space="preserve"> </w:t>
      </w:r>
      <w:r w:rsidR="00A931E9" w:rsidRPr="002C4166">
        <w:rPr>
          <w:sz w:val="24"/>
          <w:szCs w:val="24"/>
          <w:lang w:val="cs-CZ"/>
        </w:rPr>
        <w:tab/>
      </w:r>
      <w:r w:rsidRPr="002C4166">
        <w:rPr>
          <w:sz w:val="24"/>
          <w:szCs w:val="24"/>
          <w:lang w:val="cs-CZ"/>
        </w:rPr>
        <w:t xml:space="preserve">Úř. věst. L, 2024/2509, 26.9.2024, ELI: </w:t>
      </w:r>
      <w:hyperlink r:id="rId5" w:history="1">
        <w:r w:rsidRPr="002C4166">
          <w:rPr>
            <w:rStyle w:val="Hyperlink"/>
            <w:sz w:val="24"/>
            <w:szCs w:val="24"/>
            <w:lang w:val="cs-CZ"/>
          </w:rPr>
          <w:t>http://data.europa.eu/eli/reg/2024/2509/oj</w:t>
        </w:r>
      </w:hyperlink>
      <w:r w:rsidRPr="002C4166">
        <w:rPr>
          <w:sz w:val="24"/>
          <w:szCs w:val="24"/>
          <w:lang w:val="cs-CZ"/>
        </w:rPr>
        <w:t>.</w:t>
      </w:r>
    </w:p>
  </w:footnote>
  <w:footnote w:id="7">
    <w:p w14:paraId="702303C0" w14:textId="77777777" w:rsidR="00567381" w:rsidRPr="002C4166" w:rsidRDefault="00567381" w:rsidP="00A931E9">
      <w:pPr>
        <w:pStyle w:val="FootnoteText"/>
        <w:ind w:left="567" w:hanging="567"/>
        <w:rPr>
          <w:sz w:val="24"/>
          <w:szCs w:val="24"/>
          <w:lang w:val="cs-CZ"/>
        </w:rPr>
      </w:pPr>
      <w:r w:rsidRPr="002C4166">
        <w:rPr>
          <w:rStyle w:val="FootnoteReference"/>
          <w:sz w:val="24"/>
          <w:szCs w:val="24"/>
          <w:lang w:val="cs-CZ"/>
        </w:rPr>
        <w:footnoteRef/>
      </w:r>
      <w:r w:rsidR="00A931E9" w:rsidRPr="002C4166">
        <w:rPr>
          <w:sz w:val="24"/>
          <w:szCs w:val="24"/>
          <w:lang w:val="cs-CZ"/>
        </w:rPr>
        <w:t xml:space="preserve"> </w:t>
      </w:r>
      <w:r w:rsidR="00A931E9" w:rsidRPr="002C4166">
        <w:rPr>
          <w:sz w:val="24"/>
          <w:szCs w:val="24"/>
          <w:lang w:val="cs-CZ"/>
        </w:rPr>
        <w:tab/>
      </w:r>
      <w:r w:rsidRPr="002C4166">
        <w:rPr>
          <w:sz w:val="24"/>
          <w:szCs w:val="24"/>
          <w:lang w:val="cs-CZ"/>
        </w:rPr>
        <w:t xml:space="preserve">Úř. věst. L, 2024/795, 29.2.2024, ELI: </w:t>
      </w:r>
      <w:hyperlink r:id="rId6" w:history="1">
        <w:r w:rsidRPr="002C4166">
          <w:rPr>
            <w:rStyle w:val="Hyperlink"/>
            <w:sz w:val="24"/>
            <w:szCs w:val="24"/>
            <w:lang w:val="cs-CZ"/>
          </w:rPr>
          <w:t>http://data.europa.eu/eli/reg/2024/795/oj</w:t>
        </w:r>
      </w:hyperlink>
      <w:r w:rsidRPr="002C4166">
        <w:rPr>
          <w:sz w:val="24"/>
          <w:szCs w:val="24"/>
          <w:lang w:val="cs-CZ"/>
        </w:rPr>
        <w:t>.</w:t>
      </w:r>
    </w:p>
  </w:footnote>
  <w:footnote w:id="8">
    <w:p w14:paraId="0A53DA69" w14:textId="77777777" w:rsidR="00567381" w:rsidRPr="002C4166" w:rsidRDefault="00567381" w:rsidP="00A931E9">
      <w:pPr>
        <w:pStyle w:val="FootnoteText"/>
        <w:ind w:left="567" w:hanging="567"/>
        <w:rPr>
          <w:sz w:val="24"/>
          <w:szCs w:val="24"/>
          <w:lang w:val="cs-CZ"/>
        </w:rPr>
      </w:pPr>
      <w:r w:rsidRPr="002C4166">
        <w:rPr>
          <w:rStyle w:val="FootnoteReference"/>
          <w:sz w:val="24"/>
          <w:szCs w:val="24"/>
          <w:lang w:val="cs-CZ"/>
        </w:rPr>
        <w:footnoteRef/>
      </w:r>
      <w:r w:rsidR="00A931E9" w:rsidRPr="002C4166">
        <w:rPr>
          <w:sz w:val="24"/>
          <w:szCs w:val="24"/>
          <w:lang w:val="cs-CZ"/>
        </w:rPr>
        <w:t xml:space="preserve"> </w:t>
      </w:r>
      <w:r w:rsidR="00A931E9" w:rsidRPr="002C4166">
        <w:rPr>
          <w:sz w:val="24"/>
          <w:szCs w:val="24"/>
          <w:lang w:val="cs-CZ"/>
        </w:rPr>
        <w:tab/>
      </w:r>
      <w:r w:rsidRPr="002C4166">
        <w:rPr>
          <w:sz w:val="24"/>
          <w:szCs w:val="24"/>
          <w:lang w:val="cs-CZ"/>
        </w:rPr>
        <w:t xml:space="preserve">Úř. věst. L, 2024/1263, 30.4.2024, ELI: </w:t>
      </w:r>
      <w:hyperlink r:id="rId7" w:history="1">
        <w:r w:rsidRPr="002C4166">
          <w:rPr>
            <w:rStyle w:val="Hyperlink"/>
            <w:sz w:val="24"/>
            <w:szCs w:val="24"/>
            <w:lang w:val="cs-CZ"/>
          </w:rPr>
          <w:t>http://data.europa.eu/eli/reg/2024/1263/oj</w:t>
        </w:r>
      </w:hyperlink>
      <w:r w:rsidRPr="002C4166">
        <w:rPr>
          <w:sz w:val="24"/>
          <w:szCs w:val="24"/>
          <w:lang w:val="cs-CZ"/>
        </w:rPr>
        <w:t>.</w:t>
      </w:r>
    </w:p>
  </w:footnote>
  <w:footnote w:id="9">
    <w:p w14:paraId="4DEE92C9" w14:textId="77777777" w:rsidR="00567381" w:rsidRPr="002C4166" w:rsidRDefault="00567381" w:rsidP="00A931E9">
      <w:pPr>
        <w:pStyle w:val="FootnoteText"/>
        <w:ind w:left="567" w:hanging="567"/>
        <w:rPr>
          <w:sz w:val="24"/>
          <w:szCs w:val="24"/>
          <w:lang w:val="cs-CZ"/>
        </w:rPr>
      </w:pPr>
      <w:r w:rsidRPr="002C4166">
        <w:rPr>
          <w:rStyle w:val="FootnoteReference"/>
          <w:sz w:val="24"/>
          <w:szCs w:val="24"/>
          <w:lang w:val="cs-CZ"/>
        </w:rPr>
        <w:footnoteRef/>
      </w:r>
      <w:r w:rsidR="00A931E9" w:rsidRPr="002C4166">
        <w:rPr>
          <w:sz w:val="24"/>
          <w:szCs w:val="24"/>
          <w:lang w:val="cs-CZ"/>
        </w:rPr>
        <w:t xml:space="preserve"> </w:t>
      </w:r>
      <w:r w:rsidR="00A931E9" w:rsidRPr="002C4166">
        <w:rPr>
          <w:sz w:val="24"/>
          <w:szCs w:val="24"/>
          <w:lang w:val="cs-CZ"/>
        </w:rPr>
        <w:tab/>
      </w:r>
      <w:r w:rsidRPr="002C4166">
        <w:rPr>
          <w:sz w:val="24"/>
          <w:szCs w:val="24"/>
          <w:lang w:val="cs-CZ"/>
        </w:rPr>
        <w:t>Úř. věst. C 32, 27.1.2023, s. 42.</w:t>
      </w:r>
    </w:p>
  </w:footnote>
  <w:footnote w:id="10">
    <w:p w14:paraId="5481FC0A" w14:textId="77777777" w:rsidR="00567381" w:rsidRPr="002C4166" w:rsidRDefault="00567381" w:rsidP="00A931E9">
      <w:pPr>
        <w:pStyle w:val="FootnoteText"/>
        <w:ind w:left="567" w:hanging="567"/>
        <w:rPr>
          <w:sz w:val="24"/>
          <w:szCs w:val="24"/>
          <w:lang w:val="cs-CZ"/>
        </w:rPr>
      </w:pPr>
      <w:r w:rsidRPr="002C4166">
        <w:rPr>
          <w:rStyle w:val="FootnoteReference"/>
          <w:sz w:val="24"/>
          <w:szCs w:val="24"/>
          <w:lang w:val="cs-CZ"/>
        </w:rPr>
        <w:footnoteRef/>
      </w:r>
      <w:r w:rsidR="00A931E9" w:rsidRPr="002C4166">
        <w:rPr>
          <w:sz w:val="24"/>
          <w:szCs w:val="24"/>
          <w:lang w:val="cs-CZ"/>
        </w:rPr>
        <w:t xml:space="preserve"> </w:t>
      </w:r>
      <w:r w:rsidR="00A931E9" w:rsidRPr="002C4166">
        <w:rPr>
          <w:sz w:val="24"/>
          <w:szCs w:val="24"/>
          <w:lang w:val="cs-CZ"/>
        </w:rPr>
        <w:tab/>
      </w:r>
      <w:r w:rsidRPr="002C4166">
        <w:rPr>
          <w:sz w:val="24"/>
          <w:szCs w:val="24"/>
          <w:lang w:val="cs-CZ"/>
        </w:rPr>
        <w:t xml:space="preserve">Úř. věst. C, C/2024/4618, 22.7.2024, ELI: </w:t>
      </w:r>
      <w:hyperlink r:id="rId8" w:history="1">
        <w:r w:rsidRPr="002C4166">
          <w:rPr>
            <w:rStyle w:val="Hyperlink"/>
            <w:sz w:val="24"/>
            <w:szCs w:val="24"/>
            <w:lang w:val="cs-CZ"/>
          </w:rPr>
          <w:t>http://data.europa.eu/eli/C/2024/4618/oj</w:t>
        </w:r>
      </w:hyperlink>
      <w:r w:rsidRPr="002C4166">
        <w:rPr>
          <w:sz w:val="24"/>
          <w:szCs w:val="24"/>
          <w:lang w:val="cs-CZ"/>
        </w:rPr>
        <w:t>.</w:t>
      </w:r>
    </w:p>
  </w:footnote>
  <w:footnote w:id="11">
    <w:p w14:paraId="19AEEF5D" w14:textId="77777777" w:rsidR="00567381" w:rsidRPr="002C4166" w:rsidRDefault="00567381" w:rsidP="00A931E9">
      <w:pPr>
        <w:pStyle w:val="FootnoteText"/>
        <w:ind w:left="567" w:hanging="567"/>
        <w:rPr>
          <w:sz w:val="24"/>
          <w:szCs w:val="24"/>
          <w:lang w:val="cs-CZ"/>
        </w:rPr>
      </w:pPr>
      <w:r w:rsidRPr="002C4166">
        <w:rPr>
          <w:rStyle w:val="FootnoteReference"/>
          <w:sz w:val="24"/>
          <w:szCs w:val="24"/>
          <w:lang w:val="cs-CZ"/>
        </w:rPr>
        <w:footnoteRef/>
      </w:r>
      <w:r w:rsidR="00A931E9" w:rsidRPr="002C4166">
        <w:rPr>
          <w:sz w:val="24"/>
          <w:szCs w:val="24"/>
          <w:lang w:val="cs-CZ"/>
        </w:rPr>
        <w:t xml:space="preserve"> </w:t>
      </w:r>
      <w:r w:rsidR="00A931E9" w:rsidRPr="002C4166">
        <w:rPr>
          <w:sz w:val="24"/>
          <w:szCs w:val="24"/>
          <w:lang w:val="cs-CZ"/>
        </w:rPr>
        <w:tab/>
      </w:r>
      <w:r w:rsidRPr="002C4166">
        <w:rPr>
          <w:sz w:val="24"/>
          <w:szCs w:val="24"/>
          <w:lang w:val="cs-CZ"/>
        </w:rPr>
        <w:t xml:space="preserve">Úř. věst. C, C/2024/7057, 4.12.2024, ELI: </w:t>
      </w:r>
      <w:hyperlink r:id="rId9" w:history="1">
        <w:r w:rsidRPr="002C4166">
          <w:rPr>
            <w:rStyle w:val="Hyperlink"/>
            <w:sz w:val="24"/>
            <w:szCs w:val="24"/>
            <w:lang w:val="cs-CZ"/>
          </w:rPr>
          <w:t>http://data.europa.eu/eli/C/2024/7057/oj</w:t>
        </w:r>
      </w:hyperlink>
      <w:r w:rsidRPr="002C4166">
        <w:rPr>
          <w:sz w:val="24"/>
          <w:szCs w:val="24"/>
          <w:lang w:val="cs-CZ"/>
        </w:rPr>
        <w:t>.</w:t>
      </w:r>
    </w:p>
  </w:footnote>
  <w:footnote w:id="12">
    <w:p w14:paraId="6721938E" w14:textId="77777777" w:rsidR="00567381" w:rsidRPr="002C4166" w:rsidRDefault="00567381" w:rsidP="00A931E9">
      <w:pPr>
        <w:pStyle w:val="FootnoteText"/>
        <w:ind w:left="567" w:hanging="567"/>
        <w:rPr>
          <w:sz w:val="24"/>
          <w:szCs w:val="24"/>
          <w:lang w:val="cs-CZ"/>
        </w:rPr>
      </w:pPr>
      <w:r w:rsidRPr="002C4166">
        <w:rPr>
          <w:rStyle w:val="FootnoteReference"/>
          <w:sz w:val="24"/>
          <w:szCs w:val="24"/>
          <w:lang w:val="cs-CZ"/>
        </w:rPr>
        <w:footnoteRef/>
      </w:r>
      <w:r w:rsidR="00A931E9" w:rsidRPr="002C4166">
        <w:rPr>
          <w:sz w:val="24"/>
          <w:szCs w:val="24"/>
          <w:lang w:val="cs-CZ"/>
        </w:rPr>
        <w:t xml:space="preserve"> </w:t>
      </w:r>
      <w:r w:rsidR="00A931E9" w:rsidRPr="002C4166">
        <w:rPr>
          <w:sz w:val="24"/>
          <w:szCs w:val="24"/>
          <w:lang w:val="cs-CZ"/>
        </w:rPr>
        <w:tab/>
      </w:r>
      <w:r w:rsidRPr="002C4166">
        <w:rPr>
          <w:sz w:val="24"/>
          <w:szCs w:val="24"/>
          <w:lang w:val="cs-CZ"/>
        </w:rPr>
        <w:t xml:space="preserve">Evropský parlament, Think Tank </w:t>
      </w:r>
      <w:hyperlink r:id="rId10" w:history="1">
        <w:r w:rsidRPr="002C4166">
          <w:rPr>
            <w:rStyle w:val="Hyperlink"/>
            <w:sz w:val="24"/>
            <w:szCs w:val="24"/>
            <w:lang w:val="cs-CZ"/>
          </w:rPr>
          <w:t>https://www.europarl.europa.eu/thinktank/en/research/advanced-search?textualSearch=RRF&amp;startDate=01%2F07%2F2019&amp;endDate=&amp;sort=RELEVANCE</w:t>
        </w:r>
      </w:hyperlink>
      <w:r w:rsidRPr="002C4166">
        <w:rPr>
          <w:sz w:val="24"/>
          <w:szCs w:val="24"/>
          <w:lang w:val="cs-CZ"/>
        </w:rPr>
        <w:t>.</w:t>
      </w:r>
    </w:p>
  </w:footnote>
  <w:footnote w:id="13">
    <w:p w14:paraId="0E26A773" w14:textId="3F4538D3" w:rsidR="00567381" w:rsidRPr="002C4166" w:rsidRDefault="00567381" w:rsidP="00A931E9">
      <w:pPr>
        <w:pStyle w:val="FootnoteText"/>
        <w:ind w:left="567" w:hanging="567"/>
        <w:rPr>
          <w:sz w:val="24"/>
          <w:szCs w:val="24"/>
          <w:lang w:val="cs-CZ"/>
        </w:rPr>
      </w:pPr>
      <w:r w:rsidRPr="002C4166">
        <w:rPr>
          <w:rStyle w:val="FootnoteReference"/>
          <w:sz w:val="24"/>
          <w:szCs w:val="24"/>
          <w:lang w:val="cs-CZ"/>
        </w:rPr>
        <w:footnoteRef/>
      </w:r>
      <w:r w:rsidR="00A931E9" w:rsidRPr="002C4166">
        <w:rPr>
          <w:sz w:val="24"/>
          <w:szCs w:val="24"/>
          <w:lang w:val="cs-CZ"/>
        </w:rPr>
        <w:t xml:space="preserve"> </w:t>
      </w:r>
      <w:r w:rsidR="00A931E9" w:rsidRPr="002C4166">
        <w:rPr>
          <w:sz w:val="24"/>
          <w:szCs w:val="24"/>
          <w:lang w:val="cs-CZ"/>
        </w:rPr>
        <w:tab/>
      </w:r>
      <w:r w:rsidRPr="002C4166">
        <w:rPr>
          <w:sz w:val="24"/>
          <w:szCs w:val="24"/>
          <w:lang w:val="cs-CZ"/>
        </w:rPr>
        <w:t>Ú</w:t>
      </w:r>
      <w:r w:rsidR="00C61C41">
        <w:rPr>
          <w:sz w:val="24"/>
          <w:szCs w:val="24"/>
          <w:lang w:val="cs-CZ"/>
        </w:rPr>
        <w:t>ř. věst. C, C/2024/5742, 17.10.</w:t>
      </w:r>
      <w:r w:rsidRPr="002C4166">
        <w:rPr>
          <w:sz w:val="24"/>
          <w:szCs w:val="24"/>
          <w:lang w:val="cs-CZ"/>
        </w:rPr>
        <w:t xml:space="preserve">2024, ELI: </w:t>
      </w:r>
      <w:hyperlink r:id="rId11" w:history="1">
        <w:r w:rsidRPr="002C4166">
          <w:rPr>
            <w:rStyle w:val="Hyperlink"/>
            <w:sz w:val="24"/>
            <w:szCs w:val="24"/>
            <w:lang w:val="cs-CZ"/>
          </w:rPr>
          <w:t>http://data.europa.eu/eli/C/2024/5742/oj</w:t>
        </w:r>
      </w:hyperlink>
      <w:r w:rsidRPr="002C4166">
        <w:rPr>
          <w:sz w:val="24"/>
          <w:szCs w:val="24"/>
          <w:lang w:val="cs-CZ"/>
        </w:rPr>
        <w:t>.</w:t>
      </w:r>
    </w:p>
  </w:footnote>
  <w:footnote w:id="14">
    <w:p w14:paraId="7BF299BA" w14:textId="77777777" w:rsidR="00567381" w:rsidRPr="002C4166" w:rsidRDefault="00567381" w:rsidP="00A931E9">
      <w:pPr>
        <w:pStyle w:val="FootnoteText"/>
        <w:ind w:left="567" w:hanging="567"/>
        <w:rPr>
          <w:sz w:val="24"/>
          <w:szCs w:val="24"/>
          <w:lang w:val="cs-CZ"/>
        </w:rPr>
      </w:pPr>
      <w:r w:rsidRPr="002C4166">
        <w:rPr>
          <w:rStyle w:val="FootnoteReference"/>
          <w:sz w:val="24"/>
          <w:szCs w:val="24"/>
          <w:lang w:val="cs-CZ"/>
        </w:rPr>
        <w:footnoteRef/>
      </w:r>
      <w:r w:rsidR="00A931E9" w:rsidRPr="002C4166">
        <w:rPr>
          <w:sz w:val="24"/>
          <w:szCs w:val="24"/>
          <w:lang w:val="cs-CZ"/>
        </w:rPr>
        <w:t xml:space="preserve"> </w:t>
      </w:r>
      <w:r w:rsidR="00A931E9" w:rsidRPr="002C4166">
        <w:rPr>
          <w:sz w:val="24"/>
          <w:szCs w:val="24"/>
          <w:lang w:val="cs-CZ"/>
        </w:rPr>
        <w:tab/>
      </w:r>
      <w:r w:rsidRPr="002C4166">
        <w:rPr>
          <w:sz w:val="24"/>
          <w:szCs w:val="24"/>
          <w:lang w:val="cs-CZ"/>
        </w:rPr>
        <w:t xml:space="preserve">Nařízení Evropského parlamentu a Rady (EU) 2021/1060 ze dne 24. června 2021 o společných ustanoveních pro Evropský fond pro regionální rozvoj, Evropský sociální fond plus, Fond soudržnosti, Fond pro spravedlivou transformaci a Evropský námořní, rybářský a akvakulturní fond a o finančních pravidlech pro tyto fondy a pro Azylový, migrační a integrační fond, Fond pro vnitřní bezpečnost a Nástroj pro finanční podporu správy hranic a vízové politiky (Úř. věst. L 231, 30.6.2021, s. 159, ELI: </w:t>
      </w:r>
      <w:hyperlink r:id="rId12" w:history="1">
        <w:r w:rsidRPr="002C4166">
          <w:rPr>
            <w:rStyle w:val="Hyperlink"/>
            <w:sz w:val="24"/>
            <w:szCs w:val="24"/>
            <w:lang w:val="cs-CZ"/>
          </w:rPr>
          <w:t>http://data.europa.eu/eli/reg/2021/1060/oj</w:t>
        </w:r>
      </w:hyperlink>
      <w:r w:rsidRPr="002C4166">
        <w:rPr>
          <w:sz w:val="24"/>
          <w:szCs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88D01" w14:textId="77777777" w:rsidR="00064002" w:rsidRPr="00A931E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46116" w14:textId="77777777" w:rsidR="00064002" w:rsidRPr="00A931E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0DBE6" w14:textId="77777777" w:rsidR="00064002" w:rsidRPr="00A931E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F654581"/>
    <w:multiLevelType w:val="hybridMultilevel"/>
    <w:tmpl w:val="F16C6036"/>
    <w:lvl w:ilvl="0" w:tplc="42145AFE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92F8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7278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AAB3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A44E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005F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E428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F613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3FEF6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201800"/>
    <w:multiLevelType w:val="hybridMultilevel"/>
    <w:tmpl w:val="785A9E92"/>
    <w:lvl w:ilvl="0" w:tplc="995625E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991A28D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D2686E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9D0E95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F9A17A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140348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9E8149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63C9D7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C2446B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D6C09CF"/>
    <w:multiLevelType w:val="hybridMultilevel"/>
    <w:tmpl w:val="0DAA9F68"/>
    <w:lvl w:ilvl="0" w:tplc="783C3596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2C96EEA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96DCE2A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3902A9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D94DA8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41431B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9E017C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12BC2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AFC2CA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8937538">
    <w:abstractNumId w:val="9"/>
  </w:num>
  <w:num w:numId="2" w16cid:durableId="24058733">
    <w:abstractNumId w:val="9"/>
  </w:num>
  <w:num w:numId="3" w16cid:durableId="902568385">
    <w:abstractNumId w:val="7"/>
  </w:num>
  <w:num w:numId="4" w16cid:durableId="127403770">
    <w:abstractNumId w:val="7"/>
  </w:num>
  <w:num w:numId="5" w16cid:durableId="1483502604">
    <w:abstractNumId w:val="6"/>
  </w:num>
  <w:num w:numId="6" w16cid:durableId="289480667">
    <w:abstractNumId w:val="6"/>
  </w:num>
  <w:num w:numId="7" w16cid:durableId="841706250">
    <w:abstractNumId w:val="5"/>
  </w:num>
  <w:num w:numId="8" w16cid:durableId="1859735096">
    <w:abstractNumId w:val="5"/>
  </w:num>
  <w:num w:numId="9" w16cid:durableId="497380060">
    <w:abstractNumId w:val="4"/>
  </w:num>
  <w:num w:numId="10" w16cid:durableId="1179124452">
    <w:abstractNumId w:val="4"/>
  </w:num>
  <w:num w:numId="11" w16cid:durableId="513811310">
    <w:abstractNumId w:val="8"/>
  </w:num>
  <w:num w:numId="12" w16cid:durableId="1357972485">
    <w:abstractNumId w:val="8"/>
  </w:num>
  <w:num w:numId="13" w16cid:durableId="785274013">
    <w:abstractNumId w:val="3"/>
  </w:num>
  <w:num w:numId="14" w16cid:durableId="1286228489">
    <w:abstractNumId w:val="3"/>
  </w:num>
  <w:num w:numId="15" w16cid:durableId="1450854813">
    <w:abstractNumId w:val="2"/>
  </w:num>
  <w:num w:numId="16" w16cid:durableId="70546871">
    <w:abstractNumId w:val="2"/>
  </w:num>
  <w:num w:numId="17" w16cid:durableId="2140831256">
    <w:abstractNumId w:val="1"/>
  </w:num>
  <w:num w:numId="18" w16cid:durableId="879980184">
    <w:abstractNumId w:val="1"/>
  </w:num>
  <w:num w:numId="19" w16cid:durableId="1163206643">
    <w:abstractNumId w:val="0"/>
  </w:num>
  <w:num w:numId="20" w16cid:durableId="983509197">
    <w:abstractNumId w:val="0"/>
  </w:num>
  <w:num w:numId="21" w16cid:durableId="1221865389">
    <w:abstractNumId w:val="9"/>
  </w:num>
  <w:num w:numId="22" w16cid:durableId="1457748467">
    <w:abstractNumId w:val="7"/>
  </w:num>
  <w:num w:numId="23" w16cid:durableId="1962494316">
    <w:abstractNumId w:val="6"/>
  </w:num>
  <w:num w:numId="24" w16cid:durableId="481309718">
    <w:abstractNumId w:val="5"/>
  </w:num>
  <w:num w:numId="25" w16cid:durableId="1165512250">
    <w:abstractNumId w:val="4"/>
  </w:num>
  <w:num w:numId="26" w16cid:durableId="2082021889">
    <w:abstractNumId w:val="8"/>
  </w:num>
  <w:num w:numId="27" w16cid:durableId="937828853">
    <w:abstractNumId w:val="3"/>
  </w:num>
  <w:num w:numId="28" w16cid:durableId="432282664">
    <w:abstractNumId w:val="2"/>
  </w:num>
  <w:num w:numId="29" w16cid:durableId="1578049243">
    <w:abstractNumId w:val="1"/>
  </w:num>
  <w:num w:numId="30" w16cid:durableId="462426261">
    <w:abstractNumId w:val="0"/>
  </w:num>
  <w:num w:numId="31" w16cid:durableId="1668435671">
    <w:abstractNumId w:val="9"/>
  </w:num>
  <w:num w:numId="32" w16cid:durableId="685517574">
    <w:abstractNumId w:val="7"/>
  </w:num>
  <w:num w:numId="33" w16cid:durableId="1028482002">
    <w:abstractNumId w:val="6"/>
  </w:num>
  <w:num w:numId="34" w16cid:durableId="113713584">
    <w:abstractNumId w:val="5"/>
  </w:num>
  <w:num w:numId="35" w16cid:durableId="337465149">
    <w:abstractNumId w:val="4"/>
  </w:num>
  <w:num w:numId="36" w16cid:durableId="1004473525">
    <w:abstractNumId w:val="8"/>
  </w:num>
  <w:num w:numId="37" w16cid:durableId="1531992726">
    <w:abstractNumId w:val="3"/>
  </w:num>
  <w:num w:numId="38" w16cid:durableId="2058507660">
    <w:abstractNumId w:val="2"/>
  </w:num>
  <w:num w:numId="39" w16cid:durableId="553077421">
    <w:abstractNumId w:val="1"/>
  </w:num>
  <w:num w:numId="40" w16cid:durableId="321852492">
    <w:abstractNumId w:val="0"/>
  </w:num>
  <w:num w:numId="41" w16cid:durableId="640424945">
    <w:abstractNumId w:val="10"/>
  </w:num>
  <w:num w:numId="42" w16cid:durableId="1183085071">
    <w:abstractNumId w:val="10"/>
  </w:num>
  <w:num w:numId="43" w16cid:durableId="1308164122">
    <w:abstractNumId w:val="10"/>
  </w:num>
  <w:num w:numId="44" w16cid:durableId="1880044405">
    <w:abstractNumId w:val="11"/>
  </w:num>
  <w:num w:numId="45" w16cid:durableId="365637464">
    <w:abstractNumId w:val="12"/>
  </w:num>
  <w:num w:numId="46" w16cid:durableId="1385249348">
    <w:abstractNumId w:val="14"/>
  </w:num>
  <w:num w:numId="47" w16cid:durableId="206348475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8/2025"/>
    <w:docVar w:name="dvlangue" w:val="CS"/>
    <w:docVar w:name="dvnumam" w:val="0"/>
    <w:docVar w:name="dvpe" w:val="768.025"/>
    <w:docVar w:name="dvrapporteur" w:val="Zpravodajové: "/>
    <w:docVar w:name="dvtitre" w:val="Usnesení Evropského parlamentu ze dne.... 2025 o zprávě o provádění Nástroje pro oživení a odolnost(2024/2085(INI))"/>
  </w:docVars>
  <w:rsids>
    <w:rsidRoot w:val="006F6460"/>
    <w:rsid w:val="00002272"/>
    <w:rsid w:val="00064002"/>
    <w:rsid w:val="000677B9"/>
    <w:rsid w:val="000831BA"/>
    <w:rsid w:val="000A42CC"/>
    <w:rsid w:val="000E17F4"/>
    <w:rsid w:val="000E7DD9"/>
    <w:rsid w:val="0010095E"/>
    <w:rsid w:val="00125B37"/>
    <w:rsid w:val="00175B8E"/>
    <w:rsid w:val="00187494"/>
    <w:rsid w:val="001E114B"/>
    <w:rsid w:val="001F32AE"/>
    <w:rsid w:val="002767FF"/>
    <w:rsid w:val="002B18FE"/>
    <w:rsid w:val="002B5493"/>
    <w:rsid w:val="002C416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7381"/>
    <w:rsid w:val="005C2568"/>
    <w:rsid w:val="005F1B17"/>
    <w:rsid w:val="006037C0"/>
    <w:rsid w:val="006631B6"/>
    <w:rsid w:val="00680577"/>
    <w:rsid w:val="00685931"/>
    <w:rsid w:val="006F6460"/>
    <w:rsid w:val="006F74FA"/>
    <w:rsid w:val="00731ADD"/>
    <w:rsid w:val="00734777"/>
    <w:rsid w:val="00747932"/>
    <w:rsid w:val="00751A4A"/>
    <w:rsid w:val="00756632"/>
    <w:rsid w:val="00762C74"/>
    <w:rsid w:val="00766B6E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0A57"/>
    <w:rsid w:val="008C2AC6"/>
    <w:rsid w:val="00930C23"/>
    <w:rsid w:val="0093193B"/>
    <w:rsid w:val="009509D8"/>
    <w:rsid w:val="00950B64"/>
    <w:rsid w:val="00981893"/>
    <w:rsid w:val="009B388E"/>
    <w:rsid w:val="00A1687D"/>
    <w:rsid w:val="00A43E52"/>
    <w:rsid w:val="00A4678D"/>
    <w:rsid w:val="00A522C1"/>
    <w:rsid w:val="00A778C7"/>
    <w:rsid w:val="00A931E9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1C41"/>
    <w:rsid w:val="00C941CB"/>
    <w:rsid w:val="00CB1270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ECB552"/>
  <w15:chartTrackingRefBased/>
  <w15:docId w15:val="{3859AE9E-7A75-4D0F-B9F5-80608E94C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qFormat="1"/>
    <w:lsdException w:name="caption" w:semiHidden="1" w:unhideWhenUsed="1" w:qFormat="1"/>
    <w:lsdException w:name="annotation reference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qFormat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qFormat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qFormat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qFormat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qFormat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qFormat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qFormat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qFormat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6738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56738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56738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56738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6738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67381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567381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567381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567381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567381"/>
    <w:pPr>
      <w:widowControl/>
      <w:spacing w:after="240"/>
    </w:pPr>
    <w:rPr>
      <w:lang w:val="en-GB"/>
    </w:rPr>
  </w:style>
  <w:style w:type="paragraph" w:customStyle="1" w:styleId="EPComma">
    <w:name w:val="EPComma"/>
    <w:basedOn w:val="Normal"/>
    <w:rsid w:val="00567381"/>
    <w:pPr>
      <w:spacing w:before="480" w:after="240"/>
    </w:pPr>
    <w:rPr>
      <w:snapToGrid w:val="0"/>
      <w:lang w:eastAsia="en-US"/>
    </w:rPr>
  </w:style>
  <w:style w:type="paragraph" w:customStyle="1" w:styleId="CoverNormal">
    <w:name w:val="CoverNormal"/>
    <w:basedOn w:val="Normal"/>
    <w:qFormat/>
    <w:rsid w:val="00567381"/>
    <w:pPr>
      <w:ind w:left="1418"/>
    </w:pPr>
    <w:rPr>
      <w:snapToGrid w:val="0"/>
      <w:lang w:eastAsia="en-US"/>
    </w:rPr>
  </w:style>
  <w:style w:type="paragraph" w:customStyle="1" w:styleId="TOCRight">
    <w:name w:val="TOC Right"/>
    <w:basedOn w:val="Normal"/>
    <w:rsid w:val="00567381"/>
    <w:pPr>
      <w:spacing w:after="240"/>
      <w:jc w:val="right"/>
    </w:pPr>
    <w:rPr>
      <w:snapToGrid w:val="0"/>
      <w:lang w:eastAsia="en-US"/>
    </w:rPr>
  </w:style>
  <w:style w:type="paragraph" w:customStyle="1" w:styleId="CoverDateRefPart">
    <w:name w:val="CoverDateRefPart"/>
    <w:basedOn w:val="Normal"/>
    <w:rsid w:val="00567381"/>
    <w:pPr>
      <w:spacing w:after="1200"/>
    </w:pPr>
    <w:rPr>
      <w:snapToGrid w:val="0"/>
      <w:lang w:eastAsia="en-US"/>
    </w:rPr>
  </w:style>
  <w:style w:type="paragraph" w:customStyle="1" w:styleId="EPFooter2">
    <w:name w:val="EPFooter2"/>
    <w:basedOn w:val="Normal"/>
    <w:next w:val="Normal"/>
    <w:qFormat/>
    <w:rsid w:val="0056738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paragraph" w:customStyle="1" w:styleId="NormalBold">
    <w:name w:val="NormalBold"/>
    <w:basedOn w:val="Normal"/>
    <w:link w:val="NormalBoldChar"/>
    <w:qFormat/>
    <w:rsid w:val="00567381"/>
    <w:rPr>
      <w:b/>
      <w:snapToGrid w:val="0"/>
      <w:lang w:eastAsia="en-US"/>
    </w:rPr>
  </w:style>
  <w:style w:type="paragraph" w:customStyle="1" w:styleId="CoverReference">
    <w:name w:val="CoverReference"/>
    <w:basedOn w:val="Normal"/>
    <w:qFormat/>
    <w:rsid w:val="00567381"/>
    <w:pPr>
      <w:spacing w:before="1080"/>
      <w:jc w:val="right"/>
    </w:pPr>
    <w:rPr>
      <w:rFonts w:ascii="Arial" w:hAnsi="Arial" w:cs="Arial"/>
      <w:b/>
      <w:snapToGrid w:val="0"/>
      <w:lang w:eastAsia="en-US"/>
    </w:rPr>
  </w:style>
  <w:style w:type="paragraph" w:customStyle="1" w:styleId="CoverNormal24a">
    <w:name w:val="CoverNormal24a"/>
    <w:basedOn w:val="Normal"/>
    <w:qFormat/>
    <w:rsid w:val="00567381"/>
    <w:pPr>
      <w:spacing w:after="480"/>
      <w:ind w:left="1417"/>
    </w:pPr>
    <w:rPr>
      <w:snapToGrid w:val="0"/>
      <w:lang w:eastAsia="en-US"/>
    </w:rPr>
  </w:style>
  <w:style w:type="paragraph" w:customStyle="1" w:styleId="TOCPage">
    <w:name w:val="TOC Page"/>
    <w:basedOn w:val="Normal"/>
    <w:next w:val="TOC1"/>
    <w:rsid w:val="00567381"/>
    <w:pPr>
      <w:keepNext/>
      <w:spacing w:after="240"/>
      <w:jc w:val="right"/>
    </w:pPr>
    <w:rPr>
      <w:rFonts w:ascii="Arial" w:hAnsi="Arial"/>
      <w:b/>
      <w:snapToGrid w:val="0"/>
      <w:lang w:eastAsia="en-US"/>
    </w:rPr>
  </w:style>
  <w:style w:type="paragraph" w:customStyle="1" w:styleId="CoverDocType24a">
    <w:name w:val="CoverDocType24a"/>
    <w:basedOn w:val="Normal"/>
    <w:qFormat/>
    <w:rsid w:val="00567381"/>
    <w:pPr>
      <w:spacing w:after="480"/>
      <w:ind w:left="1418"/>
    </w:pPr>
    <w:rPr>
      <w:rFonts w:ascii="Arial" w:hAnsi="Arial"/>
      <w:b/>
      <w:snapToGrid w:val="0"/>
      <w:sz w:val="48"/>
      <w:lang w:eastAsia="en-US"/>
    </w:rPr>
  </w:style>
  <w:style w:type="paragraph" w:customStyle="1" w:styleId="NormalHanging12a">
    <w:name w:val="NormalHanging12a"/>
    <w:basedOn w:val="Normal"/>
    <w:link w:val="NormalHanging12aChar"/>
    <w:qFormat/>
    <w:rsid w:val="00567381"/>
    <w:pPr>
      <w:widowControl/>
      <w:spacing w:after="240"/>
      <w:ind w:left="567" w:hanging="567"/>
    </w:pPr>
    <w:rPr>
      <w:snapToGrid w:val="0"/>
      <w:lang w:eastAsia="en-US"/>
    </w:rPr>
  </w:style>
  <w:style w:type="paragraph" w:styleId="TOC4">
    <w:name w:val="toc 4"/>
    <w:basedOn w:val="Normal"/>
    <w:next w:val="Normal"/>
    <w:autoRedefine/>
    <w:rsid w:val="00567381"/>
    <w:pPr>
      <w:ind w:left="720"/>
    </w:pPr>
    <w:rPr>
      <w:snapToGrid w:val="0"/>
      <w:lang w:eastAsia="en-US"/>
    </w:rPr>
  </w:style>
  <w:style w:type="paragraph" w:customStyle="1" w:styleId="PageHeading">
    <w:name w:val="PageHeading"/>
    <w:basedOn w:val="Normal"/>
    <w:rsid w:val="00567381"/>
    <w:pPr>
      <w:keepNext/>
      <w:spacing w:after="480"/>
      <w:jc w:val="center"/>
    </w:pPr>
    <w:rPr>
      <w:rFonts w:ascii="Arial" w:hAnsi="Arial" w:cs="Arial"/>
      <w:b/>
      <w:snapToGrid w:val="0"/>
      <w:lang w:eastAsia="en-US"/>
    </w:rPr>
  </w:style>
  <w:style w:type="paragraph" w:styleId="TOC5">
    <w:name w:val="toc 5"/>
    <w:basedOn w:val="Normal"/>
    <w:next w:val="Normal"/>
    <w:autoRedefine/>
    <w:rsid w:val="00567381"/>
    <w:pPr>
      <w:ind w:left="960"/>
    </w:pPr>
    <w:rPr>
      <w:snapToGrid w:val="0"/>
      <w:lang w:eastAsia="en-US"/>
    </w:rPr>
  </w:style>
  <w:style w:type="paragraph" w:styleId="TOC6">
    <w:name w:val="toc 6"/>
    <w:basedOn w:val="Normal"/>
    <w:next w:val="Normal"/>
    <w:autoRedefine/>
    <w:rsid w:val="00567381"/>
    <w:pPr>
      <w:ind w:left="1200"/>
    </w:pPr>
    <w:rPr>
      <w:snapToGrid w:val="0"/>
      <w:lang w:eastAsia="en-US"/>
    </w:rPr>
  </w:style>
  <w:style w:type="paragraph" w:styleId="TOC7">
    <w:name w:val="toc 7"/>
    <w:basedOn w:val="Normal"/>
    <w:next w:val="Normal"/>
    <w:autoRedefine/>
    <w:rsid w:val="00567381"/>
    <w:pPr>
      <w:ind w:left="1440"/>
    </w:pPr>
    <w:rPr>
      <w:snapToGrid w:val="0"/>
      <w:lang w:eastAsia="en-US"/>
    </w:rPr>
  </w:style>
  <w:style w:type="paragraph" w:styleId="TOC8">
    <w:name w:val="toc 8"/>
    <w:basedOn w:val="Normal"/>
    <w:next w:val="Normal"/>
    <w:autoRedefine/>
    <w:rsid w:val="00567381"/>
    <w:pPr>
      <w:ind w:left="1680"/>
    </w:pPr>
    <w:rPr>
      <w:snapToGrid w:val="0"/>
      <w:lang w:eastAsia="en-US"/>
    </w:rPr>
  </w:style>
  <w:style w:type="paragraph" w:styleId="TOC9">
    <w:name w:val="toc 9"/>
    <w:basedOn w:val="Normal"/>
    <w:next w:val="Normal"/>
    <w:autoRedefine/>
    <w:rsid w:val="00567381"/>
    <w:pPr>
      <w:ind w:left="1920"/>
    </w:pPr>
    <w:rPr>
      <w:snapToGrid w:val="0"/>
      <w:lang w:eastAsia="en-US"/>
    </w:rPr>
  </w:style>
  <w:style w:type="paragraph" w:customStyle="1" w:styleId="TOCSubHeading">
    <w:name w:val="TOC SubHeading"/>
    <w:basedOn w:val="Normal"/>
    <w:rsid w:val="00567381"/>
    <w:pPr>
      <w:spacing w:before="480" w:after="240"/>
    </w:pPr>
    <w:rPr>
      <w:b/>
      <w:snapToGrid w:val="0"/>
      <w:lang w:eastAsia="en-US"/>
    </w:rPr>
  </w:style>
  <w:style w:type="paragraph" w:customStyle="1" w:styleId="TOCTabLeader">
    <w:name w:val="TOC TabLeader"/>
    <w:basedOn w:val="Normal"/>
    <w:rsid w:val="00567381"/>
    <w:pPr>
      <w:tabs>
        <w:tab w:val="left" w:leader="dot" w:pos="5954"/>
      </w:tabs>
      <w:spacing w:after="240"/>
    </w:pPr>
    <w:rPr>
      <w:snapToGrid w:val="0"/>
      <w:lang w:eastAsia="en-US"/>
    </w:rPr>
  </w:style>
  <w:style w:type="paragraph" w:customStyle="1" w:styleId="CoverNormalHanging">
    <w:name w:val="CoverNormalHanging"/>
    <w:basedOn w:val="Normal"/>
    <w:rsid w:val="00567381"/>
    <w:pPr>
      <w:ind w:left="3686" w:hanging="2268"/>
    </w:pPr>
    <w:rPr>
      <w:snapToGrid w:val="0"/>
      <w:lang w:eastAsia="en-US"/>
    </w:rPr>
  </w:style>
  <w:style w:type="paragraph" w:customStyle="1" w:styleId="EPBody">
    <w:name w:val="EPBody"/>
    <w:basedOn w:val="Normal"/>
    <w:qFormat/>
    <w:rsid w:val="0056738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CoverRefPart">
    <w:name w:val="CoverRefPart"/>
    <w:basedOn w:val="Normal"/>
    <w:rsid w:val="00567381"/>
    <w:pPr>
      <w:jc w:val="right"/>
    </w:pPr>
    <w:rPr>
      <w:rFonts w:ascii="Arial" w:hAnsi="Arial"/>
      <w:snapToGrid w:val="0"/>
      <w:lang w:eastAsia="en-US"/>
    </w:rPr>
  </w:style>
  <w:style w:type="paragraph" w:customStyle="1" w:styleId="Subheading">
    <w:name w:val="Subheading"/>
    <w:basedOn w:val="Normal"/>
    <w:rsid w:val="00567381"/>
    <w:pPr>
      <w:spacing w:before="480" w:after="240"/>
    </w:pPr>
    <w:rPr>
      <w:b/>
      <w:bCs/>
      <w:i/>
      <w:iCs/>
      <w:snapToGrid w:val="0"/>
      <w:lang w:eastAsia="en-US"/>
    </w:rPr>
  </w:style>
  <w:style w:type="paragraph" w:customStyle="1" w:styleId="EPFooter">
    <w:name w:val="EPFooter"/>
    <w:basedOn w:val="Normal"/>
    <w:qFormat/>
    <w:rsid w:val="00567381"/>
    <w:pPr>
      <w:tabs>
        <w:tab w:val="center" w:pos="4535"/>
        <w:tab w:val="right" w:pos="9071"/>
      </w:tabs>
      <w:spacing w:before="240" w:after="240"/>
    </w:pPr>
    <w:rPr>
      <w:snapToGrid w:val="0"/>
      <w:color w:val="010000"/>
      <w:sz w:val="22"/>
      <w:lang w:eastAsia="en-US"/>
    </w:rPr>
  </w:style>
  <w:style w:type="paragraph" w:styleId="Header">
    <w:name w:val="header"/>
    <w:basedOn w:val="Normal"/>
    <w:link w:val="HeaderChar"/>
    <w:rsid w:val="00567381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HeaderChar">
    <w:name w:val="Header Char"/>
    <w:basedOn w:val="DefaultParagraphFont"/>
    <w:link w:val="Header"/>
    <w:qFormat/>
    <w:rsid w:val="00567381"/>
    <w:rPr>
      <w:snapToGrid w:val="0"/>
      <w:sz w:val="24"/>
      <w:lang w:val="cs-CZ" w:eastAsia="en-US"/>
    </w:rPr>
  </w:style>
  <w:style w:type="paragraph" w:customStyle="1" w:styleId="AmColumnHeading">
    <w:name w:val="AmColumnHeading"/>
    <w:basedOn w:val="Normal"/>
    <w:qFormat/>
    <w:rsid w:val="00567381"/>
    <w:pPr>
      <w:spacing w:after="240"/>
      <w:jc w:val="center"/>
    </w:pPr>
    <w:rPr>
      <w:i/>
    </w:rPr>
  </w:style>
  <w:style w:type="paragraph" w:customStyle="1" w:styleId="AmCrossRef">
    <w:name w:val="AmCrossRef"/>
    <w:basedOn w:val="Normal"/>
    <w:qFormat/>
    <w:rsid w:val="00567381"/>
    <w:pPr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qFormat/>
    <w:rsid w:val="00567381"/>
    <w:pPr>
      <w:spacing w:after="240"/>
    </w:pPr>
    <w:rPr>
      <w:i/>
    </w:rPr>
  </w:style>
  <w:style w:type="paragraph" w:customStyle="1" w:styleId="AmJustTitle">
    <w:name w:val="AmJustTitle"/>
    <w:basedOn w:val="Normal"/>
    <w:next w:val="AmJustText"/>
    <w:qFormat/>
    <w:rsid w:val="00567381"/>
    <w:pPr>
      <w:keepNext/>
      <w:spacing w:before="240"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qFormat/>
    <w:rsid w:val="0056738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OrLang">
    <w:name w:val="AmOrLang"/>
    <w:basedOn w:val="Normal"/>
    <w:qFormat/>
    <w:rsid w:val="00567381"/>
    <w:pPr>
      <w:spacing w:before="240" w:after="240"/>
      <w:jc w:val="right"/>
    </w:pPr>
  </w:style>
  <w:style w:type="paragraph" w:customStyle="1" w:styleId="AnnexWPDate">
    <w:name w:val="AnnexWPDate"/>
    <w:basedOn w:val="Normal"/>
    <w:rsid w:val="00567381"/>
    <w:pPr>
      <w:spacing w:before="240" w:after="480"/>
      <w:jc w:val="right"/>
    </w:pPr>
  </w:style>
  <w:style w:type="paragraph" w:customStyle="1" w:styleId="AnnexWPDocType">
    <w:name w:val="AnnexWPDocType"/>
    <w:basedOn w:val="Normal"/>
    <w:rsid w:val="00567381"/>
    <w:pPr>
      <w:spacing w:after="240"/>
      <w:jc w:val="center"/>
    </w:pPr>
    <w:rPr>
      <w:b/>
    </w:rPr>
  </w:style>
  <w:style w:type="paragraph" w:customStyle="1" w:styleId="AnnexWPLogo">
    <w:name w:val="AnnexWPLogo"/>
    <w:basedOn w:val="Normal"/>
    <w:rsid w:val="00567381"/>
    <w:pPr>
      <w:spacing w:before="120" w:after="120"/>
    </w:pPr>
  </w:style>
  <w:style w:type="paragraph" w:customStyle="1" w:styleId="AnnexWPSmall">
    <w:name w:val="AnnexWPSmall"/>
    <w:basedOn w:val="Normal"/>
    <w:rsid w:val="00567381"/>
    <w:rPr>
      <w:smallCaps/>
      <w:sz w:val="20"/>
    </w:rPr>
  </w:style>
  <w:style w:type="paragraph" w:customStyle="1" w:styleId="AnnexWPTabs">
    <w:name w:val="AnnexWPTabs"/>
    <w:basedOn w:val="Normal"/>
    <w:rsid w:val="00567381"/>
    <w:pPr>
      <w:tabs>
        <w:tab w:val="right" w:pos="3686"/>
        <w:tab w:val="left" w:pos="3827"/>
      </w:tabs>
    </w:pPr>
    <w:rPr>
      <w:b/>
    </w:rPr>
  </w:style>
  <w:style w:type="paragraph" w:customStyle="1" w:styleId="AnnexWPTitle">
    <w:name w:val="AnnexWPTitle"/>
    <w:basedOn w:val="Normal"/>
    <w:rsid w:val="00567381"/>
    <w:pPr>
      <w:spacing w:before="480"/>
    </w:pPr>
    <w:rPr>
      <w:b/>
    </w:rPr>
  </w:style>
  <w:style w:type="paragraph" w:customStyle="1" w:styleId="AmHeadingConsam">
    <w:name w:val="AmHeadingConsam"/>
    <w:basedOn w:val="Normal"/>
    <w:next w:val="Normal"/>
    <w:rsid w:val="00567381"/>
    <w:pPr>
      <w:spacing w:before="720" w:after="240"/>
      <w:jc w:val="center"/>
    </w:pPr>
  </w:style>
  <w:style w:type="paragraph" w:customStyle="1" w:styleId="CoverNormal12a">
    <w:name w:val="CoverNormal12a"/>
    <w:basedOn w:val="Normal"/>
    <w:rsid w:val="00567381"/>
    <w:pPr>
      <w:spacing w:after="240"/>
      <w:ind w:left="1418"/>
    </w:pPr>
  </w:style>
  <w:style w:type="paragraph" w:customStyle="1" w:styleId="Confidential">
    <w:name w:val="Confidential"/>
    <w:basedOn w:val="Normal"/>
    <w:rsid w:val="00567381"/>
    <w:pPr>
      <w:spacing w:before="120" w:after="120"/>
      <w:jc w:val="center"/>
    </w:pPr>
    <w:rPr>
      <w:rFonts w:ascii="Arial" w:hAnsi="Arial"/>
      <w:caps/>
    </w:rPr>
  </w:style>
  <w:style w:type="paragraph" w:customStyle="1" w:styleId="CoverReferenceIMM">
    <w:name w:val="CoverReferenceIMM"/>
    <w:basedOn w:val="Normal"/>
    <w:rsid w:val="00567381"/>
    <w:pPr>
      <w:spacing w:before="360"/>
      <w:jc w:val="right"/>
    </w:pPr>
    <w:rPr>
      <w:rFonts w:ascii="Arial" w:hAnsi="Arial"/>
      <w:b/>
    </w:rPr>
  </w:style>
  <w:style w:type="paragraph" w:customStyle="1" w:styleId="CoverDate">
    <w:name w:val="CoverDate"/>
    <w:basedOn w:val="Normal"/>
    <w:qFormat/>
    <w:rsid w:val="00567381"/>
    <w:pPr>
      <w:spacing w:before="240" w:after="1200"/>
    </w:pPr>
  </w:style>
  <w:style w:type="paragraph" w:customStyle="1" w:styleId="CoverDocType">
    <w:name w:val="CoverDocType"/>
    <w:basedOn w:val="Normal"/>
    <w:rsid w:val="00567381"/>
    <w:pPr>
      <w:ind w:left="1418"/>
    </w:pPr>
    <w:rPr>
      <w:rFonts w:ascii="Arial" w:hAnsi="Arial"/>
      <w:b/>
      <w:sz w:val="48"/>
    </w:rPr>
  </w:style>
  <w:style w:type="paragraph" w:customStyle="1" w:styleId="NormalBold12a">
    <w:name w:val="NormalBold12a"/>
    <w:basedOn w:val="Normal"/>
    <w:rsid w:val="00567381"/>
    <w:pPr>
      <w:spacing w:after="240"/>
    </w:pPr>
    <w:rPr>
      <w:b/>
    </w:rPr>
  </w:style>
  <w:style w:type="paragraph" w:customStyle="1" w:styleId="NormalCenter12a">
    <w:name w:val="NormalCenter12a"/>
    <w:basedOn w:val="Normal"/>
    <w:rsid w:val="00567381"/>
    <w:pPr>
      <w:spacing w:after="240"/>
      <w:jc w:val="center"/>
    </w:pPr>
  </w:style>
  <w:style w:type="paragraph" w:customStyle="1" w:styleId="Normal6a">
    <w:name w:val="Normal6a"/>
    <w:basedOn w:val="Normal"/>
    <w:qFormat/>
    <w:rsid w:val="00567381"/>
    <w:pPr>
      <w:spacing w:after="120"/>
    </w:pPr>
  </w:style>
  <w:style w:type="paragraph" w:customStyle="1" w:styleId="NormalBold12b">
    <w:name w:val="NormalBold12b"/>
    <w:basedOn w:val="Normal"/>
    <w:link w:val="NormalBold12bChar"/>
    <w:qFormat/>
    <w:rsid w:val="00567381"/>
    <w:pPr>
      <w:spacing w:before="240"/>
    </w:pPr>
    <w:rPr>
      <w:b/>
    </w:rPr>
  </w:style>
  <w:style w:type="paragraph" w:customStyle="1" w:styleId="Arial14CentreBold">
    <w:name w:val="Arial14CentreBold"/>
    <w:basedOn w:val="Normal"/>
    <w:qFormat/>
    <w:rsid w:val="00567381"/>
    <w:pPr>
      <w:jc w:val="center"/>
    </w:pPr>
    <w:rPr>
      <w:rFonts w:ascii="Arial" w:hAnsi="Arial" w:cs="Arial"/>
      <w:b/>
      <w:sz w:val="28"/>
      <w:szCs w:val="28"/>
    </w:rPr>
  </w:style>
  <w:style w:type="character" w:customStyle="1" w:styleId="Bold">
    <w:name w:val="Bold"/>
    <w:uiPriority w:val="1"/>
    <w:rsid w:val="00567381"/>
    <w:rPr>
      <w:b/>
    </w:rPr>
  </w:style>
  <w:style w:type="character" w:customStyle="1" w:styleId="BoldItalic">
    <w:name w:val="BoldItalic"/>
    <w:uiPriority w:val="1"/>
    <w:rsid w:val="00567381"/>
    <w:rPr>
      <w:b/>
      <w:i/>
      <w:u w:val="none"/>
    </w:rPr>
  </w:style>
  <w:style w:type="character" w:customStyle="1" w:styleId="BoldItalicUnderline">
    <w:name w:val="BoldItalicUnderline"/>
    <w:uiPriority w:val="1"/>
    <w:rsid w:val="00567381"/>
    <w:rPr>
      <w:b/>
      <w:i/>
      <w:u w:val="single"/>
    </w:rPr>
  </w:style>
  <w:style w:type="character" w:customStyle="1" w:styleId="BoldUnderline">
    <w:name w:val="BoldUnderline"/>
    <w:uiPriority w:val="1"/>
    <w:rsid w:val="00567381"/>
    <w:rPr>
      <w:b/>
      <w:u w:val="single"/>
    </w:rPr>
  </w:style>
  <w:style w:type="paragraph" w:customStyle="1" w:styleId="CoverNormalLeft">
    <w:name w:val="CoverNormalLeft"/>
    <w:basedOn w:val="CoverNormal"/>
    <w:qFormat/>
    <w:rsid w:val="00567381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567381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567381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567381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qFormat/>
    <w:rsid w:val="00567381"/>
    <w:rPr>
      <w:i/>
    </w:rPr>
  </w:style>
  <w:style w:type="character" w:customStyle="1" w:styleId="ItalicUnderline">
    <w:name w:val="ItalicUnderline"/>
    <w:uiPriority w:val="1"/>
    <w:rsid w:val="00567381"/>
    <w:rPr>
      <w:i/>
      <w:u w:val="single"/>
    </w:rPr>
  </w:style>
  <w:style w:type="paragraph" w:customStyle="1" w:styleId="LegendSign">
    <w:name w:val="LegendSign"/>
    <w:basedOn w:val="Normal"/>
    <w:qFormat/>
    <w:rsid w:val="00567381"/>
    <w:pPr>
      <w:tabs>
        <w:tab w:val="right" w:pos="454"/>
        <w:tab w:val="left" w:pos="737"/>
      </w:tabs>
      <w:ind w:left="737" w:hanging="737"/>
    </w:pPr>
    <w:rPr>
      <w:sz w:val="18"/>
    </w:rPr>
  </w:style>
  <w:style w:type="paragraph" w:customStyle="1" w:styleId="LegendStandard">
    <w:name w:val="LegendStandard"/>
    <w:basedOn w:val="LegendSign"/>
    <w:qFormat/>
    <w:rsid w:val="00567381"/>
    <w:pPr>
      <w:ind w:left="0" w:firstLine="0"/>
    </w:pPr>
  </w:style>
  <w:style w:type="paragraph" w:customStyle="1" w:styleId="LegendTitle">
    <w:name w:val="LegendTitle"/>
    <w:basedOn w:val="Normal"/>
    <w:qFormat/>
    <w:rsid w:val="00567381"/>
    <w:pPr>
      <w:spacing w:before="240" w:after="240"/>
    </w:pPr>
    <w:rPr>
      <w:b/>
      <w:i/>
    </w:rPr>
  </w:style>
  <w:style w:type="character" w:customStyle="1" w:styleId="HideTermComment">
    <w:name w:val="HideTermComment"/>
    <w:uiPriority w:val="1"/>
    <w:qFormat/>
    <w:rsid w:val="00567381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567381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qFormat/>
    <w:rsid w:val="00567381"/>
    <w:pPr>
      <w:spacing w:after="240"/>
    </w:pPr>
  </w:style>
  <w:style w:type="paragraph" w:customStyle="1" w:styleId="Normal12b">
    <w:name w:val="Normal12b"/>
    <w:basedOn w:val="Normal"/>
    <w:qFormat/>
    <w:rsid w:val="00567381"/>
    <w:pPr>
      <w:spacing w:before="240"/>
    </w:pPr>
  </w:style>
  <w:style w:type="paragraph" w:customStyle="1" w:styleId="NormalBoldUnderline24b">
    <w:name w:val="NormalBoldUnderline24b"/>
    <w:basedOn w:val="Normal"/>
    <w:qFormat/>
    <w:rsid w:val="00567381"/>
    <w:pPr>
      <w:spacing w:before="480"/>
    </w:pPr>
    <w:rPr>
      <w:b/>
      <w:u w:val="single"/>
    </w:rPr>
  </w:style>
  <w:style w:type="paragraph" w:customStyle="1" w:styleId="NormalBoldUnderline24b12a">
    <w:name w:val="NormalBoldUnderline24b12a"/>
    <w:basedOn w:val="NormalBoldUnderline24b"/>
    <w:qFormat/>
    <w:rsid w:val="00567381"/>
    <w:pPr>
      <w:spacing w:after="240"/>
    </w:pPr>
  </w:style>
  <w:style w:type="paragraph" w:customStyle="1" w:styleId="Normal12aBullet1">
    <w:name w:val="Normal12aBullet1"/>
    <w:basedOn w:val="Normal"/>
    <w:qFormat/>
    <w:rsid w:val="00567381"/>
    <w:pPr>
      <w:widowControl/>
      <w:numPr>
        <w:numId w:val="45"/>
      </w:numPr>
    </w:pPr>
  </w:style>
  <w:style w:type="paragraph" w:customStyle="1" w:styleId="Normal12aBullet2">
    <w:name w:val="Normal12aBullet2"/>
    <w:basedOn w:val="Normal"/>
    <w:qFormat/>
    <w:rsid w:val="00567381"/>
    <w:pPr>
      <w:numPr>
        <w:numId w:val="46"/>
      </w:numPr>
    </w:pPr>
  </w:style>
  <w:style w:type="paragraph" w:customStyle="1" w:styleId="NormalHanging12a1">
    <w:name w:val="NormalHanging12a1"/>
    <w:basedOn w:val="Normal"/>
    <w:qFormat/>
    <w:rsid w:val="00567381"/>
    <w:pPr>
      <w:spacing w:after="240"/>
      <w:ind w:left="992" w:hanging="425"/>
    </w:pPr>
  </w:style>
  <w:style w:type="paragraph" w:customStyle="1" w:styleId="NormalHanging12a2">
    <w:name w:val="NormalHanging12a2"/>
    <w:basedOn w:val="NormalHanging12a1"/>
    <w:qFormat/>
    <w:rsid w:val="00567381"/>
    <w:pPr>
      <w:ind w:left="1417"/>
    </w:pPr>
  </w:style>
  <w:style w:type="paragraph" w:customStyle="1" w:styleId="NormalHanging12a3">
    <w:name w:val="NormalHanging12a3"/>
    <w:basedOn w:val="NormalHanging12a2"/>
    <w:qFormat/>
    <w:rsid w:val="00567381"/>
    <w:pPr>
      <w:ind w:left="1843"/>
    </w:pPr>
  </w:style>
  <w:style w:type="paragraph" w:customStyle="1" w:styleId="NormalHanging12a4">
    <w:name w:val="NormalHanging12a4"/>
    <w:basedOn w:val="NormalHanging12a3"/>
    <w:qFormat/>
    <w:rsid w:val="00567381"/>
    <w:pPr>
      <w:ind w:left="2268"/>
    </w:pPr>
  </w:style>
  <w:style w:type="paragraph" w:customStyle="1" w:styleId="NormalHanging12a5">
    <w:name w:val="NormalHanging12a5"/>
    <w:basedOn w:val="NormalHanging12a4"/>
    <w:qFormat/>
    <w:rsid w:val="00567381"/>
    <w:pPr>
      <w:ind w:left="2693"/>
    </w:pPr>
  </w:style>
  <w:style w:type="paragraph" w:customStyle="1" w:styleId="NormalHanging12a6">
    <w:name w:val="NormalHanging12a6"/>
    <w:basedOn w:val="NormalHanging12a5"/>
    <w:qFormat/>
    <w:rsid w:val="00567381"/>
    <w:pPr>
      <w:ind w:left="3118"/>
    </w:pPr>
  </w:style>
  <w:style w:type="paragraph" w:customStyle="1" w:styleId="NormalHanging12a7">
    <w:name w:val="NormalHanging12a7"/>
    <w:basedOn w:val="NormalHanging12a6"/>
    <w:qFormat/>
    <w:rsid w:val="00567381"/>
    <w:pPr>
      <w:ind w:left="3544"/>
    </w:pPr>
  </w:style>
  <w:style w:type="paragraph" w:customStyle="1" w:styleId="NormalHangingCenter">
    <w:name w:val="NormalHangingCenter"/>
    <w:basedOn w:val="Normal"/>
    <w:qFormat/>
    <w:rsid w:val="00567381"/>
    <w:pPr>
      <w:spacing w:after="240"/>
      <w:ind w:left="567" w:hanging="567"/>
      <w:jc w:val="center"/>
    </w:pPr>
  </w:style>
  <w:style w:type="paragraph" w:customStyle="1" w:styleId="NormalHangingJustified">
    <w:name w:val="NormalHangingJustified"/>
    <w:basedOn w:val="Normal"/>
    <w:qFormat/>
    <w:rsid w:val="00567381"/>
    <w:pPr>
      <w:spacing w:after="240"/>
      <w:ind w:left="714" w:hanging="357"/>
      <w:jc w:val="both"/>
    </w:pPr>
  </w:style>
  <w:style w:type="paragraph" w:customStyle="1" w:styleId="NormalUnderline24b12a">
    <w:name w:val="NormalUnderline24b12a"/>
    <w:basedOn w:val="EPComma"/>
    <w:qFormat/>
    <w:rsid w:val="00567381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567381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567381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567381"/>
    <w:rPr>
      <w:b/>
      <w:i/>
    </w:rPr>
  </w:style>
  <w:style w:type="paragraph" w:customStyle="1" w:styleId="NormalBoldItalicCenter6a">
    <w:name w:val="NormalBoldItalicCenter6a"/>
    <w:basedOn w:val="Normal6a"/>
    <w:qFormat/>
    <w:rsid w:val="00567381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567381"/>
    <w:rPr>
      <w:i/>
    </w:rPr>
  </w:style>
  <w:style w:type="paragraph" w:customStyle="1" w:styleId="PageHeadingNotTOC">
    <w:name w:val="PageHeadingNotTOC"/>
    <w:basedOn w:val="PageHeading"/>
    <w:qFormat/>
    <w:rsid w:val="00567381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567381"/>
    <w:rPr>
      <w:vertAlign w:val="subscript"/>
    </w:rPr>
  </w:style>
  <w:style w:type="character" w:customStyle="1" w:styleId="SubBold">
    <w:name w:val="SubBold"/>
    <w:uiPriority w:val="1"/>
    <w:qFormat/>
    <w:rsid w:val="00567381"/>
    <w:rPr>
      <w:b/>
      <w:vertAlign w:val="subscript"/>
    </w:rPr>
  </w:style>
  <w:style w:type="character" w:customStyle="1" w:styleId="SubBoldItalic">
    <w:name w:val="SubBoldItalic"/>
    <w:uiPriority w:val="1"/>
    <w:rsid w:val="00567381"/>
    <w:rPr>
      <w:b/>
      <w:i/>
      <w:vertAlign w:val="subscript"/>
    </w:rPr>
  </w:style>
  <w:style w:type="character" w:customStyle="1" w:styleId="SubItalic">
    <w:name w:val="SubItalic"/>
    <w:uiPriority w:val="1"/>
    <w:qFormat/>
    <w:rsid w:val="00567381"/>
    <w:rPr>
      <w:b/>
      <w:i/>
      <w:vertAlign w:val="subscript"/>
    </w:rPr>
  </w:style>
  <w:style w:type="character" w:customStyle="1" w:styleId="Sup">
    <w:name w:val="Sup"/>
    <w:uiPriority w:val="1"/>
    <w:rsid w:val="00567381"/>
    <w:rPr>
      <w:vertAlign w:val="superscript"/>
    </w:rPr>
  </w:style>
  <w:style w:type="character" w:customStyle="1" w:styleId="SupBoldItalic">
    <w:name w:val="SupBoldItalic"/>
    <w:uiPriority w:val="1"/>
    <w:qFormat/>
    <w:rsid w:val="00567381"/>
    <w:rPr>
      <w:b/>
      <w:i/>
      <w:vertAlign w:val="superscript"/>
    </w:rPr>
  </w:style>
  <w:style w:type="character" w:customStyle="1" w:styleId="Underline">
    <w:name w:val="Underline"/>
    <w:uiPriority w:val="1"/>
    <w:rsid w:val="00567381"/>
    <w:rPr>
      <w:u w:val="single"/>
    </w:rPr>
  </w:style>
  <w:style w:type="paragraph" w:customStyle="1" w:styleId="NormalBoldCenter">
    <w:name w:val="NormalBoldCenter"/>
    <w:basedOn w:val="Normal"/>
    <w:qFormat/>
    <w:rsid w:val="00567381"/>
    <w:pPr>
      <w:jc w:val="center"/>
    </w:pPr>
    <w:rPr>
      <w:b/>
    </w:rPr>
  </w:style>
  <w:style w:type="paragraph" w:customStyle="1" w:styleId="ProcedureTable">
    <w:name w:val="ProcedureTable"/>
    <w:basedOn w:val="Normal"/>
    <w:rsid w:val="00567381"/>
    <w:rPr>
      <w:sz w:val="20"/>
    </w:rPr>
  </w:style>
  <w:style w:type="paragraph" w:customStyle="1" w:styleId="ProcedureTableBold">
    <w:name w:val="ProcedureTableBold"/>
    <w:basedOn w:val="Normal"/>
    <w:rsid w:val="00567381"/>
    <w:rPr>
      <w:b/>
      <w:sz w:val="20"/>
    </w:rPr>
  </w:style>
  <w:style w:type="paragraph" w:customStyle="1" w:styleId="NormalCenter">
    <w:name w:val="NormalCenter"/>
    <w:basedOn w:val="Normal"/>
    <w:rsid w:val="00567381"/>
    <w:pPr>
      <w:jc w:val="center"/>
    </w:pPr>
  </w:style>
  <w:style w:type="character" w:customStyle="1" w:styleId="SubBoldItalicUnderline">
    <w:name w:val="SubBoldItalicUnderline"/>
    <w:uiPriority w:val="1"/>
    <w:rsid w:val="00567381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567381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567381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567381"/>
    <w:rPr>
      <w:u w:val="single"/>
      <w:vertAlign w:val="subscript"/>
    </w:rPr>
  </w:style>
  <w:style w:type="character" w:customStyle="1" w:styleId="SupBold">
    <w:name w:val="SupBold"/>
    <w:uiPriority w:val="1"/>
    <w:rsid w:val="00567381"/>
    <w:rPr>
      <w:b/>
      <w:vertAlign w:val="superscript"/>
    </w:rPr>
  </w:style>
  <w:style w:type="character" w:customStyle="1" w:styleId="SupBoldItalicUnderline">
    <w:name w:val="SupBoldItalicUnderline"/>
    <w:uiPriority w:val="1"/>
    <w:rsid w:val="00567381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567381"/>
    <w:rPr>
      <w:b/>
      <w:u w:val="single"/>
      <w:vertAlign w:val="superscript"/>
    </w:rPr>
  </w:style>
  <w:style w:type="character" w:customStyle="1" w:styleId="SupItalic">
    <w:name w:val="SupItalic"/>
    <w:uiPriority w:val="1"/>
    <w:rsid w:val="00567381"/>
    <w:rPr>
      <w:i/>
      <w:vertAlign w:val="superscript"/>
    </w:rPr>
  </w:style>
  <w:style w:type="character" w:customStyle="1" w:styleId="SupItalicUnderline">
    <w:name w:val="SupItalicUnderline"/>
    <w:uiPriority w:val="1"/>
    <w:rsid w:val="00567381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567381"/>
    <w:rPr>
      <w:u w:val="single"/>
      <w:vertAlign w:val="superscript"/>
    </w:rPr>
  </w:style>
  <w:style w:type="paragraph" w:customStyle="1" w:styleId="Normal24a">
    <w:name w:val="Normal24a"/>
    <w:basedOn w:val="Normal"/>
    <w:qFormat/>
    <w:rsid w:val="00567381"/>
    <w:pPr>
      <w:spacing w:after="480"/>
    </w:pPr>
  </w:style>
  <w:style w:type="paragraph" w:customStyle="1" w:styleId="Normal12a24b">
    <w:name w:val="Normal12a24b"/>
    <w:basedOn w:val="Normal"/>
    <w:rsid w:val="00567381"/>
    <w:pPr>
      <w:spacing w:before="360" w:after="240"/>
    </w:pPr>
    <w:rPr>
      <w:snapToGrid w:val="0"/>
      <w:lang w:eastAsia="en-US"/>
    </w:rPr>
  </w:style>
  <w:style w:type="paragraph" w:customStyle="1" w:styleId="NormalTab">
    <w:name w:val="NormalTab"/>
    <w:basedOn w:val="Normal"/>
    <w:rsid w:val="00567381"/>
    <w:pPr>
      <w:tabs>
        <w:tab w:val="center" w:pos="284"/>
        <w:tab w:val="left" w:pos="425"/>
      </w:tabs>
    </w:pPr>
  </w:style>
  <w:style w:type="character" w:styleId="Hyperlink">
    <w:name w:val="Hyperlink"/>
    <w:basedOn w:val="DefaultParagraphFont"/>
    <w:rsid w:val="00567381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567381"/>
    <w:rPr>
      <w:snapToGrid w:val="0"/>
      <w:sz w:val="24"/>
      <w:lang w:val="cs-CZ" w:eastAsia="en-US"/>
    </w:rPr>
  </w:style>
  <w:style w:type="paragraph" w:customStyle="1" w:styleId="AmDocTypeTab">
    <w:name w:val="AmDocTypeTab"/>
    <w:basedOn w:val="Normal"/>
    <w:qFormat/>
    <w:rsid w:val="00567381"/>
    <w:pPr>
      <w:tabs>
        <w:tab w:val="right" w:pos="9071"/>
      </w:tabs>
    </w:pPr>
    <w:rPr>
      <w:b/>
    </w:rPr>
  </w:style>
  <w:style w:type="paragraph" w:customStyle="1" w:styleId="AmDateTab">
    <w:name w:val="AmDateTab"/>
    <w:basedOn w:val="Normal"/>
    <w:qFormat/>
    <w:rsid w:val="00567381"/>
    <w:pPr>
      <w:tabs>
        <w:tab w:val="right" w:pos="9071"/>
      </w:tabs>
    </w:pPr>
  </w:style>
  <w:style w:type="paragraph" w:styleId="Footer">
    <w:name w:val="footer"/>
    <w:basedOn w:val="Normal"/>
    <w:link w:val="FooterChar"/>
    <w:unhideWhenUsed/>
    <w:rsid w:val="00567381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FooterChar">
    <w:name w:val="Footer Char"/>
    <w:basedOn w:val="DefaultParagraphFont"/>
    <w:link w:val="Footer"/>
    <w:rsid w:val="00567381"/>
    <w:rPr>
      <w:snapToGrid w:val="0"/>
      <w:sz w:val="24"/>
      <w:lang w:val="cs-CZ" w:eastAsia="en-US"/>
    </w:rPr>
  </w:style>
  <w:style w:type="character" w:customStyle="1" w:styleId="FootnoteCharacters">
    <w:name w:val="Footnote Characters"/>
    <w:basedOn w:val="DefaultParagraphFont"/>
    <w:qFormat/>
    <w:rsid w:val="00567381"/>
    <w:rPr>
      <w:vertAlign w:val="superscript"/>
    </w:rPr>
  </w:style>
  <w:style w:type="paragraph" w:customStyle="1" w:styleId="Normal6">
    <w:name w:val="Normal6"/>
    <w:basedOn w:val="Normal"/>
    <w:link w:val="Normal6Char"/>
    <w:rsid w:val="00567381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567381"/>
    <w:rPr>
      <w:b/>
      <w:snapToGrid w:val="0"/>
      <w:sz w:val="24"/>
      <w:lang w:val="cs-CZ" w:eastAsia="en-US"/>
    </w:rPr>
  </w:style>
  <w:style w:type="character" w:customStyle="1" w:styleId="Normal6Char">
    <w:name w:val="Normal6 Char"/>
    <w:basedOn w:val="DefaultParagraphFont"/>
    <w:link w:val="Normal6"/>
    <w:rsid w:val="00567381"/>
    <w:rPr>
      <w:sz w:val="24"/>
      <w:lang w:val="cs-CZ"/>
    </w:rPr>
  </w:style>
  <w:style w:type="paragraph" w:customStyle="1" w:styleId="ColumnHeading">
    <w:name w:val="ColumnHeading"/>
    <w:basedOn w:val="Normal"/>
    <w:rsid w:val="0056738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6738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567381"/>
    <w:pPr>
      <w:jc w:val="right"/>
    </w:pPr>
    <w:rPr>
      <w:lang w:val="cs-CZ"/>
    </w:rPr>
  </w:style>
  <w:style w:type="paragraph" w:styleId="BalloonText">
    <w:name w:val="Balloon Text"/>
    <w:basedOn w:val="Normal"/>
    <w:link w:val="BalloonTextChar"/>
    <w:unhideWhenUsed/>
    <w:qFormat/>
    <w:rsid w:val="005673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sid w:val="00567381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qFormat/>
    <w:rsid w:val="00567381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567381"/>
    <w:rPr>
      <w:sz w:val="20"/>
    </w:rPr>
  </w:style>
  <w:style w:type="character" w:customStyle="1" w:styleId="CommentTextChar">
    <w:name w:val="Comment Text Char"/>
    <w:basedOn w:val="DefaultParagraphFont"/>
    <w:link w:val="CommentText"/>
    <w:qFormat/>
    <w:rsid w:val="00567381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qFormat/>
    <w:rsid w:val="005673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qFormat/>
    <w:rsid w:val="00567381"/>
    <w:rPr>
      <w:b/>
      <w:bCs/>
      <w:lang w:val="cs-CZ"/>
    </w:rPr>
  </w:style>
  <w:style w:type="character" w:customStyle="1" w:styleId="AmNumberTabsChar">
    <w:name w:val="AmNumberTabs Char"/>
    <w:basedOn w:val="DefaultParagraphFont"/>
    <w:link w:val="AmNumberTabs"/>
    <w:rsid w:val="00567381"/>
    <w:rPr>
      <w:b/>
      <w:sz w:val="24"/>
      <w:lang w:val="cs-CZ"/>
    </w:rPr>
  </w:style>
  <w:style w:type="character" w:customStyle="1" w:styleId="NormalBold12bChar">
    <w:name w:val="NormalBold12b Char"/>
    <w:basedOn w:val="AmNumberTabsChar"/>
    <w:link w:val="NormalBold12b"/>
    <w:rsid w:val="00567381"/>
    <w:rPr>
      <w:b/>
      <w:sz w:val="24"/>
      <w:lang w:val="cs-CZ"/>
    </w:rPr>
  </w:style>
  <w:style w:type="paragraph" w:customStyle="1" w:styleId="Footprint12b">
    <w:name w:val="Footprint12b"/>
    <w:basedOn w:val="Normal"/>
    <w:qFormat/>
    <w:rsid w:val="00567381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567381"/>
    <w:rPr>
      <w:szCs w:val="24"/>
    </w:rPr>
  </w:style>
  <w:style w:type="paragraph" w:customStyle="1" w:styleId="RollCallSymbols14pt">
    <w:name w:val="RollCallSymbols14pt"/>
    <w:basedOn w:val="Normal"/>
    <w:rsid w:val="0056738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56738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56738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567381"/>
    <w:pPr>
      <w:spacing w:before="120" w:after="120"/>
    </w:pPr>
    <w:rPr>
      <w:snapToGrid w:val="0"/>
      <w:sz w:val="16"/>
      <w:lang w:eastAsia="en-US"/>
    </w:rPr>
  </w:style>
  <w:style w:type="character" w:styleId="FollowedHyperlink">
    <w:name w:val="FollowedHyperlink"/>
    <w:basedOn w:val="DefaultParagraphFont"/>
    <w:rsid w:val="00567381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567381"/>
    <w:rPr>
      <w:i/>
      <w:iCs/>
    </w:rPr>
  </w:style>
  <w:style w:type="paragraph" w:customStyle="1" w:styleId="titreobjetcp">
    <w:name w:val="titreobjet_cp"/>
    <w:basedOn w:val="Normal"/>
    <w:rsid w:val="00567381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567381"/>
    <w:rPr>
      <w:sz w:val="24"/>
      <w:lang w:val="cs-CZ"/>
    </w:rPr>
  </w:style>
  <w:style w:type="character" w:customStyle="1" w:styleId="Znakypropoznmkupodarou">
    <w:name w:val="Znaky pro poznámku pod čarou"/>
    <w:qFormat/>
    <w:rsid w:val="00567381"/>
  </w:style>
  <w:style w:type="character" w:customStyle="1" w:styleId="Znakyprovysvtlivky">
    <w:name w:val="Znaky pro vysvětlivky"/>
    <w:qFormat/>
    <w:rsid w:val="00567381"/>
  </w:style>
  <w:style w:type="paragraph" w:customStyle="1" w:styleId="Nadpis">
    <w:name w:val="Nadpis"/>
    <w:basedOn w:val="Normal"/>
    <w:next w:val="BodyText"/>
    <w:qFormat/>
    <w:rsid w:val="00567381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rsid w:val="00567381"/>
    <w:pPr>
      <w:suppressAutoHyphens/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rsid w:val="00567381"/>
    <w:rPr>
      <w:sz w:val="24"/>
      <w:lang w:val="cs-CZ"/>
    </w:rPr>
  </w:style>
  <w:style w:type="paragraph" w:styleId="List">
    <w:name w:val="List"/>
    <w:basedOn w:val="BodyText"/>
    <w:rsid w:val="00567381"/>
    <w:rPr>
      <w:rFonts w:cs="Arial"/>
    </w:rPr>
  </w:style>
  <w:style w:type="paragraph" w:styleId="Caption">
    <w:name w:val="caption"/>
    <w:basedOn w:val="Normal"/>
    <w:qFormat/>
    <w:rsid w:val="00567381"/>
    <w:pPr>
      <w:suppressLineNumbers/>
      <w:suppressAutoHyphens/>
      <w:spacing w:before="120" w:after="120"/>
    </w:pPr>
    <w:rPr>
      <w:rFonts w:cs="Arial"/>
      <w:i/>
      <w:iCs/>
      <w:szCs w:val="24"/>
    </w:rPr>
  </w:style>
  <w:style w:type="paragraph" w:customStyle="1" w:styleId="Rejstk">
    <w:name w:val="Rejstřík"/>
    <w:basedOn w:val="Normal"/>
    <w:qFormat/>
    <w:rsid w:val="00567381"/>
    <w:pPr>
      <w:suppressLineNumbers/>
      <w:suppressAutoHyphens/>
    </w:pPr>
    <w:rPr>
      <w:rFonts w:cs="Arial"/>
    </w:rPr>
  </w:style>
  <w:style w:type="paragraph" w:styleId="Index1">
    <w:name w:val="index 1"/>
    <w:basedOn w:val="Normal"/>
    <w:next w:val="Normal"/>
    <w:autoRedefine/>
    <w:unhideWhenUsed/>
    <w:rsid w:val="00567381"/>
    <w:pPr>
      <w:ind w:left="240" w:hanging="240"/>
    </w:pPr>
    <w:rPr>
      <w:snapToGrid w:val="0"/>
      <w:lang w:eastAsia="en-US"/>
    </w:rPr>
  </w:style>
  <w:style w:type="paragraph" w:styleId="IndexHeading">
    <w:name w:val="index heading"/>
    <w:basedOn w:val="Nadpis"/>
    <w:rsid w:val="00567381"/>
  </w:style>
  <w:style w:type="paragraph" w:customStyle="1" w:styleId="Zhlavazpat">
    <w:name w:val="Záhlaví a zápatí"/>
    <w:basedOn w:val="Normal"/>
    <w:qFormat/>
    <w:rsid w:val="00567381"/>
    <w:pPr>
      <w:suppressAutoHyphens/>
    </w:pPr>
  </w:style>
  <w:style w:type="character" w:customStyle="1" w:styleId="FooterChar1">
    <w:name w:val="Footer Char1"/>
    <w:basedOn w:val="DefaultParagraphFont"/>
    <w:semiHidden/>
    <w:rsid w:val="00567381"/>
    <w:rPr>
      <w:snapToGrid w:val="0"/>
      <w:sz w:val="24"/>
      <w:lang w:eastAsia="en-US"/>
    </w:rPr>
  </w:style>
  <w:style w:type="paragraph" w:customStyle="1" w:styleId="normal24a0">
    <w:name w:val="normal24a"/>
    <w:basedOn w:val="Normal"/>
    <w:qFormat/>
    <w:rsid w:val="00567381"/>
    <w:pPr>
      <w:widowControl/>
      <w:suppressAutoHyphens/>
      <w:spacing w:after="480"/>
    </w:pPr>
    <w:rPr>
      <w:rFonts w:eastAsiaTheme="minorHAns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4/4618/oj" TargetMode="External"/><Relationship Id="rId3" Type="http://schemas.openxmlformats.org/officeDocument/2006/relationships/hyperlink" Target="http://data.europa.eu/eli/reg/2020/2092/oj" TargetMode="External"/><Relationship Id="rId7" Type="http://schemas.openxmlformats.org/officeDocument/2006/relationships/hyperlink" Target="http://data.europa.eu/eli/reg/2024/1263/oj" TargetMode="External"/><Relationship Id="rId12" Type="http://schemas.openxmlformats.org/officeDocument/2006/relationships/hyperlink" Target="http://data.europa.eu/eli/reg/2021/1060/oj" TargetMode="External"/><Relationship Id="rId2" Type="http://schemas.openxmlformats.org/officeDocument/2006/relationships/hyperlink" Target="http://data.europa.eu/eli/reg/2023/435/oj" TargetMode="External"/><Relationship Id="rId1" Type="http://schemas.openxmlformats.org/officeDocument/2006/relationships/hyperlink" Target="http://data.europa.eu/eli/reg/2021/241/oj" TargetMode="External"/><Relationship Id="rId6" Type="http://schemas.openxmlformats.org/officeDocument/2006/relationships/hyperlink" Target="http://data.europa.eu/eli/reg/2024/795/oj" TargetMode="External"/><Relationship Id="rId11" Type="http://schemas.openxmlformats.org/officeDocument/2006/relationships/hyperlink" Target="http://data.europa.eu/eli/C/2024/5742/oj" TargetMode="External"/><Relationship Id="rId5" Type="http://schemas.openxmlformats.org/officeDocument/2006/relationships/hyperlink" Target="http://data.europa.eu/eli/reg/2024/2509/oj" TargetMode="External"/><Relationship Id="rId10" Type="http://schemas.openxmlformats.org/officeDocument/2006/relationships/hyperlink" Target="https://www.europarl.europa.eu/thinktank/en/research/advanced-search?textualSearch=RRF&amp;startDate=01/07/2019&amp;endDate=&amp;sort=RELEVANCE" TargetMode="External"/><Relationship Id="rId4" Type="http://schemas.openxmlformats.org/officeDocument/2006/relationships/hyperlink" Target="http://data.europa.eu/eli/reg/2024/765/oj" TargetMode="External"/><Relationship Id="rId9" Type="http://schemas.openxmlformats.org/officeDocument/2006/relationships/hyperlink" Target="http://data.europa.eu/eli/C/2024/705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519DC-D7BA-4792-B487-5F0CDF9B7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9266</Words>
  <Characters>55169</Characters>
  <Application>Microsoft Office Word</Application>
  <DocSecurity>4</DocSecurity>
  <Lines>459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GIRGINOV Kiril</cp:lastModifiedBy>
  <cp:revision>2</cp:revision>
  <cp:lastPrinted>2004-11-19T15:42:00Z</cp:lastPrinted>
  <dcterms:created xsi:type="dcterms:W3CDTF">2025-10-15T08:08:00Z</dcterms:created>
  <dcterms:modified xsi:type="dcterms:W3CDTF">2025-10-15T08:08:00Z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P10_TA(2025)0128_</vt:lpwstr>
  </property>
  <property fmtid="{D5CDD505-2E9C-101B-9397-08002B2CF9AE}" pid="4" name="&lt;Type&gt;">
    <vt:lpwstr>RR</vt:lpwstr>
  </property>
</Properties>
</file>