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5A0E" w14:paraId="69F7485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82FD96" w14:textId="77777777" w:rsidR="00751A4A" w:rsidRPr="00CB5A0E" w:rsidRDefault="000B700D" w:rsidP="0010095E">
            <w:pPr>
              <w:pStyle w:val="EPName"/>
            </w:pPr>
            <w:r w:rsidRPr="00CB5A0E">
              <w:t>Evropský parlament</w:t>
            </w:r>
          </w:p>
          <w:p w14:paraId="4F471EAF" w14:textId="77777777" w:rsidR="00751A4A" w:rsidRPr="00CB5A0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5A0E">
              <w:t>2024</w:t>
            </w:r>
            <w:r w:rsidR="00817416" w:rsidRPr="00CB5A0E">
              <w:t>-202</w:t>
            </w:r>
            <w:r w:rsidRPr="00CB5A0E">
              <w:t>9</w:t>
            </w:r>
          </w:p>
        </w:tc>
        <w:tc>
          <w:tcPr>
            <w:tcW w:w="2268" w:type="dxa"/>
            <w:shd w:val="clear" w:color="auto" w:fill="auto"/>
          </w:tcPr>
          <w:p w14:paraId="76710C71" w14:textId="77777777" w:rsidR="00751A4A" w:rsidRPr="00CB5A0E" w:rsidRDefault="00187494" w:rsidP="0010095E">
            <w:pPr>
              <w:pStyle w:val="EPLogo"/>
            </w:pPr>
            <w:r w:rsidRPr="00CB5A0E">
              <w:rPr>
                <w:noProof/>
                <w:lang w:eastAsia="cs-CZ"/>
              </w:rPr>
              <w:drawing>
                <wp:inline distT="0" distB="0" distL="0" distR="0" wp14:anchorId="59005B4A" wp14:editId="7DBB0F8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9EB354" w14:textId="77777777" w:rsidR="00D058B8" w:rsidRPr="00CB5A0E" w:rsidRDefault="00D058B8" w:rsidP="004C5D52">
      <w:pPr>
        <w:pStyle w:val="LineTop"/>
      </w:pPr>
    </w:p>
    <w:p w14:paraId="39527E2D" w14:textId="77777777" w:rsidR="00680577" w:rsidRPr="00CB5A0E" w:rsidRDefault="000B700D" w:rsidP="00680577">
      <w:pPr>
        <w:pStyle w:val="EPBodyTA1"/>
      </w:pPr>
      <w:r w:rsidRPr="00CB5A0E">
        <w:t>PŘIJATÉ TEXTY</w:t>
      </w:r>
    </w:p>
    <w:p w14:paraId="2CBF43F7" w14:textId="77777777" w:rsidR="00D058B8" w:rsidRPr="00CB5A0E" w:rsidRDefault="00D058B8" w:rsidP="00D058B8">
      <w:pPr>
        <w:pStyle w:val="LineBottom"/>
      </w:pPr>
    </w:p>
    <w:p w14:paraId="409F1660" w14:textId="4D757898" w:rsidR="000B700D" w:rsidRPr="00CB5A0E" w:rsidRDefault="000B700D" w:rsidP="000B700D">
      <w:pPr>
        <w:pStyle w:val="ATHeading1"/>
      </w:pPr>
      <w:bookmarkStart w:id="0" w:name="TANumber"/>
      <w:r w:rsidRPr="00CB5A0E">
        <w:t>P10_TA(2025)0</w:t>
      </w:r>
      <w:r w:rsidR="00765A25">
        <w:t>129</w:t>
      </w:r>
      <w:bookmarkEnd w:id="0"/>
    </w:p>
    <w:p w14:paraId="322A2AD5" w14:textId="77777777" w:rsidR="000B700D" w:rsidRPr="00CB5A0E" w:rsidRDefault="000B700D" w:rsidP="000B700D">
      <w:pPr>
        <w:pStyle w:val="ATHeading2"/>
      </w:pPr>
      <w:bookmarkStart w:id="1" w:name="title"/>
      <w:r w:rsidRPr="00CB5A0E">
        <w:t>Zpráva Komise o právním státu za rok 2024</w:t>
      </w:r>
      <w:bookmarkEnd w:id="1"/>
    </w:p>
    <w:p w14:paraId="16B9EB92" w14:textId="77777777" w:rsidR="000B700D" w:rsidRPr="00CB5A0E" w:rsidRDefault="000B700D" w:rsidP="000B700D">
      <w:pPr>
        <w:rPr>
          <w:i/>
          <w:vanish/>
        </w:rPr>
      </w:pPr>
      <w:r w:rsidRPr="00CB5A0E">
        <w:rPr>
          <w:i/>
        </w:rPr>
        <w:fldChar w:fldCharType="begin"/>
      </w:r>
      <w:r w:rsidRPr="00CB5A0E">
        <w:rPr>
          <w:i/>
        </w:rPr>
        <w:instrText xml:space="preserve"> TC"(</w:instrText>
      </w:r>
      <w:bookmarkStart w:id="2" w:name="DocNumber"/>
      <w:r w:rsidRPr="00CB5A0E">
        <w:rPr>
          <w:i/>
        </w:rPr>
        <w:instrText>A10-0100/2025</w:instrText>
      </w:r>
      <w:bookmarkEnd w:id="2"/>
      <w:r w:rsidRPr="00CB5A0E">
        <w:rPr>
          <w:i/>
        </w:rPr>
        <w:instrText xml:space="preserve"> - Zpravodajka: Ana Catarina Mendes)"\l3 \n&gt; \* MERGEFORMAT </w:instrText>
      </w:r>
      <w:r w:rsidRPr="00CB5A0E">
        <w:rPr>
          <w:i/>
        </w:rPr>
        <w:fldChar w:fldCharType="end"/>
      </w:r>
    </w:p>
    <w:p w14:paraId="758F10BC" w14:textId="77777777" w:rsidR="000B700D" w:rsidRPr="00CB5A0E" w:rsidRDefault="000B700D" w:rsidP="000B700D">
      <w:pPr>
        <w:rPr>
          <w:vanish/>
        </w:rPr>
      </w:pPr>
      <w:bookmarkStart w:id="3" w:name="Commission"/>
      <w:r w:rsidRPr="00CB5A0E">
        <w:rPr>
          <w:vanish/>
        </w:rPr>
        <w:t>Výbor pro občanské svobody, spravedlnost a vnitřní věci</w:t>
      </w:r>
      <w:bookmarkEnd w:id="3"/>
    </w:p>
    <w:p w14:paraId="0C81EE31" w14:textId="77777777" w:rsidR="000B700D" w:rsidRPr="00CB5A0E" w:rsidRDefault="000B700D" w:rsidP="000B700D">
      <w:pPr>
        <w:rPr>
          <w:vanish/>
        </w:rPr>
      </w:pPr>
      <w:bookmarkStart w:id="4" w:name="PE"/>
      <w:r w:rsidRPr="00CB5A0E">
        <w:rPr>
          <w:vanish/>
        </w:rPr>
        <w:t>PE767.867</w:t>
      </w:r>
      <w:bookmarkEnd w:id="4"/>
    </w:p>
    <w:p w14:paraId="6F9B84DF" w14:textId="77777777" w:rsidR="000B700D" w:rsidRPr="00CB5A0E" w:rsidRDefault="000B700D" w:rsidP="000B700D">
      <w:pPr>
        <w:pStyle w:val="ATHeading3"/>
      </w:pPr>
      <w:bookmarkStart w:id="5" w:name="Sujet"/>
      <w:r w:rsidRPr="00CB5A0E">
        <w:t>Usnesení Evropského parlamentu ze dne 18. června 2025 o zprávě Komise o právním státu za rok 2024</w:t>
      </w:r>
      <w:bookmarkEnd w:id="5"/>
      <w:r w:rsidRPr="00CB5A0E">
        <w:t xml:space="preserve"> </w:t>
      </w:r>
      <w:bookmarkStart w:id="6" w:name="References"/>
      <w:r w:rsidRPr="00CB5A0E">
        <w:t>(2024/2078(INI))</w:t>
      </w:r>
      <w:bookmarkEnd w:id="6"/>
    </w:p>
    <w:p w14:paraId="58785FA8" w14:textId="77777777" w:rsidR="00FE21BA" w:rsidRPr="00CB5A0E" w:rsidRDefault="00FE21BA" w:rsidP="00FE21BA">
      <w:pPr>
        <w:pStyle w:val="EPComma"/>
      </w:pPr>
      <w:r w:rsidRPr="00CB5A0E">
        <w:rPr>
          <w:rStyle w:val="Italic"/>
        </w:rPr>
        <w:t>Evropský parlament</w:t>
      </w:r>
      <w:r w:rsidRPr="00CB5A0E">
        <w:t>,</w:t>
      </w:r>
    </w:p>
    <w:p w14:paraId="1CFA8D9F" w14:textId="2A3D31C2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Smlouvu o Evropské unii (</w:t>
      </w:r>
      <w:r w:rsidR="007C2654">
        <w:t>dále jen „</w:t>
      </w:r>
      <w:r w:rsidRPr="00CB5A0E">
        <w:t>S</w:t>
      </w:r>
      <w:r w:rsidR="007C2654">
        <w:t xml:space="preserve">mlouva o </w:t>
      </w:r>
      <w:r w:rsidRPr="00CB5A0E">
        <w:t>EU</w:t>
      </w:r>
      <w:r w:rsidR="007C2654">
        <w:t>“</w:t>
      </w:r>
      <w:r w:rsidRPr="00CB5A0E">
        <w:t>), zejména na její článek 2, čl. 3 odst. 1, čl. 3 odst. 3 druhý pododstavec, čl. 4 odst. 3 a články 5, 6, 7, 11, 19 a 49,</w:t>
      </w:r>
    </w:p>
    <w:p w14:paraId="5317BB37" w14:textId="1C8EAFB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Smlouvu o fungování Evropské unie (</w:t>
      </w:r>
      <w:r w:rsidR="007C2654">
        <w:t>dále jen „</w:t>
      </w:r>
      <w:r w:rsidRPr="00CB5A0E">
        <w:t>S</w:t>
      </w:r>
      <w:r w:rsidR="007C2654">
        <w:t xml:space="preserve">mlouva o fungování </w:t>
      </w:r>
      <w:r w:rsidRPr="00CB5A0E">
        <w:t>EU</w:t>
      </w:r>
      <w:r w:rsidR="007C2654">
        <w:t>“</w:t>
      </w:r>
      <w:r w:rsidRPr="00CB5A0E">
        <w:t>), zejména na její články, které se týkají dodržování, prosazování a ochrany demokracie, právního státu a základních práv v Unii, včetně článků 70, 258, 259, 260, 263, 265 a 267,</w:t>
      </w:r>
    </w:p>
    <w:p w14:paraId="50761E7F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Listinu základních práv Evropské unie (dále jen „Listina“),</w:t>
      </w:r>
    </w:p>
    <w:p w14:paraId="5E7CCF18" w14:textId="28F7CD08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judikaturu Soudního dvora Evropské unie (</w:t>
      </w:r>
      <w:r w:rsidR="007C2654">
        <w:t>dále jen „</w:t>
      </w:r>
      <w:r w:rsidRPr="00CB5A0E">
        <w:t>S</w:t>
      </w:r>
      <w:r w:rsidR="007C2654">
        <w:t>oudní dvůr“</w:t>
      </w:r>
      <w:r w:rsidRPr="00CB5A0E">
        <w:t>),</w:t>
      </w:r>
    </w:p>
    <w:p w14:paraId="7521A734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sdělení Komise ze dne 24. července 2024 nazvané „Zpráva o právním státu 2024 – Stav právního státu v Evropské unii“ (</w:t>
      </w:r>
      <w:proofErr w:type="gramStart"/>
      <w:r w:rsidRPr="00CB5A0E">
        <w:t>COM(</w:t>
      </w:r>
      <w:proofErr w:type="gramEnd"/>
      <w:r w:rsidRPr="00CB5A0E">
        <w:t>2024)0800) a jeho přílohu obsahující doporučení členským státům,</w:t>
      </w:r>
    </w:p>
    <w:p w14:paraId="27186DC7" w14:textId="26DC1E7D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sdělení Komise ze dne 30. října 2024 o</w:t>
      </w:r>
      <w:r w:rsidR="00D10CE9">
        <w:t> politice rozšíření EU (</w:t>
      </w:r>
      <w:proofErr w:type="gramStart"/>
      <w:r w:rsidR="00D10CE9">
        <w:t>COM(</w:t>
      </w:r>
      <w:proofErr w:type="gramEnd"/>
      <w:r w:rsidR="00D10CE9">
        <w:t>2024</w:t>
      </w:r>
      <w:r w:rsidRPr="00CB5A0E">
        <w:t>)0690) a na doprovodné pracovní dokumenty útvarů Komise (balíček týkající se rozšíření),</w:t>
      </w:r>
    </w:p>
    <w:p w14:paraId="6F3836BE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nařízení Evropského parlamentu a Rady (EU, Euratom) 2020/2092 ze dne 16. prosince 2020 o obecném režimu podmíněnosti na ochranu rozpočtu Unie</w:t>
      </w:r>
      <w:r w:rsidRPr="00CB5A0E">
        <w:rPr>
          <w:rStyle w:val="FootnoteReference"/>
        </w:rPr>
        <w:footnoteReference w:id="1"/>
      </w:r>
      <w:r w:rsidRPr="00CB5A0E">
        <w:t xml:space="preserve"> (nařízení o podmíněnosti dodržováním zásad právního státu),</w:t>
      </w:r>
    </w:p>
    <w:p w14:paraId="5A9913DA" w14:textId="0580511F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nařízení Evropského parlamentu a Rady (EU) 2021/1060 ze dne 24.</w:t>
      </w:r>
      <w:r w:rsidR="00853AC7" w:rsidRPr="00CB5A0E">
        <w:t> </w:t>
      </w:r>
      <w:r w:rsidRPr="00CB5A0E">
        <w:t xml:space="preserve">června 2021 o společných ustanoveních pro Evropský fond pro regionální rozvoj, Evropský sociální fond plus, Fond soudržnosti, Fond pro spravedlivou transformaci </w:t>
      </w:r>
      <w:r w:rsidRPr="00CB5A0E">
        <w:lastRenderedPageBreak/>
        <w:t>a Evropský námořní, rybářský a akvakulturní fond a o finančních pravidlech pro tyto fondy a pro Azylový, migrační a integrační fond, Fond pro vnitřní bezpečnost a Nástroj pro finanční podporu správy hranic a vízové politiky</w:t>
      </w:r>
      <w:r w:rsidRPr="00CB5A0E">
        <w:rPr>
          <w:rStyle w:val="FootnoteReference"/>
        </w:rPr>
        <w:footnoteReference w:id="2"/>
      </w:r>
      <w:r w:rsidRPr="00CB5A0E">
        <w:t xml:space="preserve"> (nařízení o společných ustanoveních),</w:t>
      </w:r>
    </w:p>
    <w:p w14:paraId="3D9B83B6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nařízení Evropského parlamentu a Rady (EU, Euratom) 2024/2509 ze dne 23. září 2024, kterým se stanoví finanční pravidla pro souhrnný rozpočet Unie</w:t>
      </w:r>
      <w:r w:rsidRPr="00CB5A0E">
        <w:rPr>
          <w:rStyle w:val="FootnoteReference"/>
        </w:rPr>
        <w:footnoteReference w:id="3"/>
      </w:r>
      <w:r w:rsidRPr="00CB5A0E">
        <w:t xml:space="preserve"> (finanční nařízení), a zejména na čl. 6 odst. 3 uvedeného nařízení,</w:t>
      </w:r>
    </w:p>
    <w:p w14:paraId="1218BE14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nařízení Evropského parlamentu a Rady (EU) 2021/692 ze dne 28. dubna 2021, kterým se zavádí program Občané, rovnost, práva a hodnoty a zrušují nařízení Evropského parlamentu a Rady (EU) č. 1381/2013 a nařízení Rady (EU) č. 390/2014</w:t>
      </w:r>
      <w:r w:rsidRPr="00CB5A0E">
        <w:rPr>
          <w:rStyle w:val="FootnoteReference"/>
        </w:rPr>
        <w:footnoteReference w:id="4"/>
      </w:r>
      <w:r w:rsidRPr="00CB5A0E">
        <w:t>,</w:t>
      </w:r>
    </w:p>
    <w:p w14:paraId="5A40BA63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 ohledem na Všeobecnou deklaraci lidských práv,</w:t>
      </w:r>
    </w:p>
    <w:p w14:paraId="003B5FDB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nástroje OSN na ochranu lidských práv a základních svobod, jako je Všeobecná deklarace lidských práv, Mezinárodní pakt o občanských a politických právech, Mezinárodní úmluva o odstranění všech forem rasové diskriminace, Úmluva o odstranění všech forem diskriminace žen a Úmluva o právech osob se zdravotním postižením, Deklarace o právech příslušníků národnostních, etnických, náboženských a jazykových menšin, doporučení fóra OSN pro problematiku menšin a doporučení a zprávy všeobecného pravidelného přezkumu OSN, na judikaturu smluvních orgánů OSN a na zvláštní postupy Rady pro lidská práva,</w:t>
      </w:r>
    </w:p>
    <w:p w14:paraId="00D8F9A7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Evropskou úmluvu o lidských právech, Evropskou sociální chartu, judikaturu Evropského soudu pro lidská práva (ESLP) a Evropského výboru pro sociální práva a na úmluvy, doporučení, rezoluce, stanoviska a zprávy Parlamentního shromáždění, Výboru ministrů, komisaře pro lidská práva, Evropské komise proti rasismu a nesnášenlivosti, Řídícího výboru pro boj proti diskriminaci, pro rozmanitost a inkluzi, Benátské komise a dalších orgánů Rady Evropy,</w:t>
      </w:r>
    </w:p>
    <w:p w14:paraId="1EEE2BC7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Úmluvu Rady Evropy o předcházení násilí páchanému na ženách a domácímu násilí a boji proti němu,</w:t>
      </w:r>
    </w:p>
    <w:p w14:paraId="3212244F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Evropskou chartu regionálních či menšinových jazyků a Rámcovou úmluvu Rady Evropy o ochraně národnostních menšin,</w:t>
      </w:r>
    </w:p>
    <w:p w14:paraId="7D07AD88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memorandum o porozumění mezi Radou Evropy a Evropskou unií ze dne 23. května 2007 a na závěry Rady ze dne 17. prosince 2024 o prioritách EU pro spolupráci s Radou Evropy v letech 2025–2026,</w:t>
      </w:r>
    </w:p>
    <w:p w14:paraId="2A993B82" w14:textId="176FD832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odůvodněný návrh rozhodnutí Rady o zjištění zřejmého nebezpečí závažného porušení zásady právního státu ze strany Polské republiky, který dne 20. prosince 2017 předložila Komise v souladu s čl. 7 odst. 1 S</w:t>
      </w:r>
      <w:r w:rsidR="007C2654">
        <w:t xml:space="preserve">mlouvy o </w:t>
      </w:r>
      <w:r w:rsidRPr="00CB5A0E">
        <w:t>EU (</w:t>
      </w:r>
      <w:proofErr w:type="gramStart"/>
      <w:r w:rsidRPr="00CB5A0E">
        <w:t>COM(</w:t>
      </w:r>
      <w:proofErr w:type="gramEnd"/>
      <w:r w:rsidRPr="00CB5A0E">
        <w:t>2017)0835),</w:t>
      </w:r>
    </w:p>
    <w:p w14:paraId="538CC2DE" w14:textId="77777777" w:rsidR="00FE21BA" w:rsidRPr="00CB5A0E" w:rsidRDefault="00FE21BA" w:rsidP="00CB5A0E">
      <w:pPr>
        <w:pStyle w:val="NormalHanging12a"/>
      </w:pPr>
      <w:r w:rsidRPr="00CB5A0E">
        <w:lastRenderedPageBreak/>
        <w:t>–</w:t>
      </w:r>
      <w:r w:rsidRPr="00CB5A0E">
        <w:tab/>
        <w:t>s ohledem na své usnesení ze dne 25. října 2016 obsahující doporučení Komisi o vytvoření mechanismu EU pro demokracii, právní stát a základní práva</w:t>
      </w:r>
      <w:r w:rsidRPr="00CB5A0E">
        <w:rPr>
          <w:rStyle w:val="FootnoteReference"/>
        </w:rPr>
        <w:footnoteReference w:id="5"/>
      </w:r>
      <w:r w:rsidRPr="00CB5A0E">
        <w:t>,</w:t>
      </w:r>
    </w:p>
    <w:p w14:paraId="5A1C93EA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 ohledem na své usnesení ze dne 7. února 2018 o ochraně a nepřípustnosti diskriminace menšin v členských státech EU</w:t>
      </w:r>
      <w:r w:rsidRPr="00CB5A0E">
        <w:rPr>
          <w:rStyle w:val="FootnoteReference"/>
        </w:rPr>
        <w:footnoteReference w:id="6"/>
      </w:r>
      <w:r w:rsidRPr="00CB5A0E">
        <w:t>,</w:t>
      </w:r>
    </w:p>
    <w:p w14:paraId="15636CF9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1. března 2018 o rozhodnutí Komise aktivovat čl. 7 odst. 1 Smlouvy o EU v souvislosti se situací v Polsku</w:t>
      </w:r>
      <w:r w:rsidRPr="00CB5A0E">
        <w:rPr>
          <w:rStyle w:val="FootnoteReference"/>
        </w:rPr>
        <w:footnoteReference w:id="7"/>
      </w:r>
      <w:r w:rsidRPr="00CB5A0E">
        <w:t>,</w:t>
      </w:r>
    </w:p>
    <w:p w14:paraId="225854B1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19. dubna 2018 o nutnosti zřídit nástroj pro evropské hodnoty na podporu organizací občanské společnosti, které prosazují základní hodnoty v rámci Evropské unie na místní a vnitrostátní úrovni</w:t>
      </w:r>
      <w:r w:rsidRPr="00CB5A0E">
        <w:rPr>
          <w:rStyle w:val="FootnoteReference"/>
        </w:rPr>
        <w:footnoteReference w:id="8"/>
      </w:r>
      <w:r w:rsidRPr="00CB5A0E">
        <w:t>,</w:t>
      </w:r>
    </w:p>
    <w:p w14:paraId="31B5C1AD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12. září 2018 o návrhu, který vybízí Radu, aby podle čl. 7 odst. 1 Smlouvy o Evropské unii rozhodla, že existuje zřejmé nebezpečí, že Maďarsko závažně poruší hodnoty, na nichž je Unie založena</w:t>
      </w:r>
      <w:r w:rsidRPr="00CB5A0E">
        <w:rPr>
          <w:rStyle w:val="FootnoteReference"/>
        </w:rPr>
        <w:footnoteReference w:id="9"/>
      </w:r>
      <w:r w:rsidRPr="00CB5A0E">
        <w:t>,</w:t>
      </w:r>
    </w:p>
    <w:p w14:paraId="24D3C63E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13. listopadu 2018 o minimálních standardech pro menšiny v EU</w:t>
      </w:r>
      <w:r w:rsidRPr="00CB5A0E">
        <w:rPr>
          <w:rStyle w:val="FootnoteReference"/>
        </w:rPr>
        <w:footnoteReference w:id="10"/>
      </w:r>
      <w:r w:rsidRPr="00CB5A0E">
        <w:t>,</w:t>
      </w:r>
    </w:p>
    <w:p w14:paraId="6B68FB6F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14. listopadu 2018 o potřebě komplexního mechanismu EU na ochranu demokracie, právního státu a základních práv</w:t>
      </w:r>
      <w:r w:rsidRPr="00CB5A0E">
        <w:rPr>
          <w:rStyle w:val="FootnoteReference"/>
        </w:rPr>
        <w:footnoteReference w:id="11"/>
      </w:r>
      <w:r w:rsidRPr="00CB5A0E">
        <w:t>,</w:t>
      </w:r>
    </w:p>
    <w:p w14:paraId="3582B308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7. října 2020 o vytvoření mechanismu EU pro demokracii, právní stát a základní práva</w:t>
      </w:r>
      <w:r w:rsidRPr="00CB5A0E">
        <w:rPr>
          <w:rStyle w:val="FootnoteReference"/>
        </w:rPr>
        <w:footnoteReference w:id="12"/>
      </w:r>
      <w:r w:rsidRPr="00CB5A0E">
        <w:t>,</w:t>
      </w:r>
    </w:p>
    <w:p w14:paraId="721B0E59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13. listopadu 2020 o dopadu opatření přijatých v souvislosti s onemocněním COVID-19 na demokracii, právní stát a základní práva</w:t>
      </w:r>
      <w:r w:rsidRPr="00CB5A0E">
        <w:rPr>
          <w:rStyle w:val="FootnoteReference"/>
        </w:rPr>
        <w:footnoteReference w:id="13"/>
      </w:r>
      <w:r w:rsidRPr="00CB5A0E">
        <w:t>,</w:t>
      </w:r>
    </w:p>
    <w:p w14:paraId="13026160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 xml:space="preserve">s ohledem na své usnesení ze dne 17. prosince 2020 o evropské občanské iniciativě „Minority </w:t>
      </w:r>
      <w:proofErr w:type="spellStart"/>
      <w:r w:rsidRPr="00CB5A0E">
        <w:t>SafePack</w:t>
      </w:r>
      <w:proofErr w:type="spellEnd"/>
      <w:r w:rsidRPr="00CB5A0E">
        <w:t xml:space="preserve"> – milion podpisů pro rozmanitost v Evropě“</w:t>
      </w:r>
      <w:r w:rsidRPr="00CB5A0E">
        <w:rPr>
          <w:rStyle w:val="FootnoteReference"/>
        </w:rPr>
        <w:footnoteReference w:id="14"/>
      </w:r>
      <w:r w:rsidRPr="00CB5A0E">
        <w:t>;</w:t>
      </w:r>
    </w:p>
    <w:p w14:paraId="5D5E48DC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10. června 2021 o stavu právního státu v Evropské unii a uplatňování nařízení o podmíněnosti (EU, Euratom) 2020/2092</w:t>
      </w:r>
      <w:r w:rsidRPr="00CB5A0E">
        <w:rPr>
          <w:rStyle w:val="FootnoteReference"/>
        </w:rPr>
        <w:footnoteReference w:id="15"/>
      </w:r>
      <w:r w:rsidRPr="00CB5A0E">
        <w:t>,</w:t>
      </w:r>
    </w:p>
    <w:p w14:paraId="051E077A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24. června 2021 o zprávě Komise o stavu právního státu za rok 2020</w:t>
      </w:r>
      <w:r w:rsidRPr="00CB5A0E">
        <w:rPr>
          <w:rStyle w:val="FootnoteReference"/>
        </w:rPr>
        <w:footnoteReference w:id="16"/>
      </w:r>
      <w:r w:rsidRPr="00CB5A0E">
        <w:t>,</w:t>
      </w:r>
    </w:p>
    <w:p w14:paraId="6C1187D8" w14:textId="77777777" w:rsidR="00FE21BA" w:rsidRPr="00CB5A0E" w:rsidRDefault="00FE21BA" w:rsidP="00CB5A0E">
      <w:pPr>
        <w:pStyle w:val="NormalHanging12a"/>
      </w:pPr>
      <w:r w:rsidRPr="00CB5A0E">
        <w:lastRenderedPageBreak/>
        <w:t>–</w:t>
      </w:r>
      <w:r w:rsidRPr="00CB5A0E">
        <w:tab/>
        <w:t>s ohledem na své usnesení ze dne 8. července 2021 o vytvoření pokynů pro uplatňování obecného režimu podmíněnosti na ochranu rozpočtu EU</w:t>
      </w:r>
      <w:r w:rsidRPr="00CB5A0E">
        <w:rPr>
          <w:rStyle w:val="FootnoteReference"/>
        </w:rPr>
        <w:footnoteReference w:id="17"/>
      </w:r>
      <w:r w:rsidRPr="00CB5A0E">
        <w:t>,</w:t>
      </w:r>
    </w:p>
    <w:p w14:paraId="77954FF8" w14:textId="26B4B99A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16. září 2021 obsahující doporučení Komisi o určení genderově podmíněného násilí jako nové oblasti trestné činnosti uvedené v čl. 83 odst. 1 S</w:t>
      </w:r>
      <w:r w:rsidR="007C2654">
        <w:t xml:space="preserve">mlouvy o fungování </w:t>
      </w:r>
      <w:r w:rsidRPr="00CB5A0E">
        <w:t>EU</w:t>
      </w:r>
      <w:r w:rsidRPr="00CB5A0E">
        <w:rPr>
          <w:rStyle w:val="FootnoteReference"/>
        </w:rPr>
        <w:footnoteReference w:id="18"/>
      </w:r>
      <w:r w:rsidRPr="00CB5A0E">
        <w:t>,</w:t>
      </w:r>
    </w:p>
    <w:p w14:paraId="3629C984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11. listopadu 2021 o posílení demokracie a svobody a plurality sdělovacích prostředků v EU: nevhodné využívání občanskoprávních a trestněprávních žalob k umlčení novinářů, nevládních organizací a občanské společnosti</w:t>
      </w:r>
      <w:r w:rsidRPr="00CB5A0E">
        <w:rPr>
          <w:rStyle w:val="FootnoteReference"/>
        </w:rPr>
        <w:footnoteReference w:id="19"/>
      </w:r>
      <w:r w:rsidRPr="00CB5A0E">
        <w:t>,</w:t>
      </w:r>
    </w:p>
    <w:p w14:paraId="7C24A07F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15. prosince 2021 o hodnocení preventivních opatření k zamezení korupci, neoprávněným výdajům a zneužívání finančních prostředků EU a členských států v případě fondů pro mimořádné události a ve výdajových oblastech týkajících se řešení krizí</w:t>
      </w:r>
      <w:r w:rsidRPr="00CB5A0E">
        <w:rPr>
          <w:rStyle w:val="FootnoteReference"/>
        </w:rPr>
        <w:footnoteReference w:id="20"/>
      </w:r>
      <w:r w:rsidRPr="00CB5A0E">
        <w:t>,</w:t>
      </w:r>
    </w:p>
    <w:p w14:paraId="242E1649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 ohledem na své usnesení ze dne 8. března 2022 o zmenšujícím se prostoru pro občanskou společnost v Evropě</w:t>
      </w:r>
      <w:r w:rsidRPr="00CB5A0E">
        <w:rPr>
          <w:rStyle w:val="FootnoteReference"/>
        </w:rPr>
        <w:footnoteReference w:id="21"/>
      </w:r>
      <w:r w:rsidRPr="00CB5A0E">
        <w:t>,</w:t>
      </w:r>
    </w:p>
    <w:p w14:paraId="1719A299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10. března 2022 o právním státu a důsledcích rozsudku Soudního dvora EU</w:t>
      </w:r>
      <w:r w:rsidRPr="00CB5A0E">
        <w:rPr>
          <w:rStyle w:val="FootnoteReference"/>
        </w:rPr>
        <w:footnoteReference w:id="22"/>
      </w:r>
      <w:r w:rsidRPr="00CB5A0E">
        <w:t>,</w:t>
      </w:r>
    </w:p>
    <w:p w14:paraId="4D7F8446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19. května 2022 o zprávě Komise o právním státu za rok 2021</w:t>
      </w:r>
      <w:r w:rsidRPr="00CB5A0E">
        <w:rPr>
          <w:rStyle w:val="FootnoteReference"/>
        </w:rPr>
        <w:footnoteReference w:id="23"/>
      </w:r>
      <w:r w:rsidRPr="00CB5A0E">
        <w:t>,</w:t>
      </w:r>
    </w:p>
    <w:p w14:paraId="30025037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9. června 2022 o právním státu a případném schválení polského národního plánu pro oživení (RRF)</w:t>
      </w:r>
      <w:r w:rsidRPr="00CB5A0E">
        <w:rPr>
          <w:rStyle w:val="FootnoteReference"/>
        </w:rPr>
        <w:footnoteReference w:id="24"/>
      </w:r>
      <w:r w:rsidRPr="00CB5A0E">
        <w:t>,</w:t>
      </w:r>
    </w:p>
    <w:p w14:paraId="63CC1F33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15. září 2022 o stavu základních práv v Evropské unii v roce 2020 a 2021</w:t>
      </w:r>
      <w:r w:rsidRPr="00CB5A0E">
        <w:rPr>
          <w:rStyle w:val="FootnoteReference"/>
        </w:rPr>
        <w:footnoteReference w:id="25"/>
      </w:r>
      <w:r w:rsidRPr="00CB5A0E">
        <w:t>,</w:t>
      </w:r>
    </w:p>
    <w:p w14:paraId="28D5E3D6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15. září 2022 o návrhu rozhodnutí Rady, kterým se podle čl. 7 odst. 1 Smlouvy o Evropské unii stanovuje, že existuje zřejmé nebezpečí, že Maďarsko závažně poruší hodnoty, na nichž je Evropská unie založena</w:t>
      </w:r>
      <w:r w:rsidRPr="00CB5A0E">
        <w:rPr>
          <w:rStyle w:val="FootnoteReference"/>
        </w:rPr>
        <w:footnoteReference w:id="26"/>
      </w:r>
      <w:r w:rsidRPr="00CB5A0E">
        <w:t>,</w:t>
      </w:r>
    </w:p>
    <w:p w14:paraId="30924955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 xml:space="preserve">s ohledem na své usnesení ze dne 20. října 2022 o právním státě na Maltě pět let po vraždě </w:t>
      </w:r>
      <w:proofErr w:type="spellStart"/>
      <w:r w:rsidRPr="00CB5A0E">
        <w:t>Daphne</w:t>
      </w:r>
      <w:proofErr w:type="spellEnd"/>
      <w:r w:rsidRPr="00CB5A0E">
        <w:t xml:space="preserve"> </w:t>
      </w:r>
      <w:proofErr w:type="spellStart"/>
      <w:r w:rsidRPr="00CB5A0E">
        <w:t>Caruanové</w:t>
      </w:r>
      <w:proofErr w:type="spellEnd"/>
      <w:r w:rsidRPr="00CB5A0E">
        <w:t xml:space="preserve"> </w:t>
      </w:r>
      <w:proofErr w:type="spellStart"/>
      <w:r w:rsidRPr="00CB5A0E">
        <w:t>Galiziové</w:t>
      </w:r>
      <w:proofErr w:type="spellEnd"/>
      <w:r w:rsidRPr="00CB5A0E">
        <w:rPr>
          <w:rStyle w:val="FootnoteReference"/>
        </w:rPr>
        <w:footnoteReference w:id="27"/>
      </w:r>
      <w:r w:rsidRPr="00CB5A0E">
        <w:t>,</w:t>
      </w:r>
    </w:p>
    <w:p w14:paraId="77140B61" w14:textId="77777777" w:rsidR="00FE21BA" w:rsidRPr="00CB5A0E" w:rsidRDefault="00FE21BA" w:rsidP="00CB5A0E">
      <w:pPr>
        <w:pStyle w:val="NormalHanging12a"/>
      </w:pPr>
      <w:r w:rsidRPr="00CB5A0E">
        <w:lastRenderedPageBreak/>
        <w:t>–</w:t>
      </w:r>
      <w:r w:rsidRPr="00CB5A0E">
        <w:tab/>
        <w:t>s ohledem na své usnesení ze dne 20. října 2022 o rostoucím počtu trestných činů z nenávisti namířených proti osobám LGBTIQ+ v celé Evropě s ohledem na nedávnou homofobní vraždu na Slovensku</w:t>
      </w:r>
      <w:r w:rsidRPr="00CB5A0E">
        <w:rPr>
          <w:rStyle w:val="FootnoteReference"/>
        </w:rPr>
        <w:footnoteReference w:id="28"/>
      </w:r>
      <w:r w:rsidRPr="00CB5A0E">
        <w:t>,</w:t>
      </w:r>
    </w:p>
    <w:p w14:paraId="57058FB5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10. listopadu 2022 o rasové spravedlnosti, nediskriminaci a boji proti rasismu v EU</w:t>
      </w:r>
      <w:r w:rsidRPr="00CB5A0E">
        <w:rPr>
          <w:rStyle w:val="FootnoteReference"/>
        </w:rPr>
        <w:footnoteReference w:id="29"/>
      </w:r>
      <w:r w:rsidRPr="00CB5A0E">
        <w:t>,</w:t>
      </w:r>
    </w:p>
    <w:p w14:paraId="0B66FC2E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24. listopadu 2022 o posouzení dodržování podmínek v oblasti právního státu podle nařízení o podmíněnosti ze strany Maďarska a aktuálním stavu maďarského plánu pro oživení a odolnost</w:t>
      </w:r>
      <w:r w:rsidRPr="00CB5A0E">
        <w:rPr>
          <w:rStyle w:val="FootnoteReference"/>
        </w:rPr>
        <w:footnoteReference w:id="30"/>
      </w:r>
      <w:r w:rsidRPr="00CB5A0E">
        <w:t>,</w:t>
      </w:r>
    </w:p>
    <w:p w14:paraId="08E539FF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30. března 2023 o zprávě o právním státu 2022 – stavu právního státu v Evropské unii</w:t>
      </w:r>
      <w:r w:rsidRPr="00CB5A0E">
        <w:rPr>
          <w:rStyle w:val="FootnoteReference"/>
        </w:rPr>
        <w:footnoteReference w:id="31"/>
      </w:r>
      <w:r w:rsidRPr="00CB5A0E">
        <w:t>,</w:t>
      </w:r>
    </w:p>
    <w:p w14:paraId="5CEE9179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18. dubna 2023 o institucionálních vztazích mezi EU a Radou Evropy</w:t>
      </w:r>
      <w:r w:rsidRPr="00CB5A0E">
        <w:rPr>
          <w:rStyle w:val="FootnoteReference"/>
        </w:rPr>
        <w:footnoteReference w:id="32"/>
      </w:r>
      <w:r w:rsidRPr="00CB5A0E">
        <w:t>,</w:t>
      </w:r>
    </w:p>
    <w:p w14:paraId="474FC4BF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28. února 2024 o zprávě Komise o právním státu za rok 2023</w:t>
      </w:r>
      <w:r w:rsidRPr="00CB5A0E">
        <w:rPr>
          <w:rStyle w:val="FootnoteReference"/>
        </w:rPr>
        <w:footnoteReference w:id="33"/>
      </w:r>
      <w:r w:rsidRPr="00CB5A0E">
        <w:t>,</w:t>
      </w:r>
    </w:p>
    <w:p w14:paraId="5A3B9B8B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29. února 2024 o prohloubení integrace EU s ohledem na budoucí rozšíření</w:t>
      </w:r>
      <w:r w:rsidRPr="00CB5A0E">
        <w:rPr>
          <w:rStyle w:val="FootnoteReference"/>
        </w:rPr>
        <w:footnoteReference w:id="34"/>
      </w:r>
      <w:r w:rsidRPr="00CB5A0E">
        <w:t>,</w:t>
      </w:r>
    </w:p>
    <w:p w14:paraId="3BCAFA43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1. června 2023 o porušování zásad právního státu a základních práv v Maďarsku a o zmrazení finančních prostředků EU</w:t>
      </w:r>
      <w:r w:rsidRPr="00CB5A0E">
        <w:rPr>
          <w:rStyle w:val="FootnoteReference"/>
        </w:rPr>
        <w:footnoteReference w:id="35"/>
      </w:r>
      <w:r w:rsidRPr="00CB5A0E">
        <w:t>,</w:t>
      </w:r>
    </w:p>
    <w:p w14:paraId="74EFC337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zprávu vyšetřovacího výboru pro prošetření používání špionážního softwaru Pegasus a ekvivalentního špionážního softwaru (PEGA) a na své doporučení ze dne 15. června 2023 Radě a Komisi v návaznosti na vyšetřování údajných porušení a správních pochybení v oblasti provádění právních předpisů Unie týkajících se používání špionážního softwaru Pegasus a ekvivalentního špionážního softwaru</w:t>
      </w:r>
      <w:r w:rsidRPr="00CB5A0E">
        <w:rPr>
          <w:rStyle w:val="FootnoteReference"/>
        </w:rPr>
        <w:footnoteReference w:id="36"/>
      </w:r>
      <w:r w:rsidRPr="00CB5A0E">
        <w:t>,</w:t>
      </w:r>
    </w:p>
    <w:p w14:paraId="2D20FDE2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11. července 2023 o volebním zákoně, komisi pro zkoumání ruských vlivů a právním státě v Polsku</w:t>
      </w:r>
      <w:r w:rsidRPr="00CB5A0E">
        <w:rPr>
          <w:rStyle w:val="FootnoteReference"/>
        </w:rPr>
        <w:footnoteReference w:id="37"/>
      </w:r>
      <w:r w:rsidRPr="00CB5A0E">
        <w:t>,</w:t>
      </w:r>
    </w:p>
    <w:p w14:paraId="65B885F7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 xml:space="preserve">s ohledem na své usnesení ze dne 19. října 2023 o právním státě na Maltě: šest let po vraždě </w:t>
      </w:r>
      <w:proofErr w:type="spellStart"/>
      <w:r w:rsidRPr="00CB5A0E">
        <w:t>Daphne</w:t>
      </w:r>
      <w:proofErr w:type="spellEnd"/>
      <w:r w:rsidRPr="00CB5A0E">
        <w:t xml:space="preserve"> </w:t>
      </w:r>
      <w:proofErr w:type="spellStart"/>
      <w:r w:rsidRPr="00CB5A0E">
        <w:t>Caruanové</w:t>
      </w:r>
      <w:proofErr w:type="spellEnd"/>
      <w:r w:rsidRPr="00CB5A0E">
        <w:t xml:space="preserve"> </w:t>
      </w:r>
      <w:proofErr w:type="spellStart"/>
      <w:r w:rsidRPr="00CB5A0E">
        <w:t>Galiziové</w:t>
      </w:r>
      <w:proofErr w:type="spellEnd"/>
      <w:r w:rsidRPr="00CB5A0E">
        <w:t xml:space="preserve"> a potřeba chránit novináře</w:t>
      </w:r>
      <w:r w:rsidRPr="00CB5A0E">
        <w:rPr>
          <w:rStyle w:val="FootnoteReference"/>
        </w:rPr>
        <w:footnoteReference w:id="38"/>
      </w:r>
      <w:r w:rsidRPr="00CB5A0E">
        <w:t>,</w:t>
      </w:r>
    </w:p>
    <w:p w14:paraId="72F83DC7" w14:textId="7E410A48" w:rsidR="00FE21BA" w:rsidRPr="00CB5A0E" w:rsidRDefault="00FE21BA" w:rsidP="00CB5A0E">
      <w:pPr>
        <w:pStyle w:val="NormalHanging12a"/>
      </w:pPr>
      <w:r w:rsidRPr="00CB5A0E">
        <w:lastRenderedPageBreak/>
        <w:t>–</w:t>
      </w:r>
      <w:r w:rsidRPr="00CB5A0E">
        <w:tab/>
        <w:t>s ohledem na sdělení Komise ze dne 6. prosince 2023 nazvané „Stop nenávisti: Evropa je ve svém postoji jednotná“ (</w:t>
      </w:r>
      <w:r w:rsidR="00951832">
        <w:t>JOIN</w:t>
      </w:r>
      <w:r w:rsidRPr="00CB5A0E">
        <w:t>(2023)0051),</w:t>
      </w:r>
    </w:p>
    <w:p w14:paraId="3866EE75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18. ledna 2024 o stavu základních práv v Evropské unii – výroční zpráva za roky 2022 a 2023</w:t>
      </w:r>
      <w:r w:rsidRPr="00CB5A0E">
        <w:rPr>
          <w:rStyle w:val="FootnoteReference"/>
        </w:rPr>
        <w:footnoteReference w:id="39"/>
      </w:r>
      <w:r w:rsidRPr="00CB5A0E">
        <w:t>,</w:t>
      </w:r>
    </w:p>
    <w:p w14:paraId="5FD6DF62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18. ledna 2024 o rozšíření seznamu trestných činů EU o nenávistné verbální projevy a trestné činy z nenávisti</w:t>
      </w:r>
      <w:r w:rsidRPr="00CB5A0E">
        <w:rPr>
          <w:rStyle w:val="FootnoteReference"/>
        </w:rPr>
        <w:footnoteReference w:id="40"/>
      </w:r>
      <w:r w:rsidRPr="00CB5A0E">
        <w:t>,</w:t>
      </w:r>
    </w:p>
    <w:p w14:paraId="5144AD7C" w14:textId="6438AD64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své usnesení ze dne 24. dubna 2024 o probíhajících slyšeních podle čl. 7 odst. 1 S</w:t>
      </w:r>
      <w:r w:rsidR="007C2654">
        <w:t xml:space="preserve">mlouvy o </w:t>
      </w:r>
      <w:r w:rsidRPr="00CB5A0E">
        <w:t>EU týkajících se Maďarska s cílem posílit právní stát a o jejich rozpočtových dopadech</w:t>
      </w:r>
      <w:r w:rsidRPr="00CB5A0E">
        <w:rPr>
          <w:rStyle w:val="FootnoteReference"/>
        </w:rPr>
        <w:footnoteReference w:id="41"/>
      </w:r>
      <w:r w:rsidRPr="00CB5A0E">
        <w:t>,</w:t>
      </w:r>
    </w:p>
    <w:p w14:paraId="52C043B0" w14:textId="5F2B2CF2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závěr postupu podle článku 7 S</w:t>
      </w:r>
      <w:r w:rsidR="007C2654">
        <w:t xml:space="preserve">mlouvy o </w:t>
      </w:r>
      <w:r w:rsidRPr="00CB5A0E">
        <w:t>EU v souvislosti s Polskem, který Komise oznámila dne 29. května 2024 v návaznosti na kroky, které Polsko přijalo s cílem obnovit soulad s normami EU v oblasti právního státu,</w:t>
      </w:r>
    </w:p>
    <w:p w14:paraId="34F1A861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rezoluci Parlamentního shromáždění Rady Evropy č. 2262 (2019) ze dne 24. ledna 2019 o podpoře práv příslušníků národnostních menšin,</w:t>
      </w:r>
    </w:p>
    <w:p w14:paraId="35D56B3A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doporučení a zprávy Úřadu pro demokratické instituce a lidská práva, Vysokého komisaře pro národnostní menšiny, zástupce pro svobodu sdělovacích prostředků a dalších orgánů Organizace pro bezpečnost a spolupráci v Evropě (OBSE), na spolupráci mezi EU a OBSE v oblasti demokratizace, budování institucí a lidských práv a na výroční zprávu OBSE o trestných činech z nenávisti, v níž se zúčastněné státy zavázaly, že s cílem předcházet trestným činům z nenávisti, vyšetřovat je a stíhat schválí právní předpisy, v nichž stanoví sankce zohledňující závažnost trestných činů z nenávisti, přijmou opatření k řešení jejich nedostatečného oznamování a zahájí nebo budou dále rozvíjet činnost v oblasti budování kapacit donucovacích orgánů, státních zastupitelství a soudních úředníků,</w:t>
      </w:r>
    </w:p>
    <w:p w14:paraId="577F6FAD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zvláštní zprávy Evropského účetního dvora ze dne 17. prosince 2024 o prosazování práva EU (28/2024), ze dne 22. února 2024 o právním státu v EU (03/2024) a ze dne 10. ledna 2022 o podpoře EU určené na posilování právního státu na západním Balkáně (01/2022) a na jeho přezkum ze dne 28. února 2024 týkající se zpráv Komise o právním státu (02/2024) a na příslušná doporučení uvedená v těchto zprávách a v tomto přezkumu,</w:t>
      </w:r>
    </w:p>
    <w:p w14:paraId="4EEC375C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 xml:space="preserve">s ohledem na politické směry pro příští Evropskou komisi s mandátem na období 2024–2029, které dne 18. července 2024 předložila Ursula von der </w:t>
      </w:r>
      <w:proofErr w:type="spellStart"/>
      <w:r w:rsidRPr="00CB5A0E">
        <w:t>Leyenová</w:t>
      </w:r>
      <w:proofErr w:type="spellEnd"/>
      <w:r w:rsidRPr="00CB5A0E">
        <w:t xml:space="preserve"> jako kandidátka na předsedkyni Komise,</w:t>
      </w:r>
    </w:p>
    <w:p w14:paraId="57149365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průzkumy Eurobarometru z roku 2024 zaměřené na korupci, které ukazují, že korupce je pro občany a podniky v EU i nadále vážným problémem,</w:t>
      </w:r>
    </w:p>
    <w:p w14:paraId="4B6774C3" w14:textId="77777777" w:rsidR="00FE21BA" w:rsidRPr="00CB5A0E" w:rsidRDefault="00FE21BA" w:rsidP="00CB5A0E">
      <w:pPr>
        <w:pStyle w:val="NormalHanging12a"/>
      </w:pPr>
      <w:r w:rsidRPr="00CB5A0E">
        <w:lastRenderedPageBreak/>
        <w:t>–</w:t>
      </w:r>
      <w:r w:rsidRPr="00CB5A0E">
        <w:tab/>
        <w:t>s ohledem na zprávy poskytující zpětnou vazbu, zprávy z pracovních cest, otázky k písemnému zodpovězení a odpovědi skupiny pro sledování stavu demokracie, právního státu a dodržování základních práv (DRFMG)</w:t>
      </w:r>
      <w:r w:rsidRPr="00CB5A0E">
        <w:rPr>
          <w:rStyle w:val="FootnoteReference"/>
        </w:rPr>
        <w:footnoteReference w:id="42"/>
      </w:r>
      <w:r w:rsidRPr="00CB5A0E">
        <w:t>,</w:t>
      </w:r>
    </w:p>
    <w:p w14:paraId="5AF74C55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článek 55 jednacího řádu,</w:t>
      </w:r>
    </w:p>
    <w:p w14:paraId="5C383D82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stanovisko Výboru pro zahraniční věci,</w:t>
      </w:r>
    </w:p>
    <w:p w14:paraId="749C7BE4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stanovisko Výboru pro právní záležitosti,</w:t>
      </w:r>
    </w:p>
    <w:p w14:paraId="3249C799" w14:textId="77777777" w:rsidR="00FE21BA" w:rsidRPr="00CB5A0E" w:rsidRDefault="00FE21BA" w:rsidP="00CB5A0E">
      <w:pPr>
        <w:pStyle w:val="NormalHanging12a"/>
      </w:pPr>
      <w:r w:rsidRPr="00CB5A0E">
        <w:t>–</w:t>
      </w:r>
      <w:r w:rsidRPr="00CB5A0E">
        <w:tab/>
        <w:t>s ohledem na zprávu Výboru pro občanské svobody, spravedlnost a vnitřní věci (A10-0100/2025),</w:t>
      </w:r>
    </w:p>
    <w:p w14:paraId="537B1677" w14:textId="203454FC" w:rsidR="00FE21BA" w:rsidRPr="00CB5A0E" w:rsidRDefault="00FE21BA" w:rsidP="00CB5A0E">
      <w:pPr>
        <w:pStyle w:val="NormalHanging12a"/>
      </w:pPr>
      <w:r w:rsidRPr="00CB5A0E">
        <w:t>A.</w:t>
      </w:r>
      <w:r w:rsidRPr="00CB5A0E">
        <w:tab/>
        <w:t>vzhledem k tomu, že Unie je založena na společných hodnotách, které jsou zakotveny v článku 2 S</w:t>
      </w:r>
      <w:r w:rsidR="007C2654">
        <w:t xml:space="preserve">mlouvy o </w:t>
      </w:r>
      <w:r w:rsidRPr="00CB5A0E">
        <w:t>EU a kterými jsou úcta k lidské důstojnosti, svoboda, demokracie, rovnost, právní stát a dodržování lidských práv, včetně práv příslušníků menšin, tedy hodnotách, které jsou společné členským státům EU, odrážejí se v Listině a jsou součástí mezinárodních dohod o lidských právech; vzhledem k tomu, že Listina je součástí primárního práva EU; vzhledem k tomu, že demokracie, právní stát a základní práva jsou vzájemně se posilující hodnoty, které v případě oslabení představují systémové ohrožení práv a svobod občanů žijících v EU;</w:t>
      </w:r>
    </w:p>
    <w:p w14:paraId="3419C3EC" w14:textId="14770781" w:rsidR="00FE21BA" w:rsidRPr="00CB5A0E" w:rsidRDefault="00FE21BA" w:rsidP="00CB5A0E">
      <w:pPr>
        <w:pStyle w:val="NormalHanging12a"/>
      </w:pPr>
      <w:r w:rsidRPr="00CB5A0E">
        <w:t>B.</w:t>
      </w:r>
      <w:r w:rsidRPr="00CB5A0E">
        <w:tab/>
        <w:t>vzhledem k tomu, že z článku 49 S</w:t>
      </w:r>
      <w:r w:rsidR="007C2654">
        <w:t xml:space="preserve">mlouvy o </w:t>
      </w:r>
      <w:r w:rsidRPr="00CB5A0E">
        <w:t>EU, který umožňuje každému evropskému státu požádat o členství v Evropské unii, vyplývá, že Unie je složena ze států, které se svobodně a dobrovolně zavázaly k dodržování společných hodnot uvedených v článku 2 S</w:t>
      </w:r>
      <w:r w:rsidR="007C2654">
        <w:t xml:space="preserve">mlouvy o </w:t>
      </w:r>
      <w:r w:rsidRPr="00CB5A0E">
        <w:t>EU, které tyto hodnoty respektují a zavazují se k jejich prosazování; vzhledem k tomu, že právo EU je tedy založeno na základním předpokladu, že každý členský stát sdílí tyto hodnoty se všemi ostatními členskými státy a uznává, že tyto členské státy je s ním taktéž sdílejí; vzhledem k tomu, že tato premisa předpokládá a odůvodňuje existenci vzájemné důvěry mezi členskými státy v to, že tyto hodnoty budou uznávány, a že tedy bude dodržováno právo EU, kterým jsou uplatňovány</w:t>
      </w:r>
      <w:r w:rsidRPr="00CB5A0E">
        <w:rPr>
          <w:rStyle w:val="FootnoteReference"/>
        </w:rPr>
        <w:footnoteReference w:id="43"/>
      </w:r>
      <w:r w:rsidRPr="00CB5A0E">
        <w:t xml:space="preserve"> </w:t>
      </w:r>
      <w:r w:rsidRPr="00CB5A0E">
        <w:rPr>
          <w:vertAlign w:val="superscript"/>
        </w:rPr>
        <w:t>,</w:t>
      </w:r>
      <w:r w:rsidRPr="00CB5A0E">
        <w:rPr>
          <w:rStyle w:val="FootnoteReference"/>
        </w:rPr>
        <w:footnoteReference w:id="44"/>
      </w:r>
      <w:r w:rsidRPr="00CB5A0E">
        <w:t>; vzhledem k tomu, že členský stát musí zajistit, aby nedocházelo k jakémukoli oslabení ochrany hodnot zakotvených v článku 2 S</w:t>
      </w:r>
      <w:r w:rsidR="007C2654">
        <w:t xml:space="preserve">mlouvy o </w:t>
      </w:r>
      <w:r w:rsidRPr="00CB5A0E">
        <w:t>EU;</w:t>
      </w:r>
    </w:p>
    <w:p w14:paraId="5B7E15C4" w14:textId="77777777" w:rsidR="00FE21BA" w:rsidRPr="00CB5A0E" w:rsidRDefault="00FE21BA" w:rsidP="00CB5A0E">
      <w:pPr>
        <w:pStyle w:val="NormalHanging12a"/>
      </w:pPr>
      <w:r w:rsidRPr="00CB5A0E">
        <w:t>C.</w:t>
      </w:r>
      <w:r w:rsidRPr="00CB5A0E">
        <w:tab/>
        <w:t>vzhledem k tomu, že organizace občanské společnosti, právnická komunita, sdružení, nezávislé sdělovací prostředky a hnutí na místní úrovni zůstávají základním kamenem právního státu tím, že podporují transparentnost, odpovědnost a účast občanů na demokratických procesech; vzhledem k tomu, že tito aktéři přispívají k ochraně nezávislosti soudnictví, svobody projevu a dalších ústavních hodnot a často působí pod tlakem rostoucích politických a právních omezení;</w:t>
      </w:r>
    </w:p>
    <w:p w14:paraId="0F15E2AA" w14:textId="4440B917" w:rsidR="00FE21BA" w:rsidRPr="00CB5A0E" w:rsidRDefault="00FE21BA" w:rsidP="00CB5A0E">
      <w:pPr>
        <w:pStyle w:val="NormalHanging12a"/>
      </w:pPr>
      <w:r w:rsidRPr="00CB5A0E">
        <w:t>D.</w:t>
      </w:r>
      <w:r w:rsidRPr="00CB5A0E">
        <w:tab/>
        <w:t>vzhledem k tomu, že zásada loajální spolupráce uvedená v čl. 4 odst. 3 S</w:t>
      </w:r>
      <w:r w:rsidR="007C2654">
        <w:t xml:space="preserve">mlouvy o </w:t>
      </w:r>
      <w:r w:rsidRPr="00CB5A0E">
        <w:t xml:space="preserve">EU ukládá Unii a členským státům povinnost vzájemně se respektovat a pomáhat si při plnění závazků vyplývajících ze Smluv a členským státům ukládá povinnost </w:t>
      </w:r>
      <w:r w:rsidRPr="00CB5A0E">
        <w:lastRenderedPageBreak/>
        <w:t>přijmout veškerá vhodná obecná nebo zvláštní opatření k plnění závazků, které vyplývají ze Smluv nebo z aktů orgánů Unie; vzhledem k tomu, že členské státy by neměly přijímat žádná opatření, která by mohla ohrozit splnění cílů Unie;</w:t>
      </w:r>
    </w:p>
    <w:p w14:paraId="55A53ACB" w14:textId="77777777" w:rsidR="00FE21BA" w:rsidRPr="00CB5A0E" w:rsidRDefault="00FE21BA" w:rsidP="00CB5A0E">
      <w:pPr>
        <w:pStyle w:val="NormalHanging12a"/>
      </w:pPr>
      <w:r w:rsidRPr="00CB5A0E">
        <w:t>E.</w:t>
      </w:r>
      <w:r w:rsidRPr="00CB5A0E">
        <w:tab/>
        <w:t>vzhledem k tomu, že v nedávném průzkumu Eurobarometr vyjádřilo 74 % dotázaných názor, že EU plní důležitou úlohu při prosazování právního státu, a 89 % dotázaných vyjádřilo přesvědčení, že je důležité, aby všechny členské státy dodržovaly základní hodnoty EU; vzhledem k tomu, že v současné globální hospodářské a politické situaci má posilování důvěry občanů v právní stát a odolnost demokracií na úrovni EU zcela zásadní význam;</w:t>
      </w:r>
    </w:p>
    <w:p w14:paraId="3ECD6FF0" w14:textId="77777777" w:rsidR="00FE21BA" w:rsidRPr="00CB5A0E" w:rsidRDefault="00FE21BA" w:rsidP="00CB5A0E">
      <w:pPr>
        <w:pStyle w:val="NormalHanging12a"/>
      </w:pPr>
      <w:r w:rsidRPr="00CB5A0E">
        <w:t>F.</w:t>
      </w:r>
      <w:r w:rsidRPr="00CB5A0E">
        <w:tab/>
        <w:t>vzhledem k tomu, že přistoupení k EU musí být vždy výsledkem postupu založeného na zásluhách, v jehož rámci se posuzuje, zda uchazeč plní kodaňská kritéria, zejména kritéria zaručující úplné dodržování lidských práv, demokracie a právního státu, neboť je třeba zajistit, aby rozšíření EU Unii a její jednotný trh neoslabilo, ale naopak posílilo; vzhledem k tomu, že zásadní úlohou nástroje předvstupní pomoci jakožto nástroje Unie je podporovat právní stát, demokracii a lidská práva v kandidátských a potenciálních kandidátských zemích, včetně posilování demokratických institucí a organizací občanské společnosti, jakož i pokrok v oblasti řádné správy věcí veřejných a boj proti korupci, prosazování a ochranu nediskriminace a rovnosti žen a mužů a posilování kapacit pro předcházení konfliktům a jejich řešení;</w:t>
      </w:r>
    </w:p>
    <w:p w14:paraId="6A4C1D22" w14:textId="77777777" w:rsidR="00FE21BA" w:rsidRPr="00CB5A0E" w:rsidRDefault="00FE21BA" w:rsidP="00CB5A0E">
      <w:pPr>
        <w:pStyle w:val="Normal12a24b"/>
        <w:spacing w:before="0"/>
        <w:ind w:hanging="567"/>
      </w:pPr>
      <w:r w:rsidRPr="00CB5A0E">
        <w:rPr>
          <w:rStyle w:val="BoldItalic"/>
        </w:rPr>
        <w:t>Nezávislost soudnictví</w:t>
      </w:r>
    </w:p>
    <w:p w14:paraId="05067E1E" w14:textId="77777777" w:rsidR="00FE21BA" w:rsidRPr="00CB5A0E" w:rsidRDefault="00FE21BA" w:rsidP="00CB5A0E">
      <w:pPr>
        <w:pStyle w:val="NormalHanging12a"/>
      </w:pPr>
      <w:r w:rsidRPr="00CB5A0E">
        <w:t>1.</w:t>
      </w:r>
      <w:r w:rsidRPr="00CB5A0E">
        <w:tab/>
        <w:t>zdůrazňuje, že spravedlivá a přístupná justice představuje základní zásadu právního státu, která vyžaduje nezávislé soudnictví; znovu opakuje, že k tomu, aby občané mohli uplatňovat svá práva, bránit se diskriminaci a vyžadovat odpovědnost rozhodovacích subjektů za jejich rozhodnutí, je naprosto nezbytný přístup ke spravedlnosti;</w:t>
      </w:r>
    </w:p>
    <w:p w14:paraId="6520F36D" w14:textId="77777777" w:rsidR="00FE21BA" w:rsidRPr="00CB5A0E" w:rsidRDefault="00FE21BA" w:rsidP="00CB5A0E">
      <w:pPr>
        <w:pStyle w:val="NormalHanging12a"/>
      </w:pPr>
      <w:r w:rsidRPr="00CB5A0E">
        <w:t>2.</w:t>
      </w:r>
      <w:r w:rsidRPr="00CB5A0E">
        <w:tab/>
        <w:t>připomíná, že spolehlivé vnitrostátní právní systémy jsou v členských státech a v kandidátských a potenciálních kandidátských zemích nezbytné vzhledem k tomu, že Komise se při prosazování právních předpisů EU spoléhá na vnitrostátní soudní orgány, a že mají zásadní význam pro justiční spolupráci v celé EU a pro podporu vzájemné důvěry; se znepokojením konstatuje, že ačkoli se některé soudní systémy mohou zdát stabilní na papíře, není to vždy v souladu s reálnou situací;</w:t>
      </w:r>
    </w:p>
    <w:p w14:paraId="3C279515" w14:textId="77777777" w:rsidR="00FE21BA" w:rsidRPr="00CB5A0E" w:rsidRDefault="00FE21BA" w:rsidP="00CB5A0E">
      <w:pPr>
        <w:pStyle w:val="NormalHanging12a"/>
      </w:pPr>
      <w:r w:rsidRPr="00CB5A0E">
        <w:t>3.</w:t>
      </w:r>
      <w:r w:rsidRPr="00CB5A0E">
        <w:tab/>
        <w:t>zdůrazňuje, že je nutné, aby soudci byli nestranní; připomíná, že jmenování a povyšování soudců musí být určováno výhradně jejich předpoklady a nesmí být ovlivňováno politickými nebo osobními zájmy, neboť soudci jsou klíčoví pro zachování nezávislosti soudnictví; připomíná, že kritéria pro navrhování a jmenování do vysokých pozic v soudnictví musí být plně transparentní;</w:t>
      </w:r>
    </w:p>
    <w:p w14:paraId="558F2377" w14:textId="12ACFF85" w:rsidR="00FE21BA" w:rsidRPr="00CB5A0E" w:rsidRDefault="00FE21BA" w:rsidP="00CB5A0E">
      <w:pPr>
        <w:pStyle w:val="NormalHanging12a"/>
      </w:pPr>
      <w:r w:rsidRPr="00CB5A0E">
        <w:t>4.</w:t>
      </w:r>
      <w:r w:rsidRPr="00CB5A0E">
        <w:tab/>
        <w:t>poukazuje na to, že z hlediska zajištění nezávislosti soudnictví hrají důležitou úlohu soudcovské rady členských států; považuje za nezbytné vyhodnotit reformy, které jsou přijímány v různých členských státech, a vybízí k tomu, aby se složení těchto orgánů a jejich fungování přizpůsobilo normám stanoveným Komisí a Radou Evropy, které schválil S</w:t>
      </w:r>
      <w:r w:rsidR="007C2654">
        <w:t>oudní dvůr</w:t>
      </w:r>
      <w:r w:rsidRPr="00CB5A0E">
        <w:t>; vyzývá Komisi, aby se v budoucích zprávách o právním státu v rámci posuzování nezávislosti soudnictví obzvláště zaměřovala na úlohu, strukturu a fungování soudcovských rad členských států;</w:t>
      </w:r>
    </w:p>
    <w:p w14:paraId="6F506817" w14:textId="6D6E6B15" w:rsidR="00FE21BA" w:rsidRPr="00765A25" w:rsidRDefault="00FE21BA" w:rsidP="00CB5A0E">
      <w:pPr>
        <w:pStyle w:val="NormalHanging12a"/>
        <w:rPr>
          <w:bCs/>
          <w:iCs/>
        </w:rPr>
      </w:pPr>
      <w:r w:rsidRPr="00CB5A0E">
        <w:lastRenderedPageBreak/>
        <w:t>5.</w:t>
      </w:r>
      <w:r w:rsidRPr="00CB5A0E">
        <w:tab/>
        <w:t>poukazuje na to, že státní zastupitelství je klíčovým prvkem schopnosti členského státu bojovat proti trestné činnosti a korupci; vyjadřuje politování nad jakýmkoli vládním nebo politickým vměšováním do vyšetřování korupce a připomíná, že nikdo nestojí nad zákonem; odsuzuje zneužívání soudního systému k politickým účelům, včetně pronásledování politických oponentů a zásahů do vyšetřování korupce; zdůrazňuje, že jak politicky motivovaná stíhání, tak i zákony o amnestii a postupy udělování milosti založené na politických zájmech podkopávají důvěru veřejnosti v ústavní zásady a normy EU; zdůrazňuje, že je důležité zaručit autonomii a nezávislost státních zastupitelství, a zabránit tak jakýmkoli politickým zásahům do jejich činnosti, zejména ze strany vlády; zdůrazňuje význam transparentních postupů jmenování státních zástupců, které jsou klíčovým faktorem pro zachování důvěry veřejnosti v trestní soudnictví</w:t>
      </w:r>
      <w:r w:rsidR="00765A25">
        <w:t xml:space="preserve">; </w:t>
      </w:r>
      <w:r w:rsidR="00765A25" w:rsidRPr="002C43F2">
        <w:rPr>
          <w:bCs/>
          <w:iCs/>
        </w:rPr>
        <w:t>poukazuje na své znepokojení nad opakovanými útoky na soudce a státní zástupce, kteří vedou vyšetřování korupčních afér týkajících se vysokých politiků a vyšetřování případů zneužití moci proti politickým odpůrcům</w:t>
      </w:r>
      <w:r w:rsidRPr="00765A25">
        <w:rPr>
          <w:bCs/>
          <w:iCs/>
        </w:rPr>
        <w:t>;</w:t>
      </w:r>
    </w:p>
    <w:p w14:paraId="7AB62EB7" w14:textId="77777777" w:rsidR="00FE21BA" w:rsidRPr="00CB5A0E" w:rsidRDefault="00FE21BA" w:rsidP="00CB5A0E">
      <w:pPr>
        <w:pStyle w:val="NormalHanging12a"/>
      </w:pPr>
      <w:r w:rsidRPr="00CB5A0E">
        <w:t>6.</w:t>
      </w:r>
      <w:r w:rsidRPr="00CB5A0E">
        <w:tab/>
        <w:t>vyzývá k tomu, aby disciplinární řízení pro soudce a státní zástupce vedly nezávislé orgány bez politického vlivu a aby byl v případě potřeby reformován systém disciplinárních řízení tak, aby je politické orgány nemohly využívat ke kontrole soudnictví;</w:t>
      </w:r>
    </w:p>
    <w:p w14:paraId="3A2B2621" w14:textId="11D35F18" w:rsidR="00FE21BA" w:rsidRPr="00CB5A0E" w:rsidRDefault="00FE21BA" w:rsidP="00CB5A0E">
      <w:pPr>
        <w:pStyle w:val="NormalHanging12a"/>
      </w:pPr>
      <w:r w:rsidRPr="00CB5A0E">
        <w:t>7.</w:t>
      </w:r>
      <w:r w:rsidRPr="00CB5A0E">
        <w:tab/>
        <w:t>vyzývá Komisi, aby zachovávala neustálý dohled a zajistila, aby soudci a státní zástupci byli vždy nezávislí na orgánech odpovědných za jejich jmenování nebo opětovné jmenování; vyzývá Komisi, aby aktivně sledovala rizika zhoršení stavu právního státu v oblasti nezávislosti soudnictví a přístupu ke spravedlnosti a rychle na ně reagovala v souladu se zásadou nesnižování úrovně právní ochrany, jak je objasněna v nedávné judikatuře S</w:t>
      </w:r>
      <w:r w:rsidR="007C2654">
        <w:t>oudního dvora</w:t>
      </w:r>
      <w:r w:rsidRPr="00CB5A0E">
        <w:t>;</w:t>
      </w:r>
    </w:p>
    <w:p w14:paraId="24629F60" w14:textId="77777777" w:rsidR="00FE21BA" w:rsidRPr="00CB5A0E" w:rsidRDefault="00FE21BA" w:rsidP="00CB5A0E">
      <w:pPr>
        <w:pStyle w:val="NormalHanging12a"/>
      </w:pPr>
      <w:r w:rsidRPr="00CB5A0E">
        <w:t>8.</w:t>
      </w:r>
      <w:r w:rsidRPr="00CB5A0E">
        <w:tab/>
        <w:t>konstatuje, že Komise zjistila, že tomu, aby došlo ke zvýšení účinnosti, přístupnosti a kvality soudnictví, brání v některých členských státech</w:t>
      </w:r>
      <w:r w:rsidRPr="00CB5A0E">
        <w:rPr>
          <w:rStyle w:val="FootnoteReference"/>
        </w:rPr>
        <w:footnoteReference w:id="45"/>
      </w:r>
      <w:r w:rsidRPr="00CB5A0E">
        <w:t xml:space="preserve"> a kandidátských a potenciálních kandidátských zemích strukturální překážky; bere na vědomí, že Komise zjistila, že několik členských států vyčlenilo dodatečné zdroje na posílení odolnosti systémů soudnictví, aby zajistilo včasné řešení případů a snížilo počet nevyřízených případů, zatímco v jiných členských státech je úroveň odměňování i nadále problematická, což často vede k nedostatku pracovníků a volným pracovním místům; konstatuje, že nedostatečné financování a personální zajištění může oslabit dostupnost a účinnost soudních systémů, a narušit tak důvěru v právní stát; zdůrazňuje, že přiměřená odměna má zásadní význam pro přilákání a udržení kvalifikovaných soudních zaměstnanců; je pevně přesvědčen, že vzdělávání je klíčovým prvkem, který zaručuje nezávislost soudců, jakož i kvalitu a účinnost soudního systému; konstatuje, že důležitým prvkem stavu právního státu a spravedlivých postupů jsou soudní řízení uzavřená v rozumné lhůtě; v této souvislosti konstatuje, že srovnávací přehled o soudnictví poukazuje na značné rozdíly v rámci právního prostoru EU;</w:t>
      </w:r>
    </w:p>
    <w:p w14:paraId="7688E21D" w14:textId="77777777" w:rsidR="00FE21BA" w:rsidRPr="00CB5A0E" w:rsidRDefault="00FE21BA" w:rsidP="00CB5A0E">
      <w:pPr>
        <w:pStyle w:val="NormalHanging12a"/>
      </w:pPr>
      <w:r w:rsidRPr="00CB5A0E">
        <w:t>9.</w:t>
      </w:r>
      <w:r w:rsidRPr="00CB5A0E">
        <w:tab/>
        <w:t xml:space="preserve">vybízí členské státy, aby zajistily soudcům příležitosti k dalšímu vzdělávání; je pevně přesvědčen, že takové vzdělávání by mělo být multidisciplinární a mělo by být obzvláště zaměřeno na genderovou rovnost; opakuje, že pro účinnost a dostupnost soudního systému mají zásadní význam odpovídající zdroje, včetně financování, infrastruktury a kvalifikovaného personálu; uznává, že v řadě členských států mají významnou roli soudní zaměstnanci, včetně notářů; vyzývá všechny členské státy, aby </w:t>
      </w:r>
      <w:r w:rsidRPr="00CB5A0E">
        <w:lastRenderedPageBreak/>
        <w:t>po přiměřenou dobu nadále sledovaly případy korupce, a zabránily tak tomu, že by mezi občany vznikal pocit beztrestnosti; vyzývá členské státy, aby využily příležitostí, které nabízí digitalizace, pokud jde o zjednodušení postupů a procesů, zlepšení účinnosti a dostupnosti, úsporu času a snížení nákladů na skladování;</w:t>
      </w:r>
    </w:p>
    <w:p w14:paraId="7C57743C" w14:textId="77777777" w:rsidR="00FE21BA" w:rsidRPr="00CB5A0E" w:rsidRDefault="00FE21BA" w:rsidP="00CB5A0E">
      <w:pPr>
        <w:pStyle w:val="NormalHanging12a"/>
      </w:pPr>
      <w:r w:rsidRPr="00CB5A0E">
        <w:t>10.</w:t>
      </w:r>
      <w:r w:rsidRPr="00CB5A0E">
        <w:tab/>
        <w:t xml:space="preserve">zdůrazňuje, že pro zajištění rovného přístupu ke spravedlnosti jsou důležité nezávislé soudní systémy a přístup k bezplatné právní pomoci; opakuje, že pro zlepšení systémů soudnictví mají zásadní význam odpovídající zdroje, a to i pokud jde o infrastrukturu a zaměstnance; doporučuje, aby členské státy přijaly konkrétní opatření ke zlepšení přístupu </w:t>
      </w:r>
      <w:proofErr w:type="spellStart"/>
      <w:r w:rsidRPr="00CB5A0E">
        <w:t>marginalizovaných</w:t>
      </w:r>
      <w:proofErr w:type="spellEnd"/>
      <w:r w:rsidRPr="00CB5A0E">
        <w:t xml:space="preserve"> a zranitelných skupin ke spravedlnosti, včetně náležitě financovaných a posílených systémů právní pomoci a opatření k řešení jazykových bariér a digitální propasti;</w:t>
      </w:r>
    </w:p>
    <w:p w14:paraId="42130BD2" w14:textId="77777777" w:rsidR="00FE21BA" w:rsidRPr="00CB5A0E" w:rsidRDefault="00FE21BA" w:rsidP="00CB5A0E">
      <w:pPr>
        <w:pStyle w:val="NormalHanging12a"/>
      </w:pPr>
      <w:r w:rsidRPr="00CB5A0E">
        <w:t>11.</w:t>
      </w:r>
      <w:r w:rsidRPr="00CB5A0E">
        <w:tab/>
        <w:t>připomíná, že zpráva Komise o právním státu za rok 2024 uvádí, že v Maďarsku přetrvávají vážné obavy ohledně nezávislosti soudnictví, že státní zastupitelství je i nadále pod vlivem politiků, což s sebou nese riziko nepatřičného zasahování do jednotlivých případů, a že svoboda projevu soudců je i nadále pod tlakem a ve sdělovacích prostředcích pokračují očerňující kampaně proti soudcům;</w:t>
      </w:r>
    </w:p>
    <w:p w14:paraId="6FB95206" w14:textId="4BE46FF2" w:rsidR="00FE21BA" w:rsidRPr="00CB5A0E" w:rsidRDefault="00FE21BA" w:rsidP="00CB5A0E">
      <w:pPr>
        <w:pStyle w:val="NormalHanging12a"/>
      </w:pPr>
      <w:r w:rsidRPr="00CB5A0E">
        <w:t>12.</w:t>
      </w:r>
      <w:r w:rsidRPr="00CB5A0E">
        <w:tab/>
        <w:t>vítá klíčovou úlohu S</w:t>
      </w:r>
      <w:r w:rsidR="007C2654">
        <w:t>oudního dvora</w:t>
      </w:r>
      <w:r w:rsidRPr="00CB5A0E">
        <w:t xml:space="preserve"> při prosazování zásad právního státu v celé EU; podporuje další iniciativy usilující o posílení zdrojů a schopností S</w:t>
      </w:r>
      <w:r w:rsidR="007C2654">
        <w:t>oudního dvora</w:t>
      </w:r>
      <w:r w:rsidRPr="00CB5A0E">
        <w:t>, aby mohl účinně řešit další výzvy v oblasti právního státu; opakuje, že v souladu s článkem 19 S</w:t>
      </w:r>
      <w:r w:rsidR="007C2654">
        <w:t xml:space="preserve">mlouvy o </w:t>
      </w:r>
      <w:r w:rsidRPr="00CB5A0E">
        <w:t>EU a článkem 267 S</w:t>
      </w:r>
      <w:r w:rsidR="007C2654">
        <w:t xml:space="preserve">mlouvy o fungování </w:t>
      </w:r>
      <w:r w:rsidRPr="00CB5A0E">
        <w:t>EU nelze vnitrostátním soudům bránit v tom, aby využily možnosti obrátit se na S</w:t>
      </w:r>
      <w:r w:rsidR="007C2654">
        <w:t>oudní dvůr</w:t>
      </w:r>
      <w:r w:rsidRPr="00CB5A0E">
        <w:t xml:space="preserve"> s žádostí o rozhodnutí o předběžné otázce; vyzývá Komisi, aby v rámci sestavování výročních zpráv o právním státu prováděla příslušné systematické kontroly a v případech, kdy vnitrostátní soudci narážejí v tomto ohledu na překážky, zahájila řízení o nesplnění povinnosti;</w:t>
      </w:r>
    </w:p>
    <w:p w14:paraId="338CAF1C" w14:textId="5449E606" w:rsidR="00FE21BA" w:rsidRPr="00CB5A0E" w:rsidRDefault="00FE21BA" w:rsidP="00CB5A0E">
      <w:pPr>
        <w:pStyle w:val="NormalHanging12a"/>
      </w:pPr>
      <w:r w:rsidRPr="00CB5A0E">
        <w:t>13.</w:t>
      </w:r>
      <w:r w:rsidRPr="00CB5A0E">
        <w:tab/>
        <w:t>lituje tendence některých členských států provádět rozsudky S</w:t>
      </w:r>
      <w:r w:rsidR="007C2654">
        <w:t>oudního dvora</w:t>
      </w:r>
      <w:r w:rsidRPr="00CB5A0E">
        <w:t xml:space="preserve"> a ESLP selektivně, odkládat jejich provedení nebo je neprovádět, a žádá, aby byly prováděny včas a účinně; zdůrazňuje, že členské státy a orgány EU musí systematicky začleňovat a provádět nejnovější judikaturu S</w:t>
      </w:r>
      <w:r w:rsidR="007C2654">
        <w:t>oudního dvora</w:t>
      </w:r>
      <w:r w:rsidRPr="00CB5A0E">
        <w:t xml:space="preserve"> v zájmu prosazování zásad právního státu a zajištění jednotného uplatňování práva EU; vyzývá k rychlému přizpůsobení vnitrostátních právních předpisů a institucionálních rámců, tak aby byly v souladu se soudními rozhodnutími;</w:t>
      </w:r>
    </w:p>
    <w:p w14:paraId="3726939F" w14:textId="77777777" w:rsidR="00FE21BA" w:rsidRPr="00CB5A0E" w:rsidRDefault="00FE21BA" w:rsidP="00CB5A0E">
      <w:pPr>
        <w:pStyle w:val="NormalHanging12a"/>
      </w:pPr>
      <w:r w:rsidRPr="00CB5A0E">
        <w:t>14.</w:t>
      </w:r>
      <w:r w:rsidRPr="00CB5A0E">
        <w:tab/>
        <w:t>připomíná, že v době, která je pro mezinárodní spravedlnost obzvláště náročná, jednoznačně podporuje Mezinárodní soudní dvůr a Mezinárodní trestní soud (ICC) jakožto klíčové, nezávislé a nestranné soudní orgány; připomíná, že je třeba plně provádět rozhodnutí Mezinárodního soudního dvora, která jsou právně závazná; vyzývá Unii, její členské státy a kandidátské a potenciální kandidátské země, aby Mezinárodní trestní soud nadále podporovaly;</w:t>
      </w:r>
    </w:p>
    <w:p w14:paraId="5DFA1B6B" w14:textId="1B5D418C" w:rsidR="00FE21BA" w:rsidRPr="00CB5A0E" w:rsidRDefault="00FE21BA" w:rsidP="00CB5A0E">
      <w:pPr>
        <w:pStyle w:val="NormalHanging12a"/>
      </w:pPr>
      <w:r w:rsidRPr="00CB5A0E">
        <w:t>15.</w:t>
      </w:r>
      <w:r w:rsidRPr="00CB5A0E">
        <w:tab/>
        <w:t>naléhavě vyzývá Komisi, aby jakožto strážkyně Smluv plnila svou povinnost a posilovala základní hodnoty Unie, včetně těch, které jsou zakotveny v článku 2 S</w:t>
      </w:r>
      <w:r w:rsidR="007C2654">
        <w:t xml:space="preserve">mlouvy o </w:t>
      </w:r>
      <w:r w:rsidRPr="00CB5A0E">
        <w:t xml:space="preserve">EU a v primárním právu EU, a nespoléhala se pouze na to, že uplatňování právních předpisů EU budou zajišťovat sami občané podáváním žalob k soudům; zdůrazňuje, že neprovedení vnitrostátních a mezinárodních rozsudků je porušením zásad právního státu a může vést k tomu, že lidé zůstanou bez nápravy, a vyvolat u veřejnosti dojem, že rozsudky lze přehlížet, což podkopává obecnou důvěru ve </w:t>
      </w:r>
      <w:r w:rsidRPr="00CB5A0E">
        <w:lastRenderedPageBreak/>
        <w:t>spravedlivé rozhodování soudů; zdůrazňuje zásadní úlohu S</w:t>
      </w:r>
      <w:r w:rsidR="007C2654">
        <w:t>oudního dvora</w:t>
      </w:r>
      <w:r w:rsidRPr="00CB5A0E">
        <w:t xml:space="preserve"> a ESLP, pokud jde o zajištění dodržování práva a zaručení jeho jednotného uplatňování; navrhuje stanovit jasné lhůty pro výkon soudních rozhodnutí, jakož i podrobný plán pro monitorování provádění rozsudků, které dosud nebyly vykonány; naléhavě vyzývá Komisi, aby v případě nutnosti zahájila řízení o nesplnění povinnosti a předložila návrhy na předběžná opatření; vyzývá členské státy, aby urychleně provedly dosud nevykonané rozsudky S</w:t>
      </w:r>
      <w:r w:rsidR="007C2654">
        <w:t>oudního dvora</w:t>
      </w:r>
      <w:r w:rsidRPr="00CB5A0E">
        <w:t xml:space="preserve"> a ESLP, a navrhuje zřízení monitorovací jednotky, která by monitorovala výkon rozsudků S</w:t>
      </w:r>
      <w:r w:rsidR="007C2654">
        <w:t>oudního dvora</w:t>
      </w:r>
      <w:r w:rsidRPr="00CB5A0E">
        <w:t xml:space="preserve"> a ESLP týkajících se demokracie, právního státu a základních práv v zemích EU, a dále navrhuje, aby zjištění této jednotky byla plně začleněna do výroční zprávy o právním státu; doporučuje Komisi, aby zejména využívala opatření pro řešení neprovedení rozsudků S</w:t>
      </w:r>
      <w:r w:rsidR="007C2654">
        <w:t>oudního dvora</w:t>
      </w:r>
      <w:r w:rsidRPr="00CB5A0E">
        <w:t xml:space="preserve"> podle čl. 260 odst. 2 S</w:t>
      </w:r>
      <w:r w:rsidR="007C2654">
        <w:t xml:space="preserve">mlouvy o fungování </w:t>
      </w:r>
      <w:r w:rsidRPr="00CB5A0E">
        <w:t>EU a aby v případech nesouladu s rozsudky S</w:t>
      </w:r>
      <w:r w:rsidR="007C2654">
        <w:t>oudního dvora</w:t>
      </w:r>
      <w:r w:rsidRPr="00CB5A0E">
        <w:t xml:space="preserve"> a ESLP použila nařízení o podmíněnosti dodržováním zásad právního státu, pokud zjištěné porušení ovlivňuje rozpočtové nebo finanční zájmy Unie nebo hrozí vážné riziko, že je ovlivní; zdůrazňuje, že systematické nedodržování právních předpisů EU musí vést ke konkrétním finančním sankcím, aby byl zajištěn skutečný odrazující účinek; vyzývá Komisi, aby posoudila, zda odkládání provedení takových rozhodnutí nebo jejich nerespektování je důvodem k zahájení řízení na základě žaloby pro nečinnost podle článku 258 S</w:t>
      </w:r>
      <w:r w:rsidR="007C2654">
        <w:t xml:space="preserve">mlouvy o fungování </w:t>
      </w:r>
      <w:r w:rsidRPr="00CB5A0E">
        <w:t>EU; vyzývá Komisi, aby systematicky analyzovala údaje o nezohlednění stanovisek orgánů zřízených smlouvami OSN týkajících se jednotlivých zemí;</w:t>
      </w:r>
    </w:p>
    <w:p w14:paraId="5EFABDD9" w14:textId="77777777" w:rsidR="00FE21BA" w:rsidRPr="00CB5A0E" w:rsidRDefault="00FE21BA" w:rsidP="00CB5A0E">
      <w:pPr>
        <w:pStyle w:val="NormalHanging12a"/>
      </w:pPr>
      <w:r w:rsidRPr="00CB5A0E">
        <w:t>16.</w:t>
      </w:r>
      <w:r w:rsidRPr="00CB5A0E">
        <w:tab/>
        <w:t>vítá revizi směrnice o právech obětí</w:t>
      </w:r>
      <w:r w:rsidRPr="00CB5A0E">
        <w:rPr>
          <w:rStyle w:val="FootnoteReference"/>
        </w:rPr>
        <w:footnoteReference w:id="46"/>
      </w:r>
      <w:r w:rsidRPr="00CB5A0E">
        <w:t xml:space="preserve">, jejímž účelem bylo odstranit právní mezery a zajistit, aby měly oběti přístup ke spravedlnosti a aby se jim dostalo podpory; vyzývá Radu, aby z ustanovení předložených Parlamentem převzala co nejvíce, včetně ustanovení o právu obětí na přezkum rozhodnutí v trestním řízení, o přístupu k opravným prostředkům a spravedlivému odškodnění a o komplexních podpůrných službách, zejména pro osoby ve zranitelném postavení; zdůrazňuje význam efektivního shromažďování údajů, lepšího přidělování zdrojů na pomoc obětem a ochrany soukromí a osobních údajů obětí s cílem zabránit sekundární viktimizaci a zajistit, aby oběti, včetně migrantů bez dokladů a žadatelů o azyl, mohly podávat bezpečně oznámení o trestných činech; očekává, že </w:t>
      </w:r>
      <w:proofErr w:type="spellStart"/>
      <w:r w:rsidRPr="00CB5A0E">
        <w:t>spolunormotvůrci</w:t>
      </w:r>
      <w:proofErr w:type="spellEnd"/>
      <w:r w:rsidRPr="00CB5A0E">
        <w:t xml:space="preserve"> přijmou řešení zaměřená na oběti;</w:t>
      </w:r>
    </w:p>
    <w:p w14:paraId="54520FD6" w14:textId="77777777" w:rsidR="00FE21BA" w:rsidRPr="00CB5A0E" w:rsidRDefault="00FE21BA" w:rsidP="00CB5A0E">
      <w:pPr>
        <w:pStyle w:val="NormalHanging12a"/>
      </w:pPr>
      <w:r w:rsidRPr="00CB5A0E">
        <w:t>17.</w:t>
      </w:r>
      <w:r w:rsidRPr="00CB5A0E">
        <w:tab/>
        <w:t xml:space="preserve">uznává, že prosazování práva má zásadní význam z hlediska zachování právního státu a ochrany základních práv; vyzývá členské státy, aby zajistily odpovídající financování, odbornou přípravu a zdroje pro policii a donucovací orgány; vyzývá členské státy, aby v této souvislosti zohlednily kodex policejní etiky Rady Evropy; zdůrazňuje, že sílu lze použít pouze v případech, kdy je to nezbytně nutné, a její použití musí být přiměřené a musí podléhat jasným zárukám; vyzývá členské státy, aby zavedly pokyny pro transparentní, nezávislé a konzistentní vybírání, testování a vyzkoušení zbraní používaných členy donucovacích orgánů, a to na základě norem, doporučení a hlavních zásad OSN; poznamenává, že toto posouzení by mělo ještě před výběrem a zavedením těchto zbraní do praxe určit, zda jsou tyto zbraně v souladu s mezinárodním právem a normami v oblasti lidských práv; vyzývá členské státy, aby důkladně prošetřily </w:t>
      </w:r>
      <w:r w:rsidRPr="00CB5A0E">
        <w:lastRenderedPageBreak/>
        <w:t>všechny případy, kdy donucovací orgány použily nadměrnou sílu a jednaly diskriminačně;</w:t>
      </w:r>
    </w:p>
    <w:p w14:paraId="6B36750F" w14:textId="77777777" w:rsidR="00FE21BA" w:rsidRPr="00CB5A0E" w:rsidRDefault="00FE21BA" w:rsidP="00CB5A0E">
      <w:pPr>
        <w:pStyle w:val="NormalHanging12a"/>
      </w:pPr>
      <w:r w:rsidRPr="00CB5A0E">
        <w:t>18.</w:t>
      </w:r>
      <w:r w:rsidRPr="00CB5A0E">
        <w:tab/>
        <w:t>vyzývá Komisi, aby jakožto obavu ohledně dodržování právního státu zařadila do budoucích zpráv o právním státu i podmínky ve věznicích, a to vzhledem k vážnému a rostoucímu celoevropskému znepokojení z důvodu přeplněnosti, nevyhovujících životních podmínek a alarmující míry sebevražd ve věznicích;</w:t>
      </w:r>
    </w:p>
    <w:p w14:paraId="2335A501" w14:textId="77777777" w:rsidR="00FE21BA" w:rsidRPr="00CB5A0E" w:rsidRDefault="00FE21BA" w:rsidP="00CB5A0E">
      <w:pPr>
        <w:pStyle w:val="NormalHanging12a"/>
      </w:pPr>
      <w:r w:rsidRPr="00CB5A0E">
        <w:t>19.</w:t>
      </w:r>
      <w:r w:rsidRPr="00CB5A0E">
        <w:tab/>
        <w:t>vyzývá Komisi, aby zvláštní pozornost věnovala analýze procesní spravedlnosti s cílem určit silné stránky, mezery, nejednotnosti a osvědčené postupy při zajišťování transparentnosti, účinnosti a spravedlivého zacházení v zájmu posílení správního soudnictví v celé EU a zajištění odpovědnosti veřejných orgánů;</w:t>
      </w:r>
    </w:p>
    <w:p w14:paraId="5C07E836" w14:textId="77777777" w:rsidR="00FE21BA" w:rsidRPr="00CB5A0E" w:rsidRDefault="00FE21BA" w:rsidP="00CB5A0E">
      <w:pPr>
        <w:pStyle w:val="Normal12a24b"/>
        <w:spacing w:before="0"/>
        <w:ind w:hanging="567"/>
        <w:rPr>
          <w:i/>
        </w:rPr>
      </w:pPr>
      <w:r w:rsidRPr="00CB5A0E">
        <w:rPr>
          <w:rStyle w:val="Bold"/>
          <w:i/>
        </w:rPr>
        <w:t xml:space="preserve">Protikorupční rámec </w:t>
      </w:r>
    </w:p>
    <w:p w14:paraId="36643915" w14:textId="77777777" w:rsidR="00FE21BA" w:rsidRPr="00CB5A0E" w:rsidRDefault="00FE21BA" w:rsidP="00CB5A0E">
      <w:pPr>
        <w:pStyle w:val="NormalHanging12a"/>
      </w:pPr>
      <w:r w:rsidRPr="00CB5A0E">
        <w:t>20.</w:t>
      </w:r>
      <w:r w:rsidRPr="00CB5A0E">
        <w:tab/>
        <w:t>zdůrazňuje, že podle zásad právního státu nesmí veřejní činitelé jednat svévolně ani zneužívat svého postavení k osobnímu prospěchu; zdůrazňuje, že vlády by měly přijímat zákony v zájmu široké veřejnosti, a nikoli konkrétních jedinců;</w:t>
      </w:r>
    </w:p>
    <w:p w14:paraId="3DEEAFD3" w14:textId="77777777" w:rsidR="00FE21BA" w:rsidRPr="00CB5A0E" w:rsidRDefault="00FE21BA" w:rsidP="00CB5A0E">
      <w:pPr>
        <w:pStyle w:val="NormalHanging12a"/>
      </w:pPr>
      <w:r w:rsidRPr="00CB5A0E">
        <w:t>21.</w:t>
      </w:r>
      <w:r w:rsidRPr="00CB5A0E">
        <w:tab/>
        <w:t>opakuje, že korupce představuje vážnou hrozbu pro demokracii, základní práva a právní stát v členských státech, kandidátských a potenciálních kandidátských zemích; zdůrazňuje, že korupce oslabuje důvěru občanů ve veřejné instituce; vyjadřuje politování nad tím, že průzkum Eurobarometr z roku 2024 týkající se korupce ukazuje, že korupce je pro občany a podniky v EU stále vážným problémem, kdy 68 % Evropanů se domnívá, že korupce je v jejich zemi rozšířená, 65 % jich je přesvědčeno o tom, že případy korupce na vysoké úrovni nejsou dostatečně stíhány, a 41 % dotázaných si myslí, že míra korupce vzrostla; domnívá se, že to je výzvou pro EU, aby zintenzivnila své úsilí v boji proti korupci;</w:t>
      </w:r>
    </w:p>
    <w:p w14:paraId="08DBF94A" w14:textId="77777777" w:rsidR="00FE21BA" w:rsidRPr="00CB5A0E" w:rsidRDefault="00FE21BA" w:rsidP="00CB5A0E">
      <w:pPr>
        <w:pStyle w:val="NormalHanging12a"/>
      </w:pPr>
      <w:r w:rsidRPr="00CB5A0E">
        <w:t>22.</w:t>
      </w:r>
      <w:r w:rsidRPr="00CB5A0E">
        <w:tab/>
        <w:t>znovu Komisi žádá, aby urychleně uzavřela jednání o členství EU ve Skupině států proti korupci (GRECO) zřízené v rámci Rady Evropy; konstatuje, že členství v této skupině zajistí transparentnější, odpovědnější a účinnější správu finančních prostředků EU, legislativní proces a práci orgánů a institucí EU, a žádá, aby výroční zpráva o právním státu zahrnovala i orgány a instituce EU;</w:t>
      </w:r>
    </w:p>
    <w:p w14:paraId="79F731DE" w14:textId="77777777" w:rsidR="00FE21BA" w:rsidRPr="00CB5A0E" w:rsidRDefault="00FE21BA" w:rsidP="00CB5A0E">
      <w:pPr>
        <w:pStyle w:val="NormalHanging12a"/>
      </w:pPr>
      <w:r w:rsidRPr="00CB5A0E">
        <w:t>23.</w:t>
      </w:r>
      <w:r w:rsidRPr="00CB5A0E">
        <w:tab/>
        <w:t>znovu vyzývá všechny členské státy, aby v návaznosti na doporučení skupiny GRECO přijaly kodexy chování pro soudce, s přihlédnutím ke kodexům ESLP a Soudního dvora Evropské unie; vyzývá členské státy, aby vytvořily nezávislé mechanismy pro vyšetřování údajných porušení kodexu chování a dalších právních předpisů, zlepšily zveřejňování informací a transparentnost v souvislosti se střety zájmů a dary obdrženými soudci a řešily problém „otáčivých dveří“;</w:t>
      </w:r>
    </w:p>
    <w:p w14:paraId="1B411560" w14:textId="77777777" w:rsidR="00FE21BA" w:rsidRPr="00CB5A0E" w:rsidRDefault="00FE21BA" w:rsidP="00CB5A0E">
      <w:pPr>
        <w:pStyle w:val="NormalHanging12a"/>
      </w:pPr>
      <w:r w:rsidRPr="00CB5A0E">
        <w:t>24.</w:t>
      </w:r>
      <w:r w:rsidRPr="00CB5A0E">
        <w:tab/>
        <w:t xml:space="preserve">vyzývá členské státy, kandidátské a potenciální kandidátské země a orgány a instituce EU, aby zvýšily transparentnost a odpovědnost veřejných institucí tím, že zpřísní právní rámce pro boj proti korupci a kompetenční spory a postupy podávání zpráv s cílem zajistit účinné vyšetřování a stíhání případů korupce, včetně korupce na vysoké úrovni (mimo jiné korupce spojené se zadáváním veřejných zakázek a korupce ve vysoce rizikových oblastech jako jsou přístavy nebo pozemní hranice), posílí mechanismy a orgány dohledu a nezávislost a řádné fungování stávajících orgánů, podpoří ochranu informátorů, zlepší rámce zajišťující bezúhonnost a lobbování za právní předpisy; s politováním konstatuje, že nebylo dosaženo žádoucího pokroku, a zdůrazňuje, že </w:t>
      </w:r>
      <w:r w:rsidRPr="00CB5A0E">
        <w:lastRenderedPageBreak/>
        <w:t>pravomocné odsouzení a odrazující postihy jsou nezbytné k tomu, aby bylo prokázáno skutečné odhodlání k potírání korupce; vyzývá členské státy, aby zajistily transparentnost a odpovědnost lobbistických činností, včetně zřízení nebo zlepšení povinných registrů lobbistů a mechanismů legislativní stopy sloužících ke sledování vlivu lobbistů na legislativní procesy;</w:t>
      </w:r>
    </w:p>
    <w:p w14:paraId="2ADDC3F1" w14:textId="63A85154" w:rsidR="00FE21BA" w:rsidRPr="00CB5A0E" w:rsidRDefault="00FE21BA" w:rsidP="00CB5A0E">
      <w:pPr>
        <w:pStyle w:val="NormalHanging12a"/>
      </w:pPr>
      <w:r w:rsidRPr="00CB5A0E">
        <w:t>25.</w:t>
      </w:r>
      <w:r w:rsidRPr="00CB5A0E">
        <w:tab/>
        <w:t>uznává důležitou úlohu Úřadu evropského veřejného žalobce (EPPO) při ochraně právního státu a boji proti korupci v EU; vybízí Komisi, aby bedlivě sledovala úroveň spolupráce členských států s úřadem EPPO; podporuje posílení monitorovacích a koordinačních pravomocí úřadu EPPO, aby dokázal účinněji bojovat proti korupci v členských státech; vyzývá Komisi, aby v souladu s čl. 86 odst. 4 S</w:t>
      </w:r>
      <w:r w:rsidR="007C2654">
        <w:t xml:space="preserve">mlouvy o fungování </w:t>
      </w:r>
      <w:r w:rsidRPr="00CB5A0E">
        <w:t>EU navrhla rozšíření mandátu úřadu EPPO, aby se zabránilo obcházení omezujících opatření EU a přeshraniční trestné činnosti proti životnímu prostředí, a aby urychlila revizi nařízení o úřadu EPPO</w:t>
      </w:r>
      <w:r w:rsidRPr="00CB5A0E">
        <w:rPr>
          <w:rStyle w:val="FootnoteReference"/>
        </w:rPr>
        <w:footnoteReference w:id="47"/>
      </w:r>
      <w:r w:rsidRPr="00CB5A0E">
        <w:t xml:space="preserve"> a směrnice o boji vedeném trestněprávní cestou proti podvodům poškozujícím finanční zájmy EU</w:t>
      </w:r>
      <w:r w:rsidRPr="00CB5A0E">
        <w:rPr>
          <w:rStyle w:val="FootnoteReference"/>
        </w:rPr>
        <w:footnoteReference w:id="48"/>
      </w:r>
      <w:r w:rsidRPr="00CB5A0E">
        <w:t xml:space="preserve"> s cílem chránit a vyjasnit primární pravomoc úřadu EPPO, pokud jde o trestné činy korupce poškozující finanční zájmy EU nebo trestné činy spáchané úředníky EU;</w:t>
      </w:r>
    </w:p>
    <w:p w14:paraId="18B2B3A5" w14:textId="77777777" w:rsidR="00FE21BA" w:rsidRPr="00CB5A0E" w:rsidRDefault="00FE21BA" w:rsidP="00CB5A0E">
      <w:pPr>
        <w:pStyle w:val="NormalHanging12a"/>
      </w:pPr>
      <w:r w:rsidRPr="00CB5A0E">
        <w:t>26.</w:t>
      </w:r>
      <w:r w:rsidRPr="00CB5A0E">
        <w:tab/>
        <w:t>naléhavě vyzývá všechny členské státy, které tak dosud neučinily, aby se připojily k úřadu EPPO, a zefektivnily tak boj proti korupci, zejména ve spojitosti s ochranou finančních prostředků EU; vyzývá všechny kandidátské a potenciální kandidátské země, aby vytvořily rámec pro účinnou spolupráci s úřadem EPPO;</w:t>
      </w:r>
    </w:p>
    <w:p w14:paraId="1AA2722C" w14:textId="77777777" w:rsidR="00FE21BA" w:rsidRPr="00CB5A0E" w:rsidRDefault="00FE21BA" w:rsidP="00CB5A0E">
      <w:pPr>
        <w:pStyle w:val="NormalHanging12a"/>
      </w:pPr>
      <w:r w:rsidRPr="00CB5A0E">
        <w:t>27.</w:t>
      </w:r>
      <w:r w:rsidRPr="00CB5A0E">
        <w:tab/>
        <w:t xml:space="preserve">vyzývá evropské instituce, jako je Europol, </w:t>
      </w:r>
      <w:proofErr w:type="spellStart"/>
      <w:r w:rsidRPr="00CB5A0E">
        <w:t>Eurojust</w:t>
      </w:r>
      <w:proofErr w:type="spellEnd"/>
      <w:r w:rsidRPr="00CB5A0E">
        <w:t>, Evropský účetní dvůr, EPPO a Evropský úřad pro boj proti podvodům (OLAF), aby zlepšily spolupráci v boji proti korupci a podvodům, které poškozují finanční zájmy EU;</w:t>
      </w:r>
    </w:p>
    <w:p w14:paraId="6502C26C" w14:textId="77777777" w:rsidR="00FE21BA" w:rsidRPr="00CB5A0E" w:rsidRDefault="00FE21BA" w:rsidP="00CB5A0E">
      <w:pPr>
        <w:pStyle w:val="NormalHanging12a"/>
      </w:pPr>
      <w:r w:rsidRPr="00CB5A0E">
        <w:t>28.</w:t>
      </w:r>
      <w:r w:rsidRPr="00CB5A0E">
        <w:tab/>
        <w:t>vyzývá Komisi, aby zvýšila transparentnost a odpovědnost v rámci všech svých sdělení, návštěv a schůzí, zejména schůzek s vnitrostátními aktéry na vysoké úrovni;</w:t>
      </w:r>
    </w:p>
    <w:p w14:paraId="35E98B2B" w14:textId="77777777" w:rsidR="00FE21BA" w:rsidRPr="00CB5A0E" w:rsidRDefault="00FE21BA" w:rsidP="00CB5A0E">
      <w:pPr>
        <w:pStyle w:val="NormalHanging12a"/>
      </w:pPr>
      <w:r w:rsidRPr="00CB5A0E">
        <w:t>29.</w:t>
      </w:r>
      <w:r w:rsidRPr="00CB5A0E">
        <w:tab/>
        <w:t xml:space="preserve">vítá návrh směrnice o boji proti korupci předložený Komisí, který harmonizuje definici trestných činů korupce ve veřejném a soukromém sektoru a odpovídající sankce; vítá, že uvedená směrnice zahrnuje preventivní opatření, mimo jiné opatření související s nezákonným financováním politických stran a školení, jako jsou např. účinná pravidla pro zveřejňování a řešení střetů zájmů, otevřený přístup k informacím a účinná pravidla upravující interakci mezi soukromým a veřejným sektorem; vyzývá členské státy, aby rovněž zavedly účinná pravidla pro řešení fenoménu otáčivých dveří, vypracovaly kodexy chování pro veřejné činitele, stanovily povinnost veřejné legislativní stopy a zajistily transparentní financování kandidatur volených veřejných činitelů a politických stran; oceňuje, že téměř všechny členské státy v současné době mají protikorupční strategie; zároveň vyjadřuje politování nad tím, že jejich provádění a efektivita se liší; vyzývá členské státy, aby se zapojením občanské společnosti vypracovaly a uplatňovaly spolehlivé a účinné protikorupční strategie, jestliže tak již neučinily; zdůrazňuje význam identifikace, oznamování a zastoupení obětí korupce </w:t>
      </w:r>
      <w:r w:rsidRPr="00CB5A0E">
        <w:lastRenderedPageBreak/>
        <w:t>a jejich koordinace; vyzývá členské státy, aby oběti korupce chránily a umožnily jim prezentovat jejich názory a obavy, které by měly být zohledněny v příslušných fázích trestního řízení; vyzývá členské státy, aby zajistily, že oběti korupce budou mít právo na odpovídající a přiměřené odškodnění;</w:t>
      </w:r>
    </w:p>
    <w:p w14:paraId="5B8CB39B" w14:textId="2DC148A7" w:rsidR="00FE21BA" w:rsidRPr="00CB5A0E" w:rsidRDefault="00FE21BA" w:rsidP="00CB5A0E">
      <w:pPr>
        <w:pStyle w:val="NormalHanging12a"/>
      </w:pPr>
      <w:r w:rsidRPr="00CB5A0E">
        <w:t>30.</w:t>
      </w:r>
      <w:r w:rsidRPr="00CB5A0E">
        <w:tab/>
        <w:t>vyzývá všechny orgány, instituce a jiné subjekty EU, aby posílily svá protikorupční opatření týkající se zveřejňování a řešení střetů zájmů, otevřeného přístupu k informacím, pravidel jejich interakce se soukromým sektorem, fenoménu otáčivých dveří a kodexu chování veřejných činitelů; domnívá se, že poslanci Evropského parlamentu by se během výkonu mandátu neměli zapojovat do placených vedlejších činností se ziskovými organizacemi nebo podniky, které se snaží ovlivňovat tvorbu politik EU;</w:t>
      </w:r>
    </w:p>
    <w:p w14:paraId="3FD329FC" w14:textId="77777777" w:rsidR="00FE21BA" w:rsidRPr="00CB5A0E" w:rsidRDefault="00FE21BA" w:rsidP="00CB5A0E">
      <w:pPr>
        <w:pStyle w:val="NormalHanging12a"/>
      </w:pPr>
      <w:r w:rsidRPr="00CB5A0E">
        <w:t>31.</w:t>
      </w:r>
      <w:r w:rsidRPr="00CB5A0E">
        <w:tab/>
        <w:t>uznává klíčovou úlohu oznamovatelů při odhalování korupce a podpoře transparentnosti ve veřejném i soukromém sektoru; zdůrazňuje, že je třeba oznamovatele chránit před odvetnými opatřeními a šikanou; vyzývá k dalšímu posílení nezávislých a autonomních orgánů pro ochranu oznamovatelů a k jejich těsnějšímu začlenění do širších vnitrostátních protikorupčních rámců, čímž se ve všech členských státech zajistí jednotná a spolehlivá strategie boje proti korupci;</w:t>
      </w:r>
    </w:p>
    <w:p w14:paraId="22FE78DF" w14:textId="77777777" w:rsidR="00FE21BA" w:rsidRPr="00CB5A0E" w:rsidRDefault="00FE21BA" w:rsidP="00CB5A0E">
      <w:pPr>
        <w:pStyle w:val="Normal12a24b"/>
        <w:spacing w:before="0"/>
        <w:ind w:hanging="567"/>
      </w:pPr>
      <w:r w:rsidRPr="00CB5A0E">
        <w:rPr>
          <w:rStyle w:val="BoldItalic"/>
        </w:rPr>
        <w:t>Pluralita a svoboda sdělovacích prostředků</w:t>
      </w:r>
    </w:p>
    <w:p w14:paraId="176FD210" w14:textId="77777777" w:rsidR="00FE21BA" w:rsidRPr="00CB5A0E" w:rsidRDefault="00FE21BA" w:rsidP="00CB5A0E">
      <w:pPr>
        <w:pStyle w:val="NormalHanging12a"/>
      </w:pPr>
      <w:r w:rsidRPr="00CB5A0E">
        <w:t>32.</w:t>
      </w:r>
      <w:r w:rsidRPr="00CB5A0E">
        <w:tab/>
        <w:t>vítá iniciativy na podporu svobodných, nezávislých a pluralitních sdělovacích prostředků a bezpečného a příznivého prostředí pro novináře, jako je Evropský akt o svobodě médií (EMFA)</w:t>
      </w:r>
      <w:r w:rsidRPr="00CB5A0E">
        <w:rPr>
          <w:rStyle w:val="FootnoteReference"/>
        </w:rPr>
        <w:footnoteReference w:id="49"/>
      </w:r>
      <w:r w:rsidRPr="00CB5A0E">
        <w:t>, a vyzývá k jeho urychlenému provedení; vyzývá členské státy a kandidátské a potenciální kandidátské země, aby zvýšily transparentnost při zadávání reklamy státem online i </w:t>
      </w:r>
      <w:proofErr w:type="spellStart"/>
      <w:r w:rsidRPr="00CB5A0E">
        <w:t>offline</w:t>
      </w:r>
      <w:proofErr w:type="spellEnd"/>
      <w:r w:rsidRPr="00CB5A0E">
        <w:t xml:space="preserve"> a aby se řídily pokyny obsaženými v doporučení Komise (EU) 2021/1534 ze dne 16. září 2021 o zajištění ochrany, bezpečnosti a posílení postavení novinářů a dalších pracovníků sdělovacích prostředků v Evropské unii; vyzývá Komisi, aby členským státům poskytla nezbytnou pomoc s provedením aktu EMFA ve vnitrostátním právu a aby sledovala jeho uplatňování, zejména v členských státech, které mají špatné hodnocení v indexech svobody sdělovacích prostředků; zdůrazňuje, že akt EMFA je zásadním milníkem při zajišťování nezávislosti, plurality a integrity mediálního prostředí v celé Unii;</w:t>
      </w:r>
    </w:p>
    <w:p w14:paraId="37DA7B7E" w14:textId="77777777" w:rsidR="00FE21BA" w:rsidRPr="00CB5A0E" w:rsidRDefault="00FE21BA" w:rsidP="00CB5A0E">
      <w:pPr>
        <w:pStyle w:val="NormalHanging12a"/>
      </w:pPr>
      <w:r w:rsidRPr="00CB5A0E">
        <w:t>33.</w:t>
      </w:r>
      <w:r w:rsidRPr="00CB5A0E">
        <w:tab/>
        <w:t xml:space="preserve">vyjadřuje hluboké znepokojení nad rostoucím počtem útoků na novináře a vydavatele, které mají mnohem tvrdší dopad na ženy; vyzývá Komisi a členské státy a kandidátské a potenciální kandidátské země, aby zajistily bezpečnost a ochranu novinářů, zejména investigativních novinářů a ověřovatelů fakt, kteří jsou vystaveni obzvláště vysokému nebezpečí; upozorňuje na to, že mezi nejběžnější hrozby, patří slovní útoky, kyberšikana, zastrašování na sociálních sítích a zasílání výhružných e-mailů, vyhrožování žalobami, včetně případů, na něž se vztahuje směrnice o strategických </w:t>
      </w:r>
      <w:r w:rsidRPr="00CB5A0E">
        <w:lastRenderedPageBreak/>
        <w:t>soudních řízeních proti účasti veřejnosti</w:t>
      </w:r>
      <w:r w:rsidRPr="00CB5A0E">
        <w:rPr>
          <w:rStyle w:val="FootnoteReference"/>
        </w:rPr>
        <w:footnoteReference w:id="50"/>
      </w:r>
      <w:r w:rsidRPr="00CB5A0E">
        <w:t>, i případy pronásledování (stalkingu) a osobního obtěžování;</w:t>
      </w:r>
    </w:p>
    <w:p w14:paraId="53C055C8" w14:textId="77777777" w:rsidR="00FE21BA" w:rsidRPr="00CB5A0E" w:rsidRDefault="00FE21BA" w:rsidP="00CB5A0E">
      <w:pPr>
        <w:pStyle w:val="NormalHanging12a"/>
      </w:pPr>
      <w:r w:rsidRPr="00CB5A0E">
        <w:t>34.</w:t>
      </w:r>
      <w:r w:rsidRPr="00CB5A0E">
        <w:tab/>
        <w:t>vyzývá členské státy, aby v plné míře provedly směrnici proti strategickým žalobám proti účasti veřejnosti a doporučení Komise (EU) 2022/758 ze dne 27. dubna 2022 o ochraně novinářů a obránců lidských práv, kteří se podílejí na účasti veřejnosti, před zjevně neopodstatněnými nebo zneužívajícími soudními řízeními</w:t>
      </w:r>
      <w:r w:rsidRPr="00CB5A0E">
        <w:rPr>
          <w:rStyle w:val="FootnoteReference"/>
        </w:rPr>
        <w:footnoteReference w:id="51"/>
      </w:r>
      <w:r w:rsidRPr="00CB5A0E">
        <w:t xml:space="preserve"> a aby proti strategickým žalobám proti účasti veřejnosti přijaly komplexní vnitrostátní opatření, jimiž budou chránit novináře a poskytnou podporu osobám, které čelí zastrašování, pomluvám a omezením při výkonu své profese; doporučuje členským státům, aby při provádění směrnice do vnitrostátního práva rozšířily její uplatňování i na vnitrostátní případy, neboť většina strategických žalob proti účasti veřejnosti je podávána na vnitrostátní úrovni; vyzývá Komisi, aby předložila návrhy na řešení případů strategických žalob proti účasti veřejnosti, na něž se stávající směrnice nevztahuje;</w:t>
      </w:r>
    </w:p>
    <w:p w14:paraId="14A7BEAA" w14:textId="77777777" w:rsidR="00FE21BA" w:rsidRPr="00CB5A0E" w:rsidRDefault="00FE21BA" w:rsidP="00CB5A0E">
      <w:pPr>
        <w:pStyle w:val="NormalHanging12a"/>
      </w:pPr>
      <w:r w:rsidRPr="00CB5A0E">
        <w:t>35.</w:t>
      </w:r>
      <w:r w:rsidRPr="00CB5A0E">
        <w:tab/>
        <w:t>žádá, aby byly do trestního práva zavedeny zvláštní přitěžující okolnosti pro trestné činy spáchané na novinářích, pokud jsou tyto trestné činy motivovány jejich profesní činností nebo s ní souvisejí;</w:t>
      </w:r>
    </w:p>
    <w:p w14:paraId="024A2D8B" w14:textId="77777777" w:rsidR="00FE21BA" w:rsidRPr="00CB5A0E" w:rsidRDefault="00FE21BA" w:rsidP="00CB5A0E">
      <w:pPr>
        <w:pStyle w:val="NormalHanging12a"/>
      </w:pPr>
      <w:r w:rsidRPr="00CB5A0E">
        <w:t>36.</w:t>
      </w:r>
      <w:r w:rsidRPr="00CB5A0E">
        <w:tab/>
        <w:t>naléhavě vyzývá členské státy a kandidátské a potenciální kandidátské země, aby chránily a prosazovaly svobodu a pluralitu sdělovacích prostředků, zajistily transparentní přidělování veřejných prostředků, zabránily koncentraci vlastnictví sdělovacích prostředků, chránily redakční nezávislost a bojovaly proti dezinformacím, zejména prostřednictvím propracovaných právních předpisů, které budou zahrnovat také konkrétní ustanovení o transparentním vlastnictví sdělovacích prostředků a o nezávislých regulačních orgánech; zdůrazňuje důležitou úlohu veřejnoprávních sdělovacích prostředků; vítá vnitrostátní iniciativy usilující o vytvoření rejstříku sdělovacích prostředků, který by obsahoval veřejné informace o vlastnictví a investicích do reklamy a tak zajišťoval transparentnost, nestrannost a ověřitelnost; dále vyzývá členské státy, aby pro veřejnoprávní sdělovací prostředky zajistily odpovídající, udržitelné a předvídatelné financování a stabilní rozpočty založené na transparentních a objektivních kritériích; doporučuje vytvoření zvláštního fondu EU pro svobodu sdělovacích prostředků, který by podporoval nezávislou žurnalistiku a místní sdělovací prostředky;</w:t>
      </w:r>
    </w:p>
    <w:p w14:paraId="72C1E04B" w14:textId="77777777" w:rsidR="00FE21BA" w:rsidRPr="00CB5A0E" w:rsidRDefault="00FE21BA" w:rsidP="00CB5A0E">
      <w:pPr>
        <w:pStyle w:val="NormalHanging12a"/>
      </w:pPr>
      <w:r w:rsidRPr="00CB5A0E">
        <w:t>37.</w:t>
      </w:r>
      <w:r w:rsidRPr="00CB5A0E">
        <w:tab/>
        <w:t xml:space="preserve">odsuzuje šíření nenávistných projevů, a to i v mainstreamových a sociálních médiích, neboť představují vážnou hrozbu pro demokracii a právní stát; v souladu se svým usnesením ze dne 18. ledna 2024 o stavu základních práv v Evropské unii žádá důraznější prosazování právních předpisů o sdělovacích prostředcích v zájmu potírání nenávistných projevů a zachování rozmanitého a inkluzivního mediálního prostředí; zdůrazňuje, že přední veřejní činitelé a politici musí jít příkladem a zajistit uctivou diskuzi; připomíná, že svoboda projevu je základní hodnotou demokratických společností a že by neměla být bezdůvodně omezována; dále připomíná, že veškeré právní předpisy týkající se nenávistných verbálních projevů a trestných činů z nenávisti </w:t>
      </w:r>
      <w:r w:rsidRPr="00CB5A0E">
        <w:lastRenderedPageBreak/>
        <w:t>by měly vycházet ze zásad nezbytnosti a proporcionality; zdůrazňuje, že svoboda projevu musí být uplatňována v mezích zákona a v souladu s článkem 11 Listiny a neměla by být zneužívána jako štít pro nenávistné verbální projevy a trestné činy z nenávisti; </w:t>
      </w:r>
    </w:p>
    <w:p w14:paraId="12C6A34C" w14:textId="77777777" w:rsidR="00FE21BA" w:rsidRPr="00CB5A0E" w:rsidRDefault="00FE21BA" w:rsidP="00CB5A0E">
      <w:pPr>
        <w:pStyle w:val="NormalHanging12a"/>
      </w:pPr>
      <w:r w:rsidRPr="00CB5A0E">
        <w:t>38.</w:t>
      </w:r>
      <w:r w:rsidRPr="00CB5A0E">
        <w:tab/>
        <w:t xml:space="preserve">je si vědom toho, že občané vnímají známky oslabování demokracie v důsledku </w:t>
      </w:r>
      <w:proofErr w:type="spellStart"/>
      <w:r w:rsidRPr="00CB5A0E">
        <w:t>misinformací</w:t>
      </w:r>
      <w:proofErr w:type="spellEnd"/>
      <w:r w:rsidRPr="00CB5A0E">
        <w:t xml:space="preserve"> a dezinformací a že šíření nepravdivých informací prostřednictvím sociálních médií by mohlo oslabit obecné dodržování zásad právního státu; vyzývá digitální platformy, aby okamžitě začaly jednat a zajistily dodržování vlastních komunitních norem a evropských právních předpisů, včetně nařízení o digitálních službách</w:t>
      </w:r>
      <w:r w:rsidRPr="00CB5A0E">
        <w:rPr>
          <w:rStyle w:val="FootnoteReference"/>
        </w:rPr>
        <w:footnoteReference w:id="52"/>
      </w:r>
      <w:r w:rsidRPr="00CB5A0E">
        <w:t xml:space="preserve"> a pravidel hospodářské soutěže; vyzývá Komisi, aby dodržování těchto předpisů pravidelně posuzovala a v nezbytných případech přijala opatření; doporučuje, aby členské státy a kandidátské a potenciální kandidátské země vypracovaly komplexní strategie pro boj proti dezinformacím a zahraničnímu vměšování do demokratických procesů a zároveň aby chránily svobodu projevu a pluralitu sdělovacích prostředků;</w:t>
      </w:r>
    </w:p>
    <w:p w14:paraId="6973635D" w14:textId="77777777" w:rsidR="00FE21BA" w:rsidRPr="00CB5A0E" w:rsidRDefault="00FE21BA" w:rsidP="00CB5A0E">
      <w:pPr>
        <w:pStyle w:val="NormalHanging12a"/>
      </w:pPr>
      <w:r w:rsidRPr="00CB5A0E">
        <w:t>39.</w:t>
      </w:r>
      <w:r w:rsidRPr="00CB5A0E">
        <w:tab/>
        <w:t>důrazně odsuzuje státní kontrolu nad sdělovacími prostředky a politické vměšování do jejich činnosti; zdůrazňuje, že regulační orgány pro sdělovací prostředky musí být odpovídajícím způsobem chráněny právními zárukami, aby byla zajištěna jejich nezávislost a ochrana před politickým nátlakem, a musí mít k dispozici dostatečné rozpočtové zdroje; zdůrazňuje demokratický význam nezávislých regulačních orgánů pro sdělovací prostředky;</w:t>
      </w:r>
    </w:p>
    <w:p w14:paraId="0AB7CEF0" w14:textId="77777777" w:rsidR="00FE21BA" w:rsidRPr="00CB5A0E" w:rsidRDefault="00FE21BA" w:rsidP="00CB5A0E">
      <w:pPr>
        <w:pStyle w:val="NormalHanging12a"/>
      </w:pPr>
      <w:r w:rsidRPr="00CB5A0E">
        <w:t>40.</w:t>
      </w:r>
      <w:r w:rsidRPr="00CB5A0E">
        <w:tab/>
        <w:t>je hluboce znepokojen zneužíváním špionážního softwaru a nedostatečnými zárukami pro ochranu novinářů před nezákonným sledováním; vyzývá Komisi, aby provedla doporučení výboru Evropského parlamentu, který vyšetřoval používání softwaru Pegasus a obdobného špionážního softwaru (PEGA), a zakázala politicky motivované sledování;</w:t>
      </w:r>
    </w:p>
    <w:p w14:paraId="488A9318" w14:textId="77777777" w:rsidR="00FE21BA" w:rsidRPr="00CB5A0E" w:rsidRDefault="00FE21BA" w:rsidP="00CB5A0E">
      <w:pPr>
        <w:pStyle w:val="NormalHanging12a"/>
      </w:pPr>
      <w:r w:rsidRPr="00CB5A0E">
        <w:t>41.</w:t>
      </w:r>
      <w:r w:rsidRPr="00CB5A0E">
        <w:tab/>
        <w:t>naléhavě vyzývá členské státy, aby zajistily, že provedení směrnice (EU) 2016/343</w:t>
      </w:r>
      <w:r w:rsidRPr="00CB5A0E">
        <w:rPr>
          <w:rStyle w:val="FootnoteReference"/>
        </w:rPr>
        <w:footnoteReference w:id="53"/>
      </w:r>
      <w:r w:rsidRPr="00CB5A0E">
        <w:t xml:space="preserve"> o presumpci neviny neomezí právo na oznamování a informování veřejnosti o záležitostech veřejného zájmu, včetně soudních řízení, na něž se tato směrnice nevztahuje; vyzývá členské státy, aby přezkoumaly a v případě potřeby upravily stávající vnitrostátní zákony, které by mohly omezovat svobodnou práci novinářů;</w:t>
      </w:r>
    </w:p>
    <w:p w14:paraId="0739EB9F" w14:textId="77777777" w:rsidR="00FE21BA" w:rsidRPr="00CB5A0E" w:rsidRDefault="00FE21BA" w:rsidP="00CB5A0E">
      <w:pPr>
        <w:pStyle w:val="NormalHanging12a"/>
      </w:pPr>
      <w:r w:rsidRPr="00CB5A0E">
        <w:t>42.</w:t>
      </w:r>
      <w:r w:rsidRPr="00CB5A0E">
        <w:tab/>
        <w:t>vyzývá členské státy, aby zajistily, že vnitrostátní koordinátoři, které zavedlo nařízení o digitálních službách, měli pravomoci k řádnému plnění své úlohy při usnadňování výměny informací a spolupráci na evropské úrovni;</w:t>
      </w:r>
    </w:p>
    <w:p w14:paraId="5410D574" w14:textId="77777777" w:rsidR="00FE21BA" w:rsidRPr="00CB5A0E" w:rsidRDefault="00FE21BA" w:rsidP="00CB5A0E">
      <w:pPr>
        <w:pStyle w:val="Normal12a24b"/>
        <w:spacing w:before="0"/>
        <w:ind w:hanging="567"/>
      </w:pPr>
      <w:r w:rsidRPr="00CB5A0E">
        <w:rPr>
          <w:rStyle w:val="BoldItalic"/>
        </w:rPr>
        <w:t>Organizace občanské společnosti</w:t>
      </w:r>
    </w:p>
    <w:p w14:paraId="24D9A0CE" w14:textId="77777777" w:rsidR="00FE21BA" w:rsidRPr="00CB5A0E" w:rsidRDefault="00FE21BA" w:rsidP="00CB5A0E">
      <w:pPr>
        <w:pStyle w:val="NormalHanging12a"/>
      </w:pPr>
      <w:r w:rsidRPr="00CB5A0E">
        <w:t>43.</w:t>
      </w:r>
      <w:r w:rsidRPr="00CB5A0E">
        <w:tab/>
        <w:t xml:space="preserve">souhlasí s názorem Komise, že organizace občanské společnosti, včetně organizací, které podporují právní stát a demokracii, ochranu marginalizovaných skupin a životního </w:t>
      </w:r>
      <w:r w:rsidRPr="00CB5A0E">
        <w:lastRenderedPageBreak/>
        <w:t>prostředí a sociální spravedlnost, a obránci lidských práv mají zásadní význam pro systém brzd a protivah a pro ochranu základních hodnot a právních předpisů Unie, které jsou základními kameny EU; oceňuje, že organizace občanské společnosti a profesní sdružení zastupující skupiny, jako jsou soudci, státní zástupci nebo novináři, podporují právní stát; vyzdvihuje zejména význam místních aktivních organizací občanské společnosti v kandidátských a potenciálních kandidátských zemích, neboť konstruktivně podporují procesy přistoupení k EU; oceňuje, že dohlížejí na dodržování zásad právního státu a že pomáhají prosazovat a chránit demokratické zásady; připomíná, že pro svou práci potřebují bezpečné, podpůrné a příznivé prostředí;</w:t>
      </w:r>
    </w:p>
    <w:p w14:paraId="4BFAB442" w14:textId="77777777" w:rsidR="00FE21BA" w:rsidRPr="00CB5A0E" w:rsidRDefault="00FE21BA" w:rsidP="00CB5A0E">
      <w:pPr>
        <w:pStyle w:val="NormalHanging12a"/>
      </w:pPr>
      <w:r w:rsidRPr="00CB5A0E">
        <w:t>44.</w:t>
      </w:r>
      <w:r w:rsidRPr="00CB5A0E">
        <w:tab/>
        <w:t>vyzdvihuje úlohu občanské společnosti a nezávislých orgánů dohledu při monitorování, ověřování a podpoře provádění doporučení obsažených ve zprávě o právním státu za rok 2024; vyzývá k vytvoření rámce pro strukturovaný občanský dialog s cílem začlenit do ročního cyklu posuzování stavu právního státu příspěvky občanské společnosti, jak doporučuje Evropský hospodářský a sociální výbor (EHSV)</w:t>
      </w:r>
      <w:r w:rsidRPr="00CB5A0E">
        <w:rPr>
          <w:rStyle w:val="FootnoteReference"/>
        </w:rPr>
        <w:footnoteReference w:id="54"/>
      </w:r>
      <w:r w:rsidRPr="00CB5A0E">
        <w:t xml:space="preserve"> a sítě občanské společnosti</w:t>
      </w:r>
      <w:r w:rsidRPr="00CB5A0E">
        <w:rPr>
          <w:rStyle w:val="FootnoteReference"/>
        </w:rPr>
        <w:footnoteReference w:id="55"/>
      </w:r>
      <w:r w:rsidRPr="00CB5A0E">
        <w:t>; připomíná význam rozsáhlých konzultací při vypracovávání této zprávy; podporuje Komisi v jejím záměru vypracovat strategii pro vytvoření prostoru pro občanskou společnost a obránce lidských práv a jejich ochranu; doporučuje, aby byly obecné zásady EU týkající se obránců lidských práv provedeny v plném rozsahu; vyzývá Komisi, aby v členských státech prováděla vždy, když to je možné, návštěvy na místě, a nikoli jen virtuální návštěvy, neboť tak může získat celistvější představu o místní situaci a lépe ji zasadit do kontextu;</w:t>
      </w:r>
    </w:p>
    <w:p w14:paraId="6BE2355F" w14:textId="77777777" w:rsidR="00FE21BA" w:rsidRPr="00CB5A0E" w:rsidRDefault="00FE21BA" w:rsidP="00CB5A0E">
      <w:pPr>
        <w:pStyle w:val="NormalHanging12a"/>
      </w:pPr>
      <w:r w:rsidRPr="00CB5A0E">
        <w:t>45.</w:t>
      </w:r>
      <w:r w:rsidRPr="00CB5A0E">
        <w:tab/>
        <w:t>je znepokojen tím, že organizace občanské společnosti a obránci lidských práv se stále častěji potýkají s rostoucími právními omezeními, nedostatkem finančních prostředků a útoky, což oslabuje svobodu sdružování a shromažďování a svobodu projevu; se znepokojením bere na vědomí, že některé členské státy a kandidátské a potenciální kandidátské země zavedly nepřiměřená opatření, včetně nadměrného použití síly a zatýkání demonstrantů, aby lidem zabránily v účasti na protestech, a že preventivně zakázaly veřejná shromáždění na základě vágních důvodů ochrany bezpečnosti; zdůraznily, že soudy ve více případech tyto zákazy anulovaly; důrazně odsuzuje přijímání „zákonů o zahraničních agentech“, které jsou využívány k potlačení projevů nesouhlasu, šikaně organizací občanské společnosti a omezování jejich působení, což má negativní dopad na občanskou společnost a obránce lidských práv; vyjadřuje politování nad tím, že omezování svobody shromažďování, projevu a sdružování a používání nepřiměřené síly neúměrně postihuje určité záležitosti nebo skupiny</w:t>
      </w:r>
      <w:r w:rsidRPr="00CB5A0E">
        <w:rPr>
          <w:rStyle w:val="FootnoteReference"/>
        </w:rPr>
        <w:footnoteReference w:id="56"/>
      </w:r>
      <w:r w:rsidRPr="00CB5A0E">
        <w:t>;</w:t>
      </w:r>
    </w:p>
    <w:p w14:paraId="60265ED8" w14:textId="77777777" w:rsidR="00FE21BA" w:rsidRPr="00CB5A0E" w:rsidRDefault="00FE21BA" w:rsidP="00CB5A0E">
      <w:pPr>
        <w:pStyle w:val="NormalHanging12a"/>
      </w:pPr>
      <w:r w:rsidRPr="00CB5A0E">
        <w:t>46.</w:t>
      </w:r>
      <w:r w:rsidRPr="00CB5A0E">
        <w:tab/>
        <w:t>zdůrazňuje, že pokojné shromažďování, svoboda sdružování a projevu a svoboda umění a věd jsou základními právy chráněnými mezinárodním právem, která mají zásadní význam pro demokracii; odsuzuje prokázané případy nátlaku oslabujícího výkon těchto práv a všímá si jejich rostoucí omezování; v této souvislosti rovněž odsuzuje případy násilí vůči policejním sborům; vyzývá Komisi, aby se těmto svobodám věnovala ve výroční zprávě;</w:t>
      </w:r>
    </w:p>
    <w:p w14:paraId="3B115C83" w14:textId="77777777" w:rsidR="00FE21BA" w:rsidRPr="00CB5A0E" w:rsidRDefault="00FE21BA" w:rsidP="00CB5A0E">
      <w:pPr>
        <w:pStyle w:val="NormalHanging12a"/>
      </w:pPr>
      <w:r w:rsidRPr="00CB5A0E">
        <w:lastRenderedPageBreak/>
        <w:t>47.</w:t>
      </w:r>
      <w:r w:rsidRPr="00CB5A0E">
        <w:tab/>
        <w:t xml:space="preserve">vyjadřuje hluboké politování nad zmenšujícím se občanským prostorem a sílícím pronásledováním organizací občanské společnosti a obránců lidských práv v EU, zejména organizací a osob, které bojují proti rasismu, zasazují se o klimatickou spravedlnost, práva osob LGBTIQ a práva žen nebo pomáhají migrantům; konstatuje, že tyto skupiny čelí celé řadě hrozeb, včetně právních a finančních omezení, pozastavení financování, očerňujících kampaní a kriminalizace; odsuzuje zejména sílící potlačování klimatického aktivismu v několika členských státech, mimo jiné zneužíváním zákonů pro boj proti terorismu a organizované trestné činnosti a označováním pokojných klimatických aktivistů za členy „zločineckých organizací“; vyzývá členské státy, aby se zdržely nepřiměřených právních kroků proti těmto aktivistům; naléhá na Komisi, aby ve svých zprávách o právním státu systematicky sledovala situaci těchto organizací a aby příslušné vyčleněné prostředky EU poskytovala také subjektům občanské společnosti, které bojují proti rasismu nebo se zabývají dalšími základními právy; </w:t>
      </w:r>
    </w:p>
    <w:p w14:paraId="2416D17A" w14:textId="77777777" w:rsidR="00FE21BA" w:rsidRPr="00CB5A0E" w:rsidRDefault="00FE21BA" w:rsidP="00CB5A0E">
      <w:pPr>
        <w:pStyle w:val="NormalHanging12a"/>
      </w:pPr>
      <w:r w:rsidRPr="00CB5A0E">
        <w:t>48.</w:t>
      </w:r>
      <w:r w:rsidRPr="00CB5A0E">
        <w:tab/>
        <w:t>vyzývá Komisi, aby se těmito porušeními zabývala v příslušném pilíři svých výročních zpráv o právním státu; vyzývá Komisi, aby zvýšila ochranu organizací občanské společnosti a obránců lidských práv a za tímto účelem zavedla mechanismy včasného varování, zvýšila transparentnost financování všech subjektů v rámci rejstříku transparentnosti EU a zvýšila financování organizací občanské společnosti, aby mohly působit svobodně a nezávisle;</w:t>
      </w:r>
    </w:p>
    <w:p w14:paraId="1A6EFE87" w14:textId="77777777" w:rsidR="00FE21BA" w:rsidRPr="00CB5A0E" w:rsidRDefault="00FE21BA" w:rsidP="00CB5A0E">
      <w:pPr>
        <w:pStyle w:val="NormalHanging12a"/>
      </w:pPr>
      <w:r w:rsidRPr="00CB5A0E">
        <w:t>49.</w:t>
      </w:r>
      <w:r w:rsidRPr="00CB5A0E">
        <w:tab/>
        <w:t>naléhá na členské státy, aby pro organizace občanské společnosti a obránce lidských práv vytvořily příznivé prostředí a aby provedly směrnici o strategických žalobách proti účasti veřejnosti a provedly doporučení Komise (EU) 2022/758, aby organizace občanské společnosti ochránily před právní šikanou; žádá, aby byla vnitrostátním orgánům dohledu zajištěna větší nezávislost a aby jim byly poskytnuty adekvátní zdroje a záruky proti politickému vměšování; vybízí k podpoře organizací občanské společnosti při vypracovávání a šíření vzdělávacích iniciativ s cílem zajistit jejich široký dosah a dostupnost;</w:t>
      </w:r>
    </w:p>
    <w:p w14:paraId="2F274647" w14:textId="2A0B2E9B" w:rsidR="00FE21BA" w:rsidRPr="00CB5A0E" w:rsidRDefault="00FE21BA" w:rsidP="00CB5A0E">
      <w:pPr>
        <w:pStyle w:val="NormalHanging12a"/>
      </w:pPr>
      <w:r w:rsidRPr="00CB5A0E">
        <w:t>50.</w:t>
      </w:r>
      <w:r w:rsidRPr="00CB5A0E">
        <w:tab/>
        <w:t xml:space="preserve">domnívá se, že Komise a členské státy by měly zlepšit mechanismy financování organizací občanské společnosti a iniciativ, které posilují soudnictví a podporují nezávislost soudů, konkrétně prostřednictvím programu Občané, rovnost, práva a hodnoty a programu Spravedlnost; s potěšením konstatuje, že Komise hodlá navrhnout strategii pro ochranu občanské společnosti, a současně připomíná, že by měla věnovat zvláštní pozornost obráncům lidských práv; vyzývá Komisi, aby do strategie zahrnula mechanismus rychlé reakce na podporu ohrožených organizací občanské společnosti a obránců lidských práv v Unii, který by měl vycházet z mechanismu „Protect defenders“ financovaného EU, jenž je v současné době zaměřen pouze na třetí země; zdůrazňuje, že tento mechanismus by mohl poskytovat zdroje na prosazování zájmů, právní pomoc a osvětové kampaně a zároveň zajistit, aby tyto organizace mohly fungovat bez zbytečných omezení nebo šikany; vyzývá kandidátské a potenciální kandidátské země k plnému a důslednému uplatňování obecných zásad Unie týkajících se obránců lidských práv; je však znepokojen tím, že organizace občanské společnosti a obránci lidských práv v některých členských státech čelí stále větším problémům v podobě nových právních omezení, nedostatku finančních prostředků či fyzických nebo verbálních útoků a taktéž politováníhodným přijetím těchto praktik a jejich </w:t>
      </w:r>
      <w:r w:rsidRPr="00CB5A0E">
        <w:lastRenderedPageBreak/>
        <w:t>odrazujícím účinkem, mimo jiné na jejich svobodu projevu v členských státech</w:t>
      </w:r>
      <w:r w:rsidRPr="00CB5A0E">
        <w:rPr>
          <w:rStyle w:val="FootnoteReference"/>
        </w:rPr>
        <w:footnoteReference w:id="57"/>
      </w:r>
      <w:r w:rsidRPr="00CB5A0E">
        <w:t xml:space="preserve"> a v orgánech EU; domnívá se, že organizace občanské společnosti a obránci lidských práv hrají zásadní podpůrnou úlohu při sledování toho, zda členské státy dodržují hodnoty zakotvené v článku 2 S</w:t>
      </w:r>
      <w:r w:rsidR="007C2654">
        <w:t xml:space="preserve">mlouvy o </w:t>
      </w:r>
      <w:r w:rsidRPr="00CB5A0E">
        <w:t>EU;</w:t>
      </w:r>
    </w:p>
    <w:p w14:paraId="10BFE557" w14:textId="77777777" w:rsidR="00FE21BA" w:rsidRPr="00CB5A0E" w:rsidRDefault="00FE21BA" w:rsidP="00CB5A0E">
      <w:pPr>
        <w:pStyle w:val="Normal12a24b"/>
        <w:spacing w:before="0"/>
        <w:ind w:hanging="567"/>
      </w:pPr>
      <w:r w:rsidRPr="00CB5A0E">
        <w:rPr>
          <w:rStyle w:val="BoldItalic"/>
        </w:rPr>
        <w:t>Rovnost a nediskriminace před zákonem</w:t>
      </w:r>
    </w:p>
    <w:p w14:paraId="2CCE0263" w14:textId="77777777" w:rsidR="00FE21BA" w:rsidRPr="00CB5A0E" w:rsidRDefault="00FE21BA" w:rsidP="00CB5A0E">
      <w:pPr>
        <w:pStyle w:val="NormalHanging12a"/>
      </w:pPr>
      <w:r w:rsidRPr="00CB5A0E">
        <w:t>51.</w:t>
      </w:r>
      <w:r w:rsidRPr="00CB5A0E">
        <w:tab/>
        <w:t>připomíná, že právní rámce členských států musí zakotvovat rovné zacházení před zákonem a prosazovat rovnost a právo osob na nediskriminaci v soudních řízeních; zdůrazňuje, že právní stát je provázán se základními právy a že porušování zásad právního státu má okamžitý dopad na základní práva, což mimořádně tvrdě pociťují ženy, menšiny a zranitelné skupiny; vyzývá Komisi, aby monitorovala dopady všech případů porušení zásad právního státu na základní práva a aby pomocí příslušných nástrojů, případně i řízení o nesplnění povinnosti, zajistila ochranu rovnosti a nediskriminace všech osob před zákonem;</w:t>
      </w:r>
    </w:p>
    <w:p w14:paraId="763E6A40" w14:textId="77777777" w:rsidR="00FE21BA" w:rsidRPr="00CB5A0E" w:rsidRDefault="00FE21BA" w:rsidP="00CB5A0E">
      <w:pPr>
        <w:pStyle w:val="NormalHanging12a"/>
      </w:pPr>
      <w:r w:rsidRPr="00CB5A0E">
        <w:t>52.</w:t>
      </w:r>
      <w:r w:rsidRPr="00CB5A0E">
        <w:tab/>
        <w:t>zdůrazňuje, že je třeba bojovat proti všem druhům diskriminace před zákonem; je znepokojen tím, že některé členské státy nedosáhly dostatečného pokroku při provádění právních předpisů v oblasti rovnosti a nediskriminace; vyjadřuje politování nad tím, že navzdory existujícím právním předpisům EU, jako je směrnice 2000/78/ES</w:t>
      </w:r>
      <w:r w:rsidRPr="00CB5A0E">
        <w:rPr>
          <w:rStyle w:val="FootnoteReference"/>
        </w:rPr>
        <w:footnoteReference w:id="58"/>
      </w:r>
      <w:r w:rsidRPr="00CB5A0E">
        <w:t xml:space="preserve"> o rovném zacházení, přetrvávají v právních rámcích a v jejich provádění mezery, takže oběti bývají ponechány bez odpovídající právní pomoci; připomíná, že právní rámce členských států musí zakotvovat rovné postavení před zákonem a prosazovat rovnost a právo osob na nediskriminaci v právních prostředcích; vyzývá Komisi, aby v případech nedodržování těchto zásad jednala; vyjadřuje politování nad záměrem Komise stáhnout návrh horizontální směrnice o rovném zacházení</w:t>
      </w:r>
      <w:r w:rsidRPr="00CB5A0E">
        <w:rPr>
          <w:rStyle w:val="FootnoteReference"/>
        </w:rPr>
        <w:footnoteReference w:id="59"/>
      </w:r>
      <w:r w:rsidRPr="00CB5A0E">
        <w:t xml:space="preserve"> a naléhavě vyzývá Radu, aby ji neprodleně přijala;</w:t>
      </w:r>
    </w:p>
    <w:p w14:paraId="537F14BB" w14:textId="6B0CF480" w:rsidR="00FE21BA" w:rsidRPr="00CB5A0E" w:rsidRDefault="00FE21BA" w:rsidP="00CB5A0E">
      <w:pPr>
        <w:pStyle w:val="NormalHanging12a"/>
      </w:pPr>
      <w:r w:rsidRPr="00CB5A0E">
        <w:t>53.</w:t>
      </w:r>
      <w:r w:rsidRPr="00CB5A0E">
        <w:tab/>
        <w:t>je znepokojen tím, že podle zprávy Komise o právním státu 2024 některé členské státy účinně nestíhaly trestné činy z nenávisti ani neposkytly dostatečnou podporu obětem, což podkopává důvěru v soudní systémy a zachovává nerovnost před zákonem; vyzývá Radu, aby rozšířila seznam unijních trestných činů v čl. 83 odst. 1 S</w:t>
      </w:r>
      <w:r w:rsidR="007C2654">
        <w:t xml:space="preserve">mlouvy o fungování </w:t>
      </w:r>
      <w:r w:rsidRPr="00CB5A0E">
        <w:t>EU o trestné činy z nenávisti a nenávistné verbální projevy, a vyzývá Komisi, aby předložila legislativní návrh, který by trestné činy z nenávisti a nenávistné verbální projevy upravoval; vyzývá Komisi, aby se ve svých zprávách o právním státu zaměřila na trestné činy z nenávisti a aby je pečlivě sledovala a evidovala;</w:t>
      </w:r>
    </w:p>
    <w:p w14:paraId="4D4B30F6" w14:textId="77777777" w:rsidR="00FE21BA" w:rsidRPr="00CB5A0E" w:rsidRDefault="00FE21BA" w:rsidP="00CB5A0E">
      <w:pPr>
        <w:pStyle w:val="NormalHanging12a"/>
      </w:pPr>
      <w:r w:rsidRPr="00CB5A0E">
        <w:t>54.</w:t>
      </w:r>
      <w:r w:rsidRPr="00CB5A0E">
        <w:tab/>
        <w:t xml:space="preserve">zdůrazňuje, že genderově podmíněné násilí na internetu i mimo něj je závažným a všudypřítomným trestným činem, který vážně porušuje základní práva a zásadu rovnosti před zákonem; vyzývá Komisi a členské státy, aby proti této formě násilí zakročily online i offline, včetně násilí páchaného uživateli digitálních platforem; žádá, aby bylo genderově podmíněné násilí zařazeno mezi unijní trestné činy a aby </w:t>
      </w:r>
      <w:r w:rsidRPr="00CB5A0E">
        <w:lastRenderedPageBreak/>
        <w:t>byl předložen legislativní návrh EU o boji proti znásilnění na základě absence souhlasu, a to i v kandidátských a potenciálních kandidátských zemích;</w:t>
      </w:r>
    </w:p>
    <w:p w14:paraId="58A21DD7" w14:textId="77777777" w:rsidR="00FE21BA" w:rsidRPr="00CB5A0E" w:rsidRDefault="00FE21BA" w:rsidP="00CB5A0E">
      <w:pPr>
        <w:pStyle w:val="NormalHanging12a"/>
      </w:pPr>
      <w:r w:rsidRPr="00CB5A0E">
        <w:t>55.</w:t>
      </w:r>
      <w:r w:rsidRPr="00CB5A0E">
        <w:tab/>
        <w:t>připomíná, že je třeba zajistit přístup k sexuálnímu a reprodukčnímu zdraví a právům, a žádá, aby byl v Listině zakotven přístup k bezpečnému a legálnímu umělému přerušení těhotenství;</w:t>
      </w:r>
    </w:p>
    <w:p w14:paraId="5E5F9E17" w14:textId="77777777" w:rsidR="00FE21BA" w:rsidRPr="00CB5A0E" w:rsidRDefault="00FE21BA" w:rsidP="00CB5A0E">
      <w:pPr>
        <w:pStyle w:val="NormalHanging12a"/>
      </w:pPr>
      <w:r w:rsidRPr="00CB5A0E">
        <w:t>56.</w:t>
      </w:r>
      <w:r w:rsidRPr="00CB5A0E">
        <w:tab/>
        <w:t>vyzývá členské státy, aby v souladu s právem Unie, Listinou a judikaturou Soudního dvora EU a ESLP chránily práva osob LGBTIQ, a připomíná, že v několika členských státech přetrvávají právní překážky, které brání přeshraničnímu uznávání partnerství nebo rodičovství osob stejného pohlaví; varuje, že tyto praktiky nejen brání volnému pohybu rodin LGBTIQ v rámci EU, ale že také porušují jednu ze zásad právního státu, tj. nediskriminaci před zákonem, a upozorňují na absenci jednotné ochrany osob LGBTIQ napříč členskými státy; vyzývá členské státy, které tak dosud neučinily, aby začaly právně uznávat partnerství osob stejného pohlaví; vyzývá Komisi, aby s ohledem na nejnovější rozhodnutí</w:t>
      </w:r>
      <w:r w:rsidRPr="00CB5A0E">
        <w:rPr>
          <w:rStyle w:val="FootnoteReference"/>
        </w:rPr>
        <w:footnoteReference w:id="60"/>
      </w:r>
      <w:r w:rsidRPr="00CB5A0E">
        <w:t xml:space="preserve"> Soudního dvora EU přepracovala směrnici 2004/38/ES</w:t>
      </w:r>
      <w:r w:rsidRPr="00CB5A0E">
        <w:rPr>
          <w:rStyle w:val="FootnoteReference"/>
        </w:rPr>
        <w:footnoteReference w:id="61"/>
      </w:r>
      <w:r w:rsidRPr="00CB5A0E">
        <w:t xml:space="preserve"> tak, aby výslovně zahrnovala přeshraniční uznávání práv na soukromý a rodinný život, včetně rodičovství osob stejného pohlaví; zdůrazňuje, že všechny děti jsou před zákonem rovny a že členské státy musí jednat v nejlepším zájmu dítěte, zvýšit právní jistotu a omezit diskriminaci dětí rodičů stejného pohlaví; připomíná, že Parlament podporuje uznávání rodičovství napříč EU bez ohledu na to, jak bylo dítě počato, jak se narodilo nebo v jaké žije rodině; naléhavě vyzývá Komisi, aby předložila aktualizovanou strategii pro rovnost osob LGBTIQ, která by tyto výzvy plně řešila v celé Evropě; vyzývá Komisi a Radu, aby se práva osob LGBTIQ stala průřezovou prioritou ve všech oblastech politik; vyzývá Komisi, aby navrhla vhodná legislativní opatření, která by zajistila dodržování těchto zásad, a aby využívala řízení o nesplnění povinnosti proti členským státům; naléhá na Komisi, aby předložila legislativní návrhy na boj proti trestným činům z nenávisti a nenávistným verbálním projevům na základě genderové identity, pohlavních znaků a sexuální orientace;</w:t>
      </w:r>
    </w:p>
    <w:p w14:paraId="1540C228" w14:textId="425488F6" w:rsidR="00FE21BA" w:rsidRPr="00CB5A0E" w:rsidRDefault="00FE21BA" w:rsidP="00CB5A0E">
      <w:pPr>
        <w:pStyle w:val="NormalHanging12a"/>
      </w:pPr>
      <w:r w:rsidRPr="00CB5A0E">
        <w:t>57.</w:t>
      </w:r>
      <w:r w:rsidRPr="00CB5A0E">
        <w:tab/>
        <w:t xml:space="preserve">je hluboce znepokojen diskriminačními opatřeními zavedenými v některých členských státech pod záminkou boje proti „propagandě LGBTIQ“ a „genderové ideologii“, což v některých členských státech přispívá ke znepokojivému nárůstu trestných činů z nenávisti a nenávistných verbálních projevů vůči osobám LGBTIQ a má negativní důsledky pro děti, rodiny a pracovníky; </w:t>
      </w:r>
      <w:r w:rsidR="00765A25" w:rsidRPr="002C43F2">
        <w:t>s potěšením bere na vědomí posudek Soudního dvora ze dne 5. června 2025, v němž se uvádí, že Maďarsko zákazem nebo omezováním přístupu k obsahu LGBTIQ+ porušuje právo Unie;</w:t>
      </w:r>
      <w:r w:rsidR="00765A25">
        <w:rPr>
          <w:b/>
          <w:bCs/>
          <w:i/>
          <w:iCs/>
        </w:rPr>
        <w:t xml:space="preserve"> </w:t>
      </w:r>
      <w:r w:rsidRPr="00CB5A0E">
        <w:t xml:space="preserve">upozorňuje na negativní dopad těchto opatření na svobodu projevu a svobodu sdružování, a to nejen skupin LGBTIQ; zdůrazňuje, že tato opatření podporují diskriminaci osob LGBTIQ a obcházejí právní předpisy EU; naléhavě vyzývá Komisi, aby předložila návrh závazného unijního zákazu konverzních praktik ve všech členských státech; konstatuje, že v roce 2024 Komise </w:t>
      </w:r>
      <w:r w:rsidRPr="00CB5A0E">
        <w:lastRenderedPageBreak/>
        <w:t>a Agentura Evropské unie pro základní práva zaznamenaly v několika členských státech alarmující nárůst trestných činů z nenávisti a nenávistných verbálních projevů namířených proti osobám LGBTIQ a jiným menšinám, zdůrazňuje právo osob LGBTIQ na sebeurčení a připomíná členským státům, že právo na sebeurčení je podle judikatury základním právem; naléhá proto na všechny členské státy, které tak dosud neučinily, aby osobám LGBTIQ zajistily přístup k právnímu uznání genderové identity;</w:t>
      </w:r>
    </w:p>
    <w:p w14:paraId="70653E49" w14:textId="77777777" w:rsidR="00FE21BA" w:rsidRPr="00CB5A0E" w:rsidRDefault="00FE21BA" w:rsidP="00CB5A0E">
      <w:pPr>
        <w:pStyle w:val="NormalHanging12a"/>
      </w:pPr>
      <w:r w:rsidRPr="00CB5A0E">
        <w:t>58.</w:t>
      </w:r>
      <w:r w:rsidRPr="00CB5A0E">
        <w:tab/>
        <w:t>je hluboce znepokojen vzestupem antisemitismu v celé EU a důrazně jej odsuzuje; stejně tak je znepokojen sílením islamofobie a veškerých dalších forem diskriminace v celé EU a důrazně je odsuzuje, včetně násilných aktů, zastrašování, nenávistných verbálních projevů a vystavováním nenávistných symbolů na veřejných místech; vyzývá členské státy a kandidátské a potenciální kandidátské země, aby členům všech menšin zajistily rovnost před zákonem; vyzývá členské státy, aby přezkoumaly právní předpisy a politiky s cílem zajistit, aby přímo ani nepřímo nediskriminovaly menšiny, a aby provedly revizi veškerých diskriminačních právních nebo správních předpisů; vyzývá EU i členské státy, aby nepolevovaly v úsilí o monitorování, prevenci a stíhání těchto trestných činů z nenávisti a aby se soustavně zasazovaly o ochranu židovských a muslimských komunit před šikanou a násilím;</w:t>
      </w:r>
    </w:p>
    <w:p w14:paraId="77137AD7" w14:textId="77777777" w:rsidR="00FE21BA" w:rsidRPr="00CB5A0E" w:rsidRDefault="00FE21BA" w:rsidP="00CB5A0E">
      <w:pPr>
        <w:pStyle w:val="NormalHanging12a"/>
      </w:pPr>
      <w:r w:rsidRPr="00CB5A0E">
        <w:t>59.</w:t>
      </w:r>
      <w:r w:rsidRPr="00CB5A0E">
        <w:tab/>
        <w:t>zdůrazňuje, že nedostatečná odpovědnost neúměrně postihuje menšiny, spravedlivé politické zastoupení a ekonomické příležitosti; vyzývá k větší transparentnosti veřejných rozhodovacích procesů s cílem zajistit inkluzivní a spravedlivou správu;</w:t>
      </w:r>
    </w:p>
    <w:p w14:paraId="415C81EB" w14:textId="23C03B5A" w:rsidR="00FE21BA" w:rsidRPr="00CB5A0E" w:rsidRDefault="00FE21BA" w:rsidP="00CB5A0E">
      <w:pPr>
        <w:pStyle w:val="NormalHanging12a"/>
      </w:pPr>
      <w:r w:rsidRPr="00CB5A0E">
        <w:t>60.</w:t>
      </w:r>
      <w:r w:rsidRPr="00CB5A0E">
        <w:tab/>
        <w:t xml:space="preserve">vyzývá členské státy, aby plně provedly směrnici </w:t>
      </w:r>
      <w:r w:rsidR="00690E4C">
        <w:t xml:space="preserve">(EU) </w:t>
      </w:r>
      <w:r w:rsidRPr="00CB5A0E">
        <w:t>2024/1500</w:t>
      </w:r>
      <w:r w:rsidRPr="00CB5A0E">
        <w:rPr>
          <w:rStyle w:val="FootnoteReference"/>
        </w:rPr>
        <w:footnoteReference w:id="62"/>
      </w:r>
      <w:r w:rsidRPr="00CB5A0E">
        <w:t xml:space="preserve"> a směrnici </w:t>
      </w:r>
      <w:r w:rsidR="00690E4C">
        <w:t xml:space="preserve">(EU) </w:t>
      </w:r>
      <w:r w:rsidRPr="00CB5A0E">
        <w:t>2024/1499</w:t>
      </w:r>
      <w:r w:rsidRPr="00CB5A0E">
        <w:rPr>
          <w:rStyle w:val="FootnoteReference"/>
        </w:rPr>
        <w:footnoteReference w:id="63"/>
      </w:r>
      <w:r w:rsidRPr="00CB5A0E">
        <w:t>, které stanoví minimální normy pro orgány pro rovné zacházení; vyzývá k přijetí konkrétních opatření, která zaručí jejich nezávislost a efektivitu při prosazování rovnosti;</w:t>
      </w:r>
    </w:p>
    <w:p w14:paraId="14F0D8EF" w14:textId="77777777" w:rsidR="00FE21BA" w:rsidRPr="00CB5A0E" w:rsidRDefault="00FE21BA" w:rsidP="00CB5A0E">
      <w:pPr>
        <w:pStyle w:val="NormalHanging12a"/>
      </w:pPr>
      <w:r w:rsidRPr="00CB5A0E">
        <w:t>61.</w:t>
      </w:r>
      <w:r w:rsidRPr="00CB5A0E">
        <w:tab/>
        <w:t xml:space="preserve">zdůrazňuje, že s občany třetích zemí, kteří v EU pobývají oprávněně, musí být bez ohledu na jejich státní příslušnost nebo místo narození zacházeno nediskriminačně a že v oblastech vymezených platnými právními předpisy se jim musí dostat spravedlivého a rovného zacházení; poukazuje na to, že občané třetích zemí jsou bez ohledu na svou státní příslušnost, místo narození nebo status pobytu oprávněni požádat o mezinárodní ochranu v souladu s mezinárodním právem, jehož nedílnou součástí je zásada nenavracení; vyzývá Komisi, aby členské státy podporovala při prosazování zásad právního státu a lidských práv zakotvených v Listině a při uplatňování právních </w:t>
      </w:r>
      <w:r w:rsidRPr="00CB5A0E">
        <w:lastRenderedPageBreak/>
        <w:t>předpisů přijatých spolunormotvůrci; zdůrazňuje, že rozsudky Soudního dvora EU a ESLP jsou závazné;</w:t>
      </w:r>
    </w:p>
    <w:p w14:paraId="76BF0404" w14:textId="77777777" w:rsidR="00FE21BA" w:rsidRPr="00CB5A0E" w:rsidRDefault="00FE21BA" w:rsidP="00CB5A0E">
      <w:pPr>
        <w:pStyle w:val="NormalHanging12a"/>
      </w:pPr>
      <w:r w:rsidRPr="00CB5A0E">
        <w:t>62.</w:t>
      </w:r>
      <w:r w:rsidRPr="00CB5A0E">
        <w:tab/>
        <w:t>důrazně vyzývá Komisi, aby zajistila, že v rámci EU bude plně respektován volný pohyb osob, právo na svobodný pobyt a slučování rodin na území EU a že každý občan bude moci požívat rovných práv a plně svá práva uplatňovat;</w:t>
      </w:r>
    </w:p>
    <w:p w14:paraId="1909FA54" w14:textId="77777777" w:rsidR="00FE21BA" w:rsidRPr="00CB5A0E" w:rsidRDefault="00FE21BA" w:rsidP="00CB5A0E">
      <w:pPr>
        <w:pStyle w:val="NormalHanging12a"/>
      </w:pPr>
      <w:r w:rsidRPr="00CB5A0E">
        <w:t>63.</w:t>
      </w:r>
      <w:r w:rsidRPr="00CB5A0E">
        <w:tab/>
        <w:t>apeluje na Komisi, aby se ve výroční zprávě o právním státu více věnovala posílení boje proti všem formám diskriminace, pokud jde o přístup ke spravedlnosti; vyzývá Komisi a členské státy, aby bojovaly proti diskriminaci na základě rasového a etnického původu, náboženského vyznání nebo přesvědčení, národnosti, politických názorů, jazyka, zdravotního postižení, věku, pohlaví, včetně genderové identity a vyjádření pohlavní identity, a sexuální orientace; vyzývá Radu, aby dosáhla dohody o směrnici 2008/0140(CNS)</w:t>
      </w:r>
      <w:r w:rsidRPr="00CB5A0E">
        <w:rPr>
          <w:rStyle w:val="FootnoteReference"/>
        </w:rPr>
        <w:footnoteReference w:id="64"/>
      </w:r>
      <w:r w:rsidRPr="00CB5A0E">
        <w:t>; naléhavě vyzývá Komisi, aby do výroční zprávy o právním státu zavedla nové pilíře věnované potírání všech forem nenávisti a diskriminace uvedených v článku 21 Listiny, konkrétně trestných činů zaměřených na minoritní skupiny a příslušníky národnostních, etnických, jazykových a náboženských menšin, jakož i podmínkám občanské společnosti v členských státech; vyzývá Komisi, aby po členských státech požadovala shromažďování srovnatelných a spolehlivých rozčleněných údajů o rovnosti, aby bylo možné plně posoudit dopad strukturální diskriminace na právní stát; vyzývá Komisi, aby přehodnotila svůj postoj k iniciativě Minority SafePack a předložila legislativní návrhy, které by zaručily podporu práv menšin a jazykových práv; znovu vyzývá EU, aby přistoupila k Rámcové úmluvě o ochraně národnostních menšin a k Evropské chartě regionálních či menšinových jazyků; vyzývá k užším kontaktům mezi EU a Radou Evropy v oblasti práv menšin, a to i s ohledem na proces rozšíření;</w:t>
      </w:r>
    </w:p>
    <w:p w14:paraId="2ED51925" w14:textId="77777777" w:rsidR="00FE21BA" w:rsidRPr="00CB5A0E" w:rsidRDefault="00FE21BA" w:rsidP="00CB5A0E">
      <w:pPr>
        <w:pStyle w:val="NormalHanging12a"/>
      </w:pPr>
      <w:r w:rsidRPr="00CB5A0E">
        <w:t>64.</w:t>
      </w:r>
      <w:r w:rsidRPr="00CB5A0E">
        <w:tab/>
        <w:t>zdůrazňuje, že by členské státy měly řešit genderové rozdíly v soudnictví a dalších klíčových demokratických institucích; doporučuje zavést cílená opatření ke zvýšení zastoupení žen na vyšších pozicích v soudnictví a veřejné správě;</w:t>
      </w:r>
    </w:p>
    <w:p w14:paraId="403275DC" w14:textId="77777777" w:rsidR="00FE21BA" w:rsidRPr="00CB5A0E" w:rsidRDefault="00FE21BA" w:rsidP="00CB5A0E">
      <w:pPr>
        <w:pStyle w:val="NormalHanging12a"/>
      </w:pPr>
      <w:r w:rsidRPr="00CB5A0E">
        <w:t>65.</w:t>
      </w:r>
      <w:r w:rsidRPr="00CB5A0E">
        <w:tab/>
        <w:t>vyzývá členské státy, aby v souladu s Pařížskými zásadami OSN zřídily vnitrostátní instituce pro lidská práva, zaručily jejich nezávislost a zajistily, aby byly schopny účinně plnit své úkoly;</w:t>
      </w:r>
    </w:p>
    <w:p w14:paraId="6AE05575" w14:textId="77777777" w:rsidR="00FE21BA" w:rsidRPr="00CB5A0E" w:rsidRDefault="00FE21BA" w:rsidP="00CB5A0E">
      <w:pPr>
        <w:pStyle w:val="Normal12a24b"/>
        <w:spacing w:before="0"/>
        <w:ind w:hanging="567"/>
      </w:pPr>
      <w:r w:rsidRPr="00CB5A0E">
        <w:rPr>
          <w:rStyle w:val="BoldItalic"/>
        </w:rPr>
        <w:t>Jednotný trh a právní stát</w:t>
      </w:r>
    </w:p>
    <w:p w14:paraId="3B3B4FDB" w14:textId="77777777" w:rsidR="00FE21BA" w:rsidRPr="00CB5A0E" w:rsidRDefault="00FE21BA" w:rsidP="00CB5A0E">
      <w:pPr>
        <w:pStyle w:val="NormalHanging12a"/>
      </w:pPr>
      <w:r w:rsidRPr="00CB5A0E">
        <w:t>66.</w:t>
      </w:r>
      <w:r w:rsidRPr="00CB5A0E">
        <w:tab/>
        <w:t>zdůrazňuje význam právního státu pro zajištění hladkého a účinného fungování jednotného trhu a znovu potvrzuje, že dobře fungující, nezávislé soudní systémy, účinné protikorupční rámce a silná ochrana svobody sdělovacích prostředků mají zásadní význam pro zachování spravedlivé hospodářské soutěže a právní jistoty a pro podporu důvěry mezi hospodářskými subjekty; zdůrazňuje, že nedodržování a obcházení evropských předpisů vede k obrovskému narušení hospodářské soutěže na vnitřním trhu; zdůrazňuje, že spolehlivé a stabilní struktury právního státu jsou klíčovými pilíři investic a obchodu, které mají zásadní význam pro konkurenceschopnost, a tím i pro kapacitu systému sociálního zabezpečení a trhu práce v EU;</w:t>
      </w:r>
    </w:p>
    <w:p w14:paraId="6D736331" w14:textId="77777777" w:rsidR="00FE21BA" w:rsidRPr="00CB5A0E" w:rsidRDefault="00FE21BA" w:rsidP="00CB5A0E">
      <w:pPr>
        <w:pStyle w:val="NormalHanging12a"/>
      </w:pPr>
      <w:r w:rsidRPr="00CB5A0E">
        <w:lastRenderedPageBreak/>
        <w:t>67.</w:t>
      </w:r>
      <w:r w:rsidRPr="00CB5A0E">
        <w:tab/>
        <w:t>zdůrazňuje, že řádné fungování jednotného trhu závisí na účinném uplatňování zásady vzájemné důvěry a uznávání v soudní i správní spolupráci; připomíná, že tuto důvěru lze udržet pouze tehdy, bude-li plně respektován právní stát, jak rovněž doporučila Benátská komise ve svém seznamu kritérií právního státu; poznamenává, že zásada vzájemného uznávání by měla být v případě systémových porušení pozastavena;</w:t>
      </w:r>
    </w:p>
    <w:p w14:paraId="7EB13872" w14:textId="77777777" w:rsidR="00FE21BA" w:rsidRPr="00CB5A0E" w:rsidRDefault="00FE21BA" w:rsidP="00CB5A0E">
      <w:pPr>
        <w:pStyle w:val="NormalHanging12a"/>
      </w:pPr>
      <w:r w:rsidRPr="00CB5A0E">
        <w:t>68.</w:t>
      </w:r>
      <w:r w:rsidRPr="00CB5A0E">
        <w:tab/>
        <w:t>zdůrazňuje negativní hospodářský dopad korupce a slabých soudních systémů na důvěru investorů a přeshraniční spolupráci; je znepokojen tím, že vlády a instituce členských států, které nedodržují zásady právního státu, mohou umožnit rozkvět protisoutěžního chování, nebo jej dokonce aktivně podporovat kvůli politickému nebo hospodářskému prospěchu, což může poškodit hospodářství EU a narušit spravedlnost jejího vnitřního trhu;</w:t>
      </w:r>
    </w:p>
    <w:p w14:paraId="6FCF721C" w14:textId="77777777" w:rsidR="00FE21BA" w:rsidRPr="00CB5A0E" w:rsidRDefault="00FE21BA" w:rsidP="00CB5A0E">
      <w:pPr>
        <w:pStyle w:val="NormalHanging12a"/>
      </w:pPr>
      <w:r w:rsidRPr="00CB5A0E">
        <w:t>69.</w:t>
      </w:r>
      <w:r w:rsidRPr="00CB5A0E">
        <w:tab/>
        <w:t>připomíná, že v rámci uplatňování Smluv je v souladu s Listinou zakázána jakákoli diskriminace na základě státní příslušnosti a že svoboda usazování, volný pohyb služeb a kapitálu jsou základem jednotného trhu; zdůrazňuje, že pravidla týkající se rovného zacházení zakazují zjevnou i skrytou diskriminaci na základě státní příslušnosti nebo v případě podniků na základě jejich sídla; znovu odsuzuje systémové diskriminační, netransparentní a nespravedlivé praktiky vůči podnikům, které byly hlášeny v některých členských státech;</w:t>
      </w:r>
    </w:p>
    <w:p w14:paraId="04599064" w14:textId="77777777" w:rsidR="00FE21BA" w:rsidRPr="00CB5A0E" w:rsidRDefault="00FE21BA" w:rsidP="00CB5A0E">
      <w:pPr>
        <w:pStyle w:val="NormalHanging12a"/>
      </w:pPr>
      <w:r w:rsidRPr="00CB5A0E">
        <w:t>70.</w:t>
      </w:r>
      <w:r w:rsidRPr="00CB5A0E">
        <w:tab/>
        <w:t>odsuzuje systémové diskriminační praktiky v Maďarsku, včetně zneužívání finančních prostředků EU ve prospěch politických spojenců, porušování pravidel hospodářské soutěže EU a koncentrace podniků v rukou oligarchů s vazbami na vládu; kritizuje skutečnost, že maďarské vládě byly poskytnuty finanční prostředky EU navzdory přetrvávajícím nedostatkům v soudnictví a protikorupčních mechanismech; doporučuje, aby se vyplácení prostředků pozastavilo do doby, než budou splněna všechna kritéria právního státu; vyzývá Komisi, aby zajistila, že se finanční prostředky EU dostanou k maďarskému obyvatelstvu, a to i prostřednictvím mechanismů přímého a nepřímého financování příjemců nezávislých na maďarské vládě;</w:t>
      </w:r>
    </w:p>
    <w:p w14:paraId="7B04F550" w14:textId="77777777" w:rsidR="00FE21BA" w:rsidRPr="00CB5A0E" w:rsidRDefault="00FE21BA" w:rsidP="00CB5A0E">
      <w:pPr>
        <w:pStyle w:val="NormalHanging12a"/>
      </w:pPr>
      <w:r w:rsidRPr="00CB5A0E">
        <w:t>71.</w:t>
      </w:r>
      <w:r w:rsidRPr="00CB5A0E">
        <w:tab/>
        <w:t>zdůrazňuje, že je důležité řešit hospodářskou nerovnost a sociální vyloučení jako hrozbu pro demokratickou účast a právní stát;</w:t>
      </w:r>
    </w:p>
    <w:p w14:paraId="0843E59E" w14:textId="77777777" w:rsidR="00FE21BA" w:rsidRPr="00CB5A0E" w:rsidRDefault="00FE21BA" w:rsidP="00CB5A0E">
      <w:pPr>
        <w:pStyle w:val="NormalHanging12a"/>
      </w:pPr>
      <w:r w:rsidRPr="00CB5A0E">
        <w:t>72.</w:t>
      </w:r>
      <w:r w:rsidRPr="00CB5A0E">
        <w:tab/>
        <w:t>vyzývá Komisi, aby do svých monitorovacích mechanismů právního státu výslovněji začlenila rozměr jednotného trhu, s větším důrazem na jednotné a rychlé uplatňování, provádění a prosazování stávajících právních předpisů, a zajistila, aby dodržování zásad právního státu členskými státy bylo posuzováno nejen z hlediska demokracie a soudnictví, ale také z hlediska jeho hospodářského dopadu na jednotný trh a finanční stabilitu; požaduje, aby Komise do své zprávy o právním státu za rok 2025 zahrnula zvláštní kapitolu o rozměru jednotného trhu; naléhavě vyzývá Komisi, aby využila všech dostupných právních nástrojů k řešení nedostatků v oblasti právního státu, včetně případného zahájení řízení o nesplnění povinnosti a pravomocí k prosazování právních předpisů v oblasti hospodářské soutěže, a to s cílem zachovat fungování vnitřního trhu;</w:t>
      </w:r>
    </w:p>
    <w:p w14:paraId="2FCC9313" w14:textId="77777777" w:rsidR="00FE21BA" w:rsidRPr="00CB5A0E" w:rsidRDefault="00FE21BA" w:rsidP="00CB5A0E">
      <w:pPr>
        <w:pStyle w:val="Normal12a24b"/>
        <w:spacing w:before="0"/>
        <w:ind w:hanging="567"/>
      </w:pPr>
      <w:r w:rsidRPr="00CB5A0E">
        <w:rPr>
          <w:rStyle w:val="BoldItalic"/>
        </w:rPr>
        <w:t>Soubor nástrojů na podporu právního státu</w:t>
      </w:r>
    </w:p>
    <w:p w14:paraId="56330DFA" w14:textId="77777777" w:rsidR="00FE21BA" w:rsidRPr="00CB5A0E" w:rsidRDefault="00FE21BA" w:rsidP="00CB5A0E">
      <w:pPr>
        <w:pStyle w:val="NormalHanging12a"/>
      </w:pPr>
      <w:r w:rsidRPr="00CB5A0E">
        <w:t>73.</w:t>
      </w:r>
      <w:r w:rsidRPr="00CB5A0E">
        <w:tab/>
        <w:t xml:space="preserve">zdůrazňuje, že je důležité začlenit milníky v budování právního státu do nástrojů financování, jako je Nástroj pro oživení a odolnost; kritizuje skutečnost, že maďarské vládě byly poskytnuty finanční prostředky EU navzdory přetrvávajícím nedostatkům v soudnictví a protikorupčních mechanismech; doporučuje, aby se vyplácení prostředků </w:t>
      </w:r>
      <w:r w:rsidRPr="00CB5A0E">
        <w:lastRenderedPageBreak/>
        <w:t>pozastavilo do doby, než budou splněna všechna kritéria právního státu; vyzývá Komisi, aby zajistila, že se finanční prostředky EU dostanou k maďarskému obyvatelstvu, a to i prostřednictvím mechanismů přímého a nepřímého financování příjemců nezávislých na maďarské vládě, a zároveň aby zachovala plný dopad přijatých opatření;</w:t>
      </w:r>
    </w:p>
    <w:p w14:paraId="7FAC13FF" w14:textId="40B3A5ED" w:rsidR="00FE21BA" w:rsidRPr="00CB5A0E" w:rsidRDefault="00FE21BA" w:rsidP="00CB5A0E">
      <w:pPr>
        <w:pStyle w:val="NormalHanging12a"/>
      </w:pPr>
      <w:r w:rsidRPr="00CB5A0E">
        <w:t>74.</w:t>
      </w:r>
      <w:r w:rsidRPr="00CB5A0E">
        <w:tab/>
        <w:t>kritizuje Radu za to, že nepokročila v probíhajících řízeních podle článku 7 S</w:t>
      </w:r>
      <w:r w:rsidR="007C2654">
        <w:t xml:space="preserve">mlouvy o </w:t>
      </w:r>
      <w:r w:rsidRPr="00CB5A0E">
        <w:t>EU, což oslabuje důvěryhodnost EU při prosazování právního státu; naléhavě vyzývá Radu, aby odblokovala další kroky v postupu podle článku 7 vůči Maďarsku vzhledem k přetrvávajícímu porušování nezávislosti soudů a svobody sdělovacích prostředků a občanské společnosti, což vyžaduje okamžité a rozhodné kroky; doporučuje Radě, aby zajistila, že se slyšení během postupů podle článku 7 budou konat alespoň jednou za předsednictví, a aby se rovněž zabývala novým vývojem, který má dopad na právní stát, demokracii a základní práva; zdůrazňuje, že není třeba jednomyslnosti v Radě, aby bylo možné určit zřejmé riziko závažného porušení hodnot Unie podle čl. 7 odst. 1 S</w:t>
      </w:r>
      <w:r w:rsidR="007C2654">
        <w:t xml:space="preserve">mlouvy o </w:t>
      </w:r>
      <w:r w:rsidRPr="00CB5A0E">
        <w:t>EU či vydat konkrétní doporučení dotčeným členským státům a stanovit lhůty pro provedení těchto doporučení; znovu Radu vyzývá, aby tak učinila, a zdůrazňuje, že veškeré další průtahy by představovaly porušení zásady právního státu ze strany samotné Rady; trvá na tom, že Parlament by měl mít v řízeních podle článku 7 S</w:t>
      </w:r>
      <w:r w:rsidR="007C2654">
        <w:t xml:space="preserve">mlouvy o </w:t>
      </w:r>
      <w:r w:rsidRPr="00CB5A0E">
        <w:t>EU aktivnější úlohu, včetně možnosti předkládat Radě odůvodněné návrhy, účastnit se slyšení v Radě a být ve všech fázích postupu plně informován;</w:t>
      </w:r>
    </w:p>
    <w:p w14:paraId="07881839" w14:textId="366D8B6E" w:rsidR="00FE21BA" w:rsidRPr="00CB5A0E" w:rsidRDefault="00FE21BA" w:rsidP="00CB5A0E">
      <w:pPr>
        <w:pStyle w:val="NormalHanging12a"/>
      </w:pPr>
      <w:r w:rsidRPr="00CB5A0E">
        <w:t>75.</w:t>
      </w:r>
      <w:r w:rsidRPr="00CB5A0E">
        <w:tab/>
        <w:t>vítá preventivní nástroje v souboru nástrojů na podporu právního státu, jako je roční cyklus právního státu, srovnávací přehled EU o soudnictví, evropský semestr, fondy EU na podporu občanské společnosti, soudních sítí a svobody sdělovacích prostředků a milníky v oblasti právního státu v rámci Nástroje pro oživení a odolnost; trvá na tom, aby bylo zavedeno užší propojení mezi závěry zprávy o právním státě 2024 a přidělováním finanční podpory z rozpočtu Unie, formou milníků, které zajistí, že finanční prostředky EU budou vázány na provedení nezbytných reforem; vyzývá Komisi, aby dále rozvíjela přímou vazbu mezi preventivními a reaktivními nástroji, a tudíž aby na základě zjištění uvedených ve výročních zprávách o právním státu urychleně a koordinovaně zahajovala řízení o nesplnění povinnosti, stanovovala další kroky při uplatnění postupu podle článku 7 S</w:t>
      </w:r>
      <w:r w:rsidR="007C2654">
        <w:t xml:space="preserve">mlouvy o </w:t>
      </w:r>
      <w:r w:rsidRPr="00CB5A0E">
        <w:t>EU a uplatňovala nařízení o podmíněnosti dodržováním zásad právního státu a horizontální základní podmínky související s Listinou, jakož i ustanovení finančního nařízení a nařízení o společných ustanoveních; vyzývá Komisi, aby ve výročních zprávách o právním státu počínaje zprávou za rok 2025 posuzovala potenciální rizika pro rozpočet Unie, která vyplývají z nedostatků v režimech právního státu, a informovala o nich; zdůrazňuje, že jak spuštění reaktivních nástrojů, tak ukončení příslušných postupů musí být založeno na objektivním kritériu souladu s právním řádem a právem EU a mezinárodním právem, jak je vykládají mezinárodní soudy;</w:t>
      </w:r>
    </w:p>
    <w:p w14:paraId="0B15FC7B" w14:textId="61E5C436" w:rsidR="00FE21BA" w:rsidRPr="00CB5A0E" w:rsidRDefault="00FE21BA" w:rsidP="00CB5A0E">
      <w:pPr>
        <w:pStyle w:val="NormalHanging12a"/>
      </w:pPr>
      <w:r w:rsidRPr="00CB5A0E">
        <w:t>76.</w:t>
      </w:r>
      <w:r w:rsidRPr="00CB5A0E">
        <w:tab/>
        <w:t>vyzývá Komisi, aby systematicky využívala zrychlená řízení a žádosti o předběžná opatření u S</w:t>
      </w:r>
      <w:r w:rsidR="007C2654">
        <w:t>oudního dvora</w:t>
      </w:r>
      <w:r w:rsidRPr="00CB5A0E">
        <w:t xml:space="preserve"> v případech řízení pro nesplnění povinnosti; vyzývá Komisi, aby přehodnotila svou politiku, nastíněnou ve sdělení z roku 2022 o prosazování práva EU</w:t>
      </w:r>
      <w:r w:rsidRPr="00CB5A0E">
        <w:rPr>
          <w:rStyle w:val="FootnoteReference"/>
        </w:rPr>
        <w:footnoteReference w:id="65"/>
      </w:r>
      <w:r w:rsidRPr="00CB5A0E">
        <w:t>, nepoužívat žaloby pro nesplnění povinnosti v „jednotlivých případech“, neboť tato praxe má za následek závažné odpírání práv občanům napříč EU, zejména pokud jejich vlády odmítají dodržovat právní předpisy EU nebo rozsudky S</w:t>
      </w:r>
      <w:r w:rsidR="007C2654">
        <w:t>oudního dvora</w:t>
      </w:r>
      <w:r w:rsidRPr="00CB5A0E">
        <w:t xml:space="preserve">, a to i proto, že většinou tyto případy nejsou pouze jednotlivé, ale souvisejí se strategickými </w:t>
      </w:r>
      <w:r w:rsidRPr="00CB5A0E">
        <w:lastRenderedPageBreak/>
        <w:t>a základními problémy; žádá Komisi, aby každoročně podávala zprávu o uplatňování a účinnosti nástrojů používaných proti porušování zásad právního státu v členských státech;</w:t>
      </w:r>
    </w:p>
    <w:p w14:paraId="6583AFE1" w14:textId="77777777" w:rsidR="00FE21BA" w:rsidRPr="00CB5A0E" w:rsidRDefault="00FE21BA" w:rsidP="00CB5A0E">
      <w:pPr>
        <w:pStyle w:val="NormalHanging12a"/>
      </w:pPr>
      <w:r w:rsidRPr="00CB5A0E">
        <w:t>77.</w:t>
      </w:r>
      <w:r w:rsidRPr="00CB5A0E">
        <w:tab/>
        <w:t>zdůrazňuje, že s cílem zabránit zhoršení situace je zapotřebí stále komplexnějšího souboru nástrojů, který zajistí dodržování hodnot EU ve všech právních předpisech Unie, včetně finančních nástrojů, a to nad rámec rozpočtového rozměru; naléhavě vyzývá Komisi, aby zjistila, kde jsou nedostatky, a předložila příslušné návrhy na rozšíření oblasti působnosti tohoto souboru nástrojů; podporuje důraznější uplatňování nařízení o podmíněnosti dodržováním zásad právního státu, s průřezovou podmíněností v programech financování EU; trvá na svém postoji, že zmrazené finanční prostředky EU by měly být uvolněny až poté, co budou plně provedeny smysluplné reformy a bude prokazatelně dosaženo dodržování zásad právního státu v praxi; zdůrazňuje, že soubor nástrojů na ochranu hodnot Unie je třeba důsledně a transparentně uplatňovat, a to bez politických ohledů a s využitím objektivních kritérií pro spuštění reaktivních nástrojů; zdůrazňuje, že tato podmíněnost by se měla vztahovat stejnou měrou na kandidátské i potenciální kandidátské země; trvá na tom, že je důležité, aby na používání těchto nástrojů dohlížel Parlament; naléhavě vyzývá Komisi, aby prováděla systematické audity rozdělování finančních prostředků EU s cílem zabránit střetům zájmů, účelovému politickému využívání nebo neprůhlednosti přidělování finančních prostředků na vnitrostátní úrovni;</w:t>
      </w:r>
    </w:p>
    <w:p w14:paraId="07FF4998" w14:textId="3E45E131" w:rsidR="00FE21BA" w:rsidRPr="00CB5A0E" w:rsidRDefault="00FE21BA" w:rsidP="00CB5A0E">
      <w:pPr>
        <w:pStyle w:val="NormalHanging12a"/>
      </w:pPr>
      <w:r w:rsidRPr="00CB5A0E">
        <w:t>78.</w:t>
      </w:r>
      <w:r w:rsidRPr="00CB5A0E">
        <w:tab/>
        <w:t>trvá na tom, aby byl do víceletého finančního rámce (VFR) zaveden nástroj založený na výkonnosti s cílem posílit soulad mezi fondy EU a dodržováním hodnot Unie zakotvených v článku 2 S</w:t>
      </w:r>
      <w:r w:rsidR="007C2654">
        <w:t xml:space="preserve">mlouvy o </w:t>
      </w:r>
      <w:r w:rsidRPr="00CB5A0E">
        <w:t>EU, jako jsou demokracie, základní práva a právní stát; požaduje, aby budoucí víceletý finanční rámec zahrnoval důkladné záruky právního státu platné pro všechny fondy EU;</w:t>
      </w:r>
    </w:p>
    <w:p w14:paraId="67B7138C" w14:textId="77777777" w:rsidR="00FE21BA" w:rsidRPr="00CB5A0E" w:rsidRDefault="00FE21BA" w:rsidP="00CB5A0E">
      <w:pPr>
        <w:pStyle w:val="NormalHanging12a"/>
      </w:pPr>
      <w:r w:rsidRPr="00CB5A0E">
        <w:t>79.</w:t>
      </w:r>
      <w:r w:rsidRPr="00CB5A0E">
        <w:tab/>
        <w:t>vyjadřuje znepokojení nad tím, že pozastavení finančních prostředků EU by mohlo být zneužito jako politická zbraň proti občanské společnosti a místním orgánům; připomíná, že nařízení o podmíněnosti dodržováním zásad právního státu zajišťuje, aby koneční příjemci neztratili přístup k finančním prostředkům EU v případě, že jsou vůči jejich vládě uplatňovány sankce; požaduje „inteligentní podmíněnost“, která by umožnila obejít vnitrostátní vlády porušující zásady právního státu, a to tak, že budou zrušené finanční prostředky EU přiděleny přímo místním a regionálním orgánům a nevládním organizacím a podnikům, které dodržují právní předpisy EU, a že bude zjednodušeno přerozdělení prostředků určených ve prospěch daného členského státu do jiných programů EU; navrhuje vytvoření transparentního systému, který by místním orgánům umožňoval žádat o finanční prostředky EU v případě, že vlády členských států blokují nebo zneužívají finanční prostředky EU; zdůrazňuje, že je důležité důsledně a transparentně uplatňovat mechanismy podmíněnosti zakotvené v nástroji předvstupní pomoci a v Nástroji pro reformy a růst pro země západního Balkánu;</w:t>
      </w:r>
    </w:p>
    <w:p w14:paraId="7575DF10" w14:textId="77777777" w:rsidR="00FE21BA" w:rsidRPr="00CB5A0E" w:rsidRDefault="00FE21BA" w:rsidP="00CB5A0E">
      <w:pPr>
        <w:pStyle w:val="Normal12a24b"/>
        <w:spacing w:before="0"/>
        <w:ind w:hanging="567"/>
        <w:rPr>
          <w:rStyle w:val="BoldItalic"/>
        </w:rPr>
      </w:pPr>
      <w:r w:rsidRPr="00CB5A0E">
        <w:rPr>
          <w:rStyle w:val="BoldItalic"/>
        </w:rPr>
        <w:t>Brzdy a protiváhy</w:t>
      </w:r>
    </w:p>
    <w:p w14:paraId="45FB56A8" w14:textId="77777777" w:rsidR="00FE21BA" w:rsidRPr="00CB5A0E" w:rsidRDefault="00FE21BA" w:rsidP="00CB5A0E">
      <w:pPr>
        <w:pStyle w:val="NormalHanging12a"/>
      </w:pPr>
      <w:r w:rsidRPr="00CB5A0E">
        <w:t>80.</w:t>
      </w:r>
      <w:r w:rsidRPr="00CB5A0E">
        <w:tab/>
        <w:t>zdůrazňuje, že je důležité zachovat v každém členském státě dělbu moci a stabilní institucionální rámec; vyzývá členské státy, aby zajistily, že veškeré ústavní nebo legislativní reformy ovlivňující dělbu moci budou plně v souladu se základními hodnotami a právními zásadami EU;</w:t>
      </w:r>
    </w:p>
    <w:p w14:paraId="56384FF5" w14:textId="77777777" w:rsidR="00FE21BA" w:rsidRPr="00CB5A0E" w:rsidRDefault="00FE21BA" w:rsidP="00CB5A0E">
      <w:pPr>
        <w:pStyle w:val="NormalHanging12a"/>
      </w:pPr>
      <w:r w:rsidRPr="00CB5A0E">
        <w:lastRenderedPageBreak/>
        <w:t>81.</w:t>
      </w:r>
      <w:r w:rsidRPr="00CB5A0E">
        <w:tab/>
        <w:t>vyzývá členské státy, aby se zdržely nadměrného využívání zrychlených postupů, které obcházejí konzultace zúčastněných stran a občanské společnosti včetně parlamentní kontroly nebo mimořádných pravomocí, neboť mají negativní dopad na stabilitu a kvalitu tvorby právních předpisů a demokracii; apeluje na členské státy, aby zavedly transparentní legislativní postupy po systematických a veřejných konzultacích s různými zúčastněnými stranami a poradními orgány;</w:t>
      </w:r>
    </w:p>
    <w:p w14:paraId="49605D8B" w14:textId="77777777" w:rsidR="00FE21BA" w:rsidRPr="00CB5A0E" w:rsidRDefault="00FE21BA" w:rsidP="00CB5A0E">
      <w:pPr>
        <w:pStyle w:val="NormalHanging12a"/>
      </w:pPr>
      <w:r w:rsidRPr="00CB5A0E">
        <w:t>82.</w:t>
      </w:r>
      <w:r w:rsidRPr="00CB5A0E">
        <w:tab/>
        <w:t>vybízí vlády a parlamenty členských států, aby u každého významného legislativního návrhu zveřejňovaly veřejně přístupná posouzení dopadu a výsledky konzultací;</w:t>
      </w:r>
    </w:p>
    <w:p w14:paraId="10F17AC9" w14:textId="77777777" w:rsidR="00FE21BA" w:rsidRPr="00CB5A0E" w:rsidRDefault="00FE21BA" w:rsidP="00CB5A0E">
      <w:pPr>
        <w:pStyle w:val="NormalHanging12a"/>
      </w:pPr>
      <w:r w:rsidRPr="00CB5A0E">
        <w:t>83.</w:t>
      </w:r>
      <w:r w:rsidRPr="00CB5A0E">
        <w:tab/>
        <w:t>zdůrazňuje doporučení Benátské komise, že je nutné účinně řešit stížnosti a odvolání v případě volebních nesrovnalostí, zejména pokud jde o kupování hlasů, vícenásobné hlasování a nesprávné sčítání hlasů; připomíná důležitost právních předpisů, které EU k této problematice přijala, zejména nařízení o digitálních službách, nařízení o digitálních trzích</w:t>
      </w:r>
      <w:r w:rsidRPr="00CB5A0E">
        <w:rPr>
          <w:rStyle w:val="FootnoteReference"/>
        </w:rPr>
        <w:footnoteReference w:id="66"/>
      </w:r>
      <w:r w:rsidRPr="00CB5A0E">
        <w:t>, aktu o umělé inteligenci</w:t>
      </w:r>
      <w:r w:rsidRPr="00CB5A0E">
        <w:rPr>
          <w:rStyle w:val="FootnoteReference"/>
        </w:rPr>
        <w:footnoteReference w:id="67"/>
      </w:r>
      <w:r w:rsidRPr="00CB5A0E">
        <w:t>, nařízení (EU) 2024/900 o transparentnosti a cílení politické reklamy</w:t>
      </w:r>
      <w:r w:rsidRPr="00CB5A0E">
        <w:rPr>
          <w:rStyle w:val="FootnoteReference"/>
        </w:rPr>
        <w:footnoteReference w:id="68"/>
      </w:r>
      <w:r w:rsidRPr="00CB5A0E">
        <w:t xml:space="preserve"> a evropského aktu o svobodě médií; vyzývá Komisi a členské státy, aby tyto akty v plném rozsahu provedly a poskytly odpovídající veřejné zdroje na opatření, která budou na jejich základě přijata;</w:t>
      </w:r>
    </w:p>
    <w:p w14:paraId="1B0029F8" w14:textId="77777777" w:rsidR="00FE21BA" w:rsidRPr="00CB5A0E" w:rsidRDefault="00FE21BA" w:rsidP="00CB5A0E">
      <w:pPr>
        <w:pStyle w:val="NormalHanging12a"/>
      </w:pPr>
      <w:r w:rsidRPr="00CB5A0E">
        <w:t>84.</w:t>
      </w:r>
      <w:r w:rsidRPr="00CB5A0E">
        <w:tab/>
        <w:t>vyzývá členské státy, aby posílily nezávislost vnitrostátních orgánů dohledu s cílem zajistit zdroje a nezávislost vůči politickému vměšování; zdůrazňuje význam občanské společnosti a obránců lidských práv při zajišťování toho, aby se odpovědné osoby zodpovídaly z porušování předpisů, a při ochraně základních práv;</w:t>
      </w:r>
    </w:p>
    <w:p w14:paraId="7056C45D" w14:textId="77777777" w:rsidR="00FE21BA" w:rsidRPr="00CB5A0E" w:rsidRDefault="00FE21BA" w:rsidP="00CB5A0E">
      <w:pPr>
        <w:pStyle w:val="NormalHanging12a"/>
      </w:pPr>
      <w:r w:rsidRPr="00CB5A0E">
        <w:t>85.</w:t>
      </w:r>
      <w:r w:rsidRPr="00CB5A0E">
        <w:tab/>
        <w:t>vyjadřuje hluboké znepokojení nad nárůstem extremismu a jeho destruktivním vlivem na demokratické normy a právní stát v několika členských státech; se znepokojením konstatuje, že extremistické skupiny aktivně útočí na menšiny a přispívají k atmosféře strachu, diskriminace a polarizace; vyzývá Komisi, aby ve své výroční zprávě o právním státě výslovně označila tyto skupiny za hrozbu pro demokracii, lidská práva a základní svobody, včetně nezávislosti akademické obce a sdělovacích prostředků; vyzývá členské státy, aby přijaly rozhodná opatření proti jejich vlivu prostřednictvím pevných právních rámců, vzdělávání propagujícího demokratické hodnoty a podpory organizací občanské společnosti bojujících proti extremismu; vyzývá ke koordinovanému postupu EU proti této hrozbě, mimo jiné prostřednictvím vzdělávání, programů sociálního začleňování a v případě potřeby i právních opatření;</w:t>
      </w:r>
    </w:p>
    <w:p w14:paraId="4BB8299B" w14:textId="77777777" w:rsidR="00FE21BA" w:rsidRPr="00CB5A0E" w:rsidRDefault="00FE21BA" w:rsidP="00CB5A0E">
      <w:pPr>
        <w:pStyle w:val="NormalHanging12a"/>
      </w:pPr>
      <w:r w:rsidRPr="00CB5A0E">
        <w:t>86.</w:t>
      </w:r>
      <w:r w:rsidRPr="00CB5A0E">
        <w:tab/>
        <w:t xml:space="preserve">vyjadřuje znepokojení nad zaznamenanými případy využívání sledovacích technologií vládami členských států vůči novinářům, aktivistům, představitelům opozice </w:t>
      </w:r>
      <w:r w:rsidRPr="00CB5A0E">
        <w:lastRenderedPageBreak/>
        <w:t>a zaměstnancům evropských institucí; připomíná, že používání špionážního softwaru musí být striktně přiměřené a nezbytné, a naléhavě vyzývá Komisi, aby bez zbytečného odkladu předložila plán opatření, která by zabránila jeho zneužívání, a aby při tom plně využila všech dostupných legislativních prostředků stanovených ve Smlouvách, jak doporučil výbor PEGA;</w:t>
      </w:r>
    </w:p>
    <w:p w14:paraId="73210908" w14:textId="77777777" w:rsidR="00FE21BA" w:rsidRPr="00CB5A0E" w:rsidRDefault="00FE21BA" w:rsidP="00CB5A0E">
      <w:pPr>
        <w:pStyle w:val="NormalHanging12a"/>
      </w:pPr>
      <w:r w:rsidRPr="00CB5A0E">
        <w:t>87.</w:t>
      </w:r>
      <w:r w:rsidRPr="00CB5A0E">
        <w:tab/>
        <w:t>se znepokojením bere na vědomí rostoucí využívání umělé inteligence pro účely národní bezpečnosti a prosazování práva v celé EU a poukazuje na rizika, která z toho vyplývají pro základní práva a svobody</w:t>
      </w:r>
      <w:r w:rsidRPr="00CB5A0E">
        <w:rPr>
          <w:rStyle w:val="FootnoteReference"/>
        </w:rPr>
        <w:footnoteReference w:id="69"/>
      </w:r>
      <w:r w:rsidRPr="00CB5A0E">
        <w:t>; připomíná, že je třeba zajistit spolehlivé záruky ochrany údajů, pokud členské státy nebo vnitrostátní orgány používají sledovací software; vyzývá k posílení právních předpisů EU s cílem zabránit hromadnému sledování a diskriminaci;</w:t>
      </w:r>
    </w:p>
    <w:p w14:paraId="55645D0F" w14:textId="77777777" w:rsidR="00FE21BA" w:rsidRPr="00CB5A0E" w:rsidRDefault="00FE21BA" w:rsidP="00CB5A0E">
      <w:pPr>
        <w:pStyle w:val="NormalHanging12a"/>
      </w:pPr>
      <w:r w:rsidRPr="00CB5A0E">
        <w:t>88.</w:t>
      </w:r>
      <w:r w:rsidRPr="00CB5A0E">
        <w:tab/>
        <w:t>je znepokojen zahraničním vměšováním, ke kterému dochází v členských státech a v kandidátských a potenciálních kandidátských zemích, včetně manipulace v sociálních médiích a dezinformací ze strany sil uvnitř i vně Unie, a jehož cílem je manipulovat s veřejným míněním a narušovat demokratickou diskusi; zdůrazňuje důležitost transparentnosti u algoritmů platforem, nezávislých auditů a spolehlivých mechanismů pro ověřování faktů, aby bylo možné bojovat proti dezinformacím a chránit demokracii; vyzývá hlavní digitální platformy, aby spolupracovaly s vnitrostátními donucovacími orgány a poskytly jim podporu při vyšetřování nezákonných online činností; vyzývá Komisi a členské státy, aby tyto snahy sledovaly a aby pohotově uplatňovaly nařízení o digitálních službách a nařízení o digitálních trzích, zejména pokud jde o velmi velké online platformy; vyzývá Komisi, aby do třetího pilíře své zprávy o právním státu (Pluralismus a svoboda sdělovacích prostředků) zahrnula větší dohled nad dezinformacemi na online platformách;</w:t>
      </w:r>
    </w:p>
    <w:p w14:paraId="0652EAAF" w14:textId="77777777" w:rsidR="00FE21BA" w:rsidRPr="00CB5A0E" w:rsidRDefault="00FE21BA" w:rsidP="00CB5A0E">
      <w:pPr>
        <w:pStyle w:val="NormalHanging12a"/>
      </w:pPr>
      <w:r w:rsidRPr="00CB5A0E">
        <w:t>89.</w:t>
      </w:r>
      <w:r w:rsidRPr="00CB5A0E">
        <w:tab/>
        <w:t>zdůrazňuje význam akademické svobody jako nedílného aspektu právního státu a naléhavě vyzývá členské státy, aby chránily univerzity před politickým vměšováním a zajistily institucionální autonomii; vybízí členské státy, aby podporovaly kulturu právního státu prostřednictvím osvětových kampaní, informačních iniciativ a opatření prosazujících demokratické hodnoty a zásady;</w:t>
      </w:r>
    </w:p>
    <w:p w14:paraId="3601F412" w14:textId="77777777" w:rsidR="00FE21BA" w:rsidRPr="00CB5A0E" w:rsidRDefault="00FE21BA" w:rsidP="00CB5A0E">
      <w:pPr>
        <w:pStyle w:val="NormalHanging12a"/>
      </w:pPr>
      <w:r w:rsidRPr="00CB5A0E">
        <w:t>90.</w:t>
      </w:r>
      <w:r w:rsidRPr="00CB5A0E">
        <w:tab/>
        <w:t>vyzývá Komisi a členské státy, aby zvážily zahájení postupu, který by se zaměřil na zlepšení správních postupů a praxe, jež ovlivňují fungování klíčových demokratických procesů a fungování brzd a protivah v souladu se zavedenými a sdílenými zásadami EU;</w:t>
      </w:r>
    </w:p>
    <w:p w14:paraId="03FD2EBC" w14:textId="77777777" w:rsidR="00FE21BA" w:rsidRPr="00CB5A0E" w:rsidRDefault="00FE21BA" w:rsidP="00CB5A0E">
      <w:pPr>
        <w:pStyle w:val="NormalHanging12a"/>
        <w:rPr>
          <w:b/>
          <w:i/>
        </w:rPr>
      </w:pPr>
      <w:r w:rsidRPr="00CB5A0E">
        <w:rPr>
          <w:b/>
          <w:i/>
        </w:rPr>
        <w:t>Horizontální doporučení</w:t>
      </w:r>
    </w:p>
    <w:p w14:paraId="22F68DC2" w14:textId="77777777" w:rsidR="00FE21BA" w:rsidRPr="00CB5A0E" w:rsidRDefault="00FE21BA" w:rsidP="00CB5A0E">
      <w:pPr>
        <w:pStyle w:val="NormalHanging12a"/>
      </w:pPr>
      <w:r w:rsidRPr="00CB5A0E">
        <w:t>91.</w:t>
      </w:r>
      <w:r w:rsidRPr="00CB5A0E">
        <w:tab/>
        <w:t>uznává zprávu Komise o právním státu jako klíčový preventivní nástroj pro sledování stavu právního státu v celé EU, usnadnění dialogu mezi členskými státy a vedení reforem v oblastech, jako je nezávislost soudnictví, boj proti korupci, svoboda sdělovacích prostředků a další brzdy a protiváhy;</w:t>
      </w:r>
    </w:p>
    <w:p w14:paraId="67A90C70" w14:textId="50F4DEC1" w:rsidR="00FE21BA" w:rsidRPr="00CB5A0E" w:rsidRDefault="00FE21BA" w:rsidP="00CB5A0E">
      <w:pPr>
        <w:pStyle w:val="NormalHanging12a"/>
      </w:pPr>
      <w:r w:rsidRPr="00CB5A0E">
        <w:t>92.</w:t>
      </w:r>
      <w:r w:rsidRPr="00CB5A0E">
        <w:tab/>
        <w:t xml:space="preserve">uznává, že zpráva Komise o právním státu je nyní komplexnější než v době svého zavedení v roce 2020; vyjadřuje ovšem politování nad tím, že dosud nebyly zavedeny zásadní prvky z usnesení Parlamentu z roku 2016 a že se Komise v plném rozsahu </w:t>
      </w:r>
      <w:r w:rsidRPr="00CB5A0E">
        <w:lastRenderedPageBreak/>
        <w:t>nezabývala doporučeními Parlamentu obsaženými v jeho předchozích usneseních; domnívá se, že tato doporučení jsou i nadále platná, a připomíná je; vyzývá k tomu, aby byly do výroční zprávy zahrnuty chybějící důležité prvky ze seznamu kritérií právního státu Benátské komise, jako je předcházení zneužívání pravomocí, rovnost před zákonem a nediskriminace; opakuje svůj postoj, že zpráva by měla pokrývat celý rozsah hodnot z článku 2 S</w:t>
      </w:r>
      <w:r w:rsidR="007C2654">
        <w:t xml:space="preserve">mlouvy o </w:t>
      </w:r>
      <w:r w:rsidRPr="00CB5A0E">
        <w:t>EU, jelikož je nelze chápat odděleně; žádá Komisi, aby prozkoumala, jak by všechny zprávy týkající se právního státu nebo základních práv, jako jsou výroční zprávy o dodržování Listiny nebo zpráva agentury FRA, mohly být zveřejněny přibližně ve stejnou dobu, aby mohla probíhat simultánní souhrnná diskuse o těchto otázkách; s politováním však konstatuje, že navzdory narůstajícím hrozbám v podobě dezinformací, propagandy a manipulace s informacemi, které cílí na evropskou demokracii, nebyla dosud zvážena možnost podobného vzájemného hodnocení členských států, která by podpořila práci Úřadu pro demokratické instituce a lidská práva OBSE (ODIHR);</w:t>
      </w:r>
    </w:p>
    <w:p w14:paraId="5B4F1108" w14:textId="2DB703E2" w:rsidR="00FE21BA" w:rsidRPr="00CB5A0E" w:rsidRDefault="00FE21BA" w:rsidP="00CB5A0E">
      <w:pPr>
        <w:pStyle w:val="NormalHanging12a"/>
      </w:pPr>
      <w:r w:rsidRPr="00CB5A0E">
        <w:t>93.</w:t>
      </w:r>
      <w:r w:rsidRPr="00CB5A0E">
        <w:tab/>
        <w:t>vyzývá Komisi, aby příští rok rozsah zprávy rozšířila; trvá na tom, aby zpráva Komise o právním státu za rok 2025 obsáhla celou oblast působnosti článku 2 S</w:t>
      </w:r>
      <w:r w:rsidR="007C2654">
        <w:t xml:space="preserve">mlouvy o </w:t>
      </w:r>
      <w:r w:rsidRPr="00CB5A0E">
        <w:t>EU a zahrnovala širší ukazatele, jako je nezávislost sdělovacích prostředků, úloha občanské společnosti, základní práva, akademická a umělecká svoboda, genderová rovnost, ochrana menšin a zranitelných skupin, dodržování mezinárodního práva, spravedlivé a svobodné volby a fungování demokratických institucí, a mohla tak poskytnout úplnější představu o standardech právního státu v celé EU a v kandidátských a potenciálních kandidátských zemích;</w:t>
      </w:r>
    </w:p>
    <w:p w14:paraId="034D52C6" w14:textId="77777777" w:rsidR="00FE21BA" w:rsidRPr="00CB5A0E" w:rsidRDefault="00FE21BA" w:rsidP="00CB5A0E">
      <w:pPr>
        <w:pStyle w:val="NormalHanging12a"/>
      </w:pPr>
      <w:r w:rsidRPr="00CB5A0E">
        <w:t>94.</w:t>
      </w:r>
      <w:r w:rsidRPr="00CB5A0E">
        <w:tab/>
        <w:t>vyzývá Komisi, aby zveřejnila kritéria, která používá při výběru informací od občanské společnosti, mezinárodních subjektů, vnitrostátních orgánů a dalších zúčastněných stran v procesu podávání zpráv o právním státu; opakuje svou výzvu Komisi, aby vyzvala agenturu FRA k poskytování metodického poradenství a k provedení srovnávacího výzkumu, aby bylo možné doplnit podrobnosti v klíčových oblastech výroční zprávy, a to vzhledem k neoddělitelným vazbám mezi základními právy a právním státem;</w:t>
      </w:r>
    </w:p>
    <w:p w14:paraId="486D3ADD" w14:textId="62508127" w:rsidR="00FE21BA" w:rsidRPr="00CB5A0E" w:rsidRDefault="00FE21BA" w:rsidP="00CB5A0E">
      <w:pPr>
        <w:pStyle w:val="NormalHanging12a"/>
      </w:pPr>
      <w:r w:rsidRPr="00CB5A0E">
        <w:t>95.</w:t>
      </w:r>
      <w:r w:rsidRPr="00CB5A0E">
        <w:tab/>
        <w:t>vybízí Komisi, aby při hodnocení dodržování hodnot zakotvených v článku 2 S</w:t>
      </w:r>
      <w:r w:rsidR="007C2654">
        <w:t xml:space="preserve">mlouvy o </w:t>
      </w:r>
      <w:r w:rsidRPr="00CB5A0E">
        <w:t>EU používala jasnější formulace a transparentní pravidla posuzování; opakuje svou výzvu Komisi, aby jasně rozlišovala mezi systémovým a ojedinělým porušováním zásad právního státu v členských státech, aby se zabránilo riziku zlehčování nejzávažnějšího porušování zásad právního státu, a aby jednoznačně uvedla, že v případech dlouhodobého systematického, záměrného a závažného porušování hodnot uvedených v článku 2 S</w:t>
      </w:r>
      <w:r w:rsidR="007C2654">
        <w:t xml:space="preserve">mlouvy o </w:t>
      </w:r>
      <w:r w:rsidRPr="00CB5A0E">
        <w:t>EU by dotčené členské státy mohly přestat splňovat všechna kritéria definující demokracii; uvádí, že doporučení by měla lépe odrážet negativní zjištění uvedená ve zprávě a měla by být podrobnější; domnívá se, že hodnocení plnění předchozích doporučení by mělo být přesnější a kvalitativnější a nemělo by se opírat pouze o změny právních předpisů, ale rovněž o skutečné a nezávislé důkazy o jejich provádění v praxi; vyzývá Komisi, aby prováděla návštěvy v terénu a poskytovala hodnocení na základě konkrétních a nezávislých důkazů o provádění v praxi;</w:t>
      </w:r>
    </w:p>
    <w:p w14:paraId="21780E53" w14:textId="77777777" w:rsidR="00FE21BA" w:rsidRPr="00CB5A0E" w:rsidRDefault="00FE21BA" w:rsidP="00CB5A0E">
      <w:pPr>
        <w:pStyle w:val="NormalHanging12a"/>
      </w:pPr>
      <w:r w:rsidRPr="00CB5A0E">
        <w:t>96.</w:t>
      </w:r>
      <w:r w:rsidRPr="00CB5A0E">
        <w:tab/>
        <w:t xml:space="preserve">varuje před tím, že nefungující vazba mezi monitorováním a reálnými důsledky vytváří riziko, že význam zprávy bude v členských státech oslaben; vyzývá k většímu zaměření na provádění doporučení pro jednotlivé země, a to s využitím harmonogramů a měřitelných referenčních hodnot, včetně případného odkazu na stávající stanoviska mezinárodních orgánů (např. Benátské komise Rady Evropy, zvláštních zpravodajů OSN) nebo na příslušná soudní rozhodnutí (včetně rozhodnutí ESLP); vyzývá Komisi, </w:t>
      </w:r>
      <w:r w:rsidRPr="00CB5A0E">
        <w:lastRenderedPageBreak/>
        <w:t>aby podrobně popsala možné důsledky v případě nedodržení předpisů, mimo jiné odkazem na konkrétní nástroje ze souboru nástrojů, který zahrnuje rozpočtové nástroje a podmíněnost financování; domnívá se, že některá porušení hodnot si zasluhují okamžitá donucovací opatření a jiná porušení vyžadují urychlené provedení doporučení; naléhavě vyzývá členské státy, aby provedly doporučení uvedená v předchozích zprávách, a vyjadřuje uznání těm členským státům, které tato doporučení nejen provedly, ale také šly nad rámec stanovených norem;</w:t>
      </w:r>
    </w:p>
    <w:p w14:paraId="15CA4F0F" w14:textId="77777777" w:rsidR="00FE21BA" w:rsidRPr="00CB5A0E" w:rsidRDefault="00FE21BA" w:rsidP="00CB5A0E">
      <w:pPr>
        <w:pStyle w:val="NormalHanging12a"/>
      </w:pPr>
      <w:r w:rsidRPr="00CB5A0E">
        <w:t>97.</w:t>
      </w:r>
      <w:r w:rsidRPr="00CB5A0E">
        <w:tab/>
        <w:t>konstatuje, že datum zveřejnění výroční zprávy o právním státu v červenci nepřispívá k dostatečnému zviditelnění a je v rozporu se zamýšleným účelem zprávy, kterým je vyvolat skutečnou veřejnou diskusi o jejích zjištěních; vyzývá Komisi, aby přehodnotila datum zveřejnění a vyvinula více úsilí o to, aby se její zjištění dostala do povědomí všech členských států;</w:t>
      </w:r>
    </w:p>
    <w:p w14:paraId="0D47C22D" w14:textId="77777777" w:rsidR="00FE21BA" w:rsidRPr="00CB5A0E" w:rsidRDefault="00FE21BA" w:rsidP="00CB5A0E">
      <w:pPr>
        <w:pStyle w:val="NormalHanging12a"/>
      </w:pPr>
      <w:r w:rsidRPr="00CB5A0E">
        <w:t>98.</w:t>
      </w:r>
      <w:r w:rsidRPr="00CB5A0E">
        <w:tab/>
        <w:t>připomíná, že rozhodnutí přijatá či nepřijatá orgány EU často ovlivňují stav právního státu v členských státech; kritizuje skutečnost, že status právního státu na úrovni orgánů EU zůstává mimo oblast působnosti zprávy Komise o právním státu za rok 2024; požaduje, aby do zprávy Komise o právním státu za rok 2025 byla na základě mechanismu nezávislého přezkumu zahrnuta kapitola o dodržování norem právního státu ze strany EU;</w:t>
      </w:r>
    </w:p>
    <w:p w14:paraId="14F0F604" w14:textId="46A52FF2" w:rsidR="00FE21BA" w:rsidRPr="00CB5A0E" w:rsidRDefault="00FE21BA" w:rsidP="00CB5A0E">
      <w:pPr>
        <w:pStyle w:val="NormalHanging12a"/>
      </w:pPr>
      <w:r w:rsidRPr="00CB5A0E">
        <w:t>99.</w:t>
      </w:r>
      <w:r w:rsidRPr="00CB5A0E">
        <w:tab/>
        <w:t>navrhuje komplexní interinstitucionální mechanismus pro demokracii, právní stát a základní práva, který by zahrnoval všechny hodnoty uvedené v článku 2 S</w:t>
      </w:r>
      <w:r w:rsidR="007C2654">
        <w:t xml:space="preserve">mlouvy o </w:t>
      </w:r>
      <w:r w:rsidRPr="00CB5A0E">
        <w:t>EU a týkal by se všech orgánů EU, členských států a kandidátských zemí s cílem podpořit jednotnost; zdůrazňuje, že je třeba zajistit plnou nezávislost a objektivitu ve složení a fungování tohoto orgánu a zároveň uzpůsobit jeho mandát konkrétně tak, aby řešil problémy v oblasti právního státu;</w:t>
      </w:r>
    </w:p>
    <w:p w14:paraId="7B1ABDBC" w14:textId="77777777" w:rsidR="00FE21BA" w:rsidRPr="00CB5A0E" w:rsidRDefault="00FE21BA" w:rsidP="00CB5A0E">
      <w:pPr>
        <w:pStyle w:val="NormalHanging12a"/>
      </w:pPr>
      <w:r w:rsidRPr="00CB5A0E">
        <w:t>100.</w:t>
      </w:r>
      <w:r w:rsidRPr="00CB5A0E">
        <w:tab/>
        <w:t>domnívá se, že je třeba posílit interinstitucionální dialog a spolupráci v oblasti právního státu na úrovni EU; vyjadřuje politování nad tím, že Komise a Rada doposud odmítají jeho nabídku uzavřít interinstitucionální dohodu týkající se demokracie, právního státu a základních práv; znovu potvrzuje svoji ochotu zahájit jednání o této dohodě; vyzývá ostatní orgány, aby mezitím alespoň prozkoumaly možnost další spolupráce v rámci navrhovaného interinstitucionálního pilotního projektu zaměřeného na demokracii, právní stát a základní práva, což by pomohlo budovat mezi orgány praktickým způsobem důvěru, zejména sdílením postupů monitorování, dialogu a setkávání; vyzývá Radu, aby na svá zasedání zvala i další subjekty, jako je Benátská komise, komisař pro lidská práva a zástupci Parlamentu, a zajistila tak dialogu o právním státu větší inkluzivnost; domnívá se, že dialog Rady o právním státu by měl být interaktivnější a měl by systematicky poskytovat zpětnou vazbu; vyzývá členské státy, aby investovaly do řádné přípravy na tento dialog; zdůrazňuje, že větší transparentnost by posílila dialog o právním státu v rámci Unie, a vyzývá proto Radu, aby poskytla podrobné veřejné závěry; naléhavě vyzývá Radu, aby spolupracovala s vnitrostátními parlamenty s cílem posílit demokratický dohled nad tím, jak členské státy dodržují normy EU v oblasti právního státu; zdůrazňuje, že zpráva o právním státu by měla být založena na důkazech a měla by být objektivní, přičemž by se měla týkat členských států i orgánů EU a měla by zahrnovat preventivní a nápravná opatření;</w:t>
      </w:r>
    </w:p>
    <w:p w14:paraId="4BEDBDAC" w14:textId="77777777" w:rsidR="00FE21BA" w:rsidRPr="00CB5A0E" w:rsidRDefault="00FE21BA" w:rsidP="00CB5A0E">
      <w:pPr>
        <w:pStyle w:val="NormalHanging12a"/>
      </w:pPr>
      <w:r w:rsidRPr="00CB5A0E">
        <w:t>101.</w:t>
      </w:r>
      <w:r w:rsidRPr="00CB5A0E">
        <w:tab/>
        <w:t>vyzývá členské státy, aby zajistily, že mimořádná opatření přijatá v reakci na krize (jako jsou pandemie nebo bezpečnostní hrozby) budou podléhat pravidelné parlamentní kontrole a soudnímu přezkumu a budou přísně časově omezená a přiměřená;</w:t>
      </w:r>
    </w:p>
    <w:p w14:paraId="7A924A5F" w14:textId="77777777" w:rsidR="00FE21BA" w:rsidRPr="00CB5A0E" w:rsidRDefault="00FE21BA" w:rsidP="00CB5A0E">
      <w:pPr>
        <w:pStyle w:val="NormalHanging12a"/>
      </w:pPr>
      <w:r w:rsidRPr="00CB5A0E">
        <w:lastRenderedPageBreak/>
        <w:t>102.</w:t>
      </w:r>
      <w:r w:rsidRPr="00CB5A0E">
        <w:tab/>
        <w:t>domnívá se, že při prosazování a obraně demokracie, právního státu, základních svobod a lidských práv, včetně práv menšin, by měla být dále posílena spolupráce mezi EU a mezinárodními organizacemi, jako je Rada Evropy, OBSE a OSN;</w:t>
      </w:r>
    </w:p>
    <w:p w14:paraId="593C0503" w14:textId="77777777" w:rsidR="00FE21BA" w:rsidRPr="00CB5A0E" w:rsidRDefault="00FE21BA" w:rsidP="00CB5A0E">
      <w:pPr>
        <w:pStyle w:val="NormalHanging12a"/>
      </w:pPr>
      <w:r w:rsidRPr="00CB5A0E">
        <w:t>103.</w:t>
      </w:r>
      <w:r w:rsidRPr="00CB5A0E">
        <w:tab/>
        <w:t>vybízí členské státy, aby vypracovaly a prováděly komplexní programy občanské výchovy, které u občanů všech věkových kategorií podpoří porozumění demokratickým institucím, právnímu státu a základním právům;</w:t>
      </w:r>
    </w:p>
    <w:p w14:paraId="6E993082" w14:textId="77777777" w:rsidR="00FE21BA" w:rsidRPr="00CB5A0E" w:rsidRDefault="00FE21BA" w:rsidP="00CB5A0E">
      <w:pPr>
        <w:pStyle w:val="NormalHanging12a"/>
      </w:pPr>
      <w:r w:rsidRPr="00CB5A0E">
        <w:t>104.</w:t>
      </w:r>
      <w:r w:rsidRPr="00CB5A0E">
        <w:tab/>
        <w:t>vyjadřuje politování nad tím, že Komise nezapracovala mnoho opakovaných žádostí Parlamentu týkajících se jejích zpráv o právním státu; požaduje, aby Komise do 31. prosince 2025 vydala sdělení, v němž podrobně uvede, které žádosti přijaté Parlamentem v souvislosti se zprávami Komise o právním státu od roku 2021 provede, které neprovede a proč;</w:t>
      </w:r>
    </w:p>
    <w:p w14:paraId="05E6E510" w14:textId="77777777" w:rsidR="00FE21BA" w:rsidRPr="00CB5A0E" w:rsidRDefault="00FE21BA" w:rsidP="00CB5A0E">
      <w:pPr>
        <w:pStyle w:val="NormalHanging12a"/>
      </w:pPr>
      <w:r w:rsidRPr="00CB5A0E">
        <w:t>105.</w:t>
      </w:r>
      <w:r w:rsidRPr="00CB5A0E">
        <w:tab/>
        <w:t>vítá rozšíření zprávy Komise o právním státu na kandidátské země, konkrétně Albánii, Černou Horu, Severní Makedonii a Srbsko, čímž se zdůrazňuje, že základní hodnoty EU musí respektovat nejen současné členské státy, ale i budoucí členové během přístupových procesů; vybízí k důkladnému hodnocení právního státu ve všech zemích v procesu přistoupení; vybízí Komisi, aby přistupujícím zemím poskytla konkrétní doporučení ohledně stavu právního státu a aby zajistila soulad se zprávou o rozšíření; očekává, že Komise do své zprávy o právním státu za rok 2025 zahrne všechny kandidátské země;</w:t>
      </w:r>
    </w:p>
    <w:p w14:paraId="67F2637F" w14:textId="77777777" w:rsidR="00CB5A0E" w:rsidRDefault="00CB5A0E" w:rsidP="00CB5A0E">
      <w:pPr>
        <w:pStyle w:val="NormalCenter12a"/>
        <w:widowControl/>
      </w:pPr>
      <w:r>
        <w:t>°</w:t>
      </w:r>
    </w:p>
    <w:p w14:paraId="4E553677" w14:textId="77777777" w:rsidR="00CB5A0E" w:rsidRDefault="00CB5A0E" w:rsidP="00CB5A0E">
      <w:pPr>
        <w:pStyle w:val="NormalCenter12a"/>
        <w:widowControl/>
      </w:pPr>
      <w:r>
        <w:t>°     °</w:t>
      </w:r>
    </w:p>
    <w:p w14:paraId="537DF74B" w14:textId="56F2ADE3" w:rsidR="00BA4433" w:rsidRPr="00CB5A0E" w:rsidRDefault="00FE21BA" w:rsidP="00CB5A0E">
      <w:pPr>
        <w:pStyle w:val="NormalHanging12a"/>
      </w:pPr>
      <w:r w:rsidRPr="00CB5A0E">
        <w:t>106.</w:t>
      </w:r>
      <w:r w:rsidRPr="00CB5A0E">
        <w:tab/>
        <w:t>pověřuje svou předsedkyni, aby předala toto usnesení Radě, Komisi, Agentuře Evropské unie pro základní práva, Radě Evropy a vládám a parlamentům členských států.</w:t>
      </w:r>
    </w:p>
    <w:p w14:paraId="01100377" w14:textId="24F915F1" w:rsidR="00E365E1" w:rsidRPr="00CB5A0E" w:rsidRDefault="00E365E1" w:rsidP="00CB5A0E">
      <w:pPr>
        <w:spacing w:after="240"/>
        <w:ind w:hanging="567"/>
      </w:pPr>
    </w:p>
    <w:sectPr w:rsidR="00E365E1" w:rsidRPr="00CB5A0E" w:rsidSect="00BA44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48946" w14:textId="77777777" w:rsidR="000B700D" w:rsidRPr="00BA4433" w:rsidRDefault="000B700D">
      <w:r w:rsidRPr="00BA4433">
        <w:separator/>
      </w:r>
    </w:p>
  </w:endnote>
  <w:endnote w:type="continuationSeparator" w:id="0">
    <w:p w14:paraId="2660D745" w14:textId="77777777" w:rsidR="000B700D" w:rsidRPr="00BA4433" w:rsidRDefault="000B700D">
      <w:r w:rsidRPr="00BA44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A1FC5" w14:textId="77777777" w:rsidR="00064002" w:rsidRPr="00BA443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81E39" w14:textId="77777777" w:rsidR="00064002" w:rsidRPr="00BA443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97422" w14:textId="77777777" w:rsidR="00064002" w:rsidRPr="00BA44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33121" w14:textId="77777777" w:rsidR="000B700D" w:rsidRPr="00BA4433" w:rsidRDefault="000B700D">
      <w:r w:rsidRPr="00BA4433">
        <w:separator/>
      </w:r>
    </w:p>
  </w:footnote>
  <w:footnote w:type="continuationSeparator" w:id="0">
    <w:p w14:paraId="135A707C" w14:textId="77777777" w:rsidR="000B700D" w:rsidRPr="00BA4433" w:rsidRDefault="000B700D">
      <w:r w:rsidRPr="00BA4433">
        <w:continuationSeparator/>
      </w:r>
    </w:p>
  </w:footnote>
  <w:footnote w:id="1">
    <w:p w14:paraId="5F1A2988" w14:textId="603BCE28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Úř. věst. L 433, 22.12.2020, s. 1, ELI: </w:t>
      </w:r>
      <w:hyperlink r:id="rId1" w:history="1">
        <w:r w:rsidRPr="002457F3">
          <w:rPr>
            <w:rStyle w:val="Hyperlink"/>
            <w:sz w:val="24"/>
            <w:szCs w:val="24"/>
            <w:lang w:val="cs-CZ"/>
          </w:rPr>
          <w:t>http://data.europa.eu/eli/reg/2020/2092/oj</w:t>
        </w:r>
      </w:hyperlink>
      <w:r w:rsidRPr="002457F3">
        <w:rPr>
          <w:sz w:val="24"/>
          <w:szCs w:val="24"/>
          <w:lang w:val="cs-CZ"/>
        </w:rPr>
        <w:t>.</w:t>
      </w:r>
    </w:p>
  </w:footnote>
  <w:footnote w:id="2">
    <w:p w14:paraId="09B81EAD" w14:textId="04FBBDD4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Úř. věst. L 231, 30.6.2021, s. 159, ELI: </w:t>
      </w:r>
      <w:hyperlink r:id="rId2" w:history="1">
        <w:r w:rsidRPr="002457F3">
          <w:rPr>
            <w:rStyle w:val="Hyperlink"/>
            <w:sz w:val="24"/>
            <w:szCs w:val="24"/>
            <w:lang w:val="cs-CZ"/>
          </w:rPr>
          <w:t>http://data.europa.eu/eli/reg/2021/1060/oj</w:t>
        </w:r>
      </w:hyperlink>
      <w:r w:rsidRPr="002457F3">
        <w:rPr>
          <w:sz w:val="24"/>
          <w:szCs w:val="24"/>
          <w:lang w:val="cs-CZ"/>
        </w:rPr>
        <w:t>.</w:t>
      </w:r>
    </w:p>
  </w:footnote>
  <w:footnote w:id="3">
    <w:p w14:paraId="777D8545" w14:textId="2C8FA3D6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L</w:t>
      </w:r>
      <w:r w:rsidR="00D42920">
        <w:rPr>
          <w:sz w:val="24"/>
          <w:szCs w:val="24"/>
          <w:lang w:val="cs-CZ"/>
        </w:rPr>
        <w:t>,</w:t>
      </w:r>
      <w:r w:rsidRPr="002457F3">
        <w:rPr>
          <w:sz w:val="24"/>
          <w:szCs w:val="24"/>
          <w:lang w:val="cs-CZ"/>
        </w:rPr>
        <w:t xml:space="preserve"> 2024/2509, 26.9.2024, ELI: </w:t>
      </w:r>
      <w:hyperlink r:id="rId3" w:history="1">
        <w:r w:rsidRPr="002457F3">
          <w:rPr>
            <w:rStyle w:val="Hyperlink"/>
            <w:sz w:val="24"/>
            <w:szCs w:val="24"/>
            <w:lang w:val="cs-CZ"/>
          </w:rPr>
          <w:t>http://data.europa.eu/eli/reg/2024/2509/oj</w:t>
        </w:r>
      </w:hyperlink>
      <w:r w:rsidRPr="002457F3">
        <w:rPr>
          <w:sz w:val="24"/>
          <w:szCs w:val="24"/>
          <w:lang w:val="cs-CZ"/>
        </w:rPr>
        <w:t>.</w:t>
      </w:r>
    </w:p>
  </w:footnote>
  <w:footnote w:id="4">
    <w:p w14:paraId="256EB1A3" w14:textId="1BD16ED7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Úř. věst. L 156, 5.5.2021, s. 1., ELI: </w:t>
      </w:r>
      <w:hyperlink r:id="rId4" w:history="1">
        <w:r w:rsidRPr="002457F3">
          <w:rPr>
            <w:rStyle w:val="Hyperlink"/>
            <w:sz w:val="24"/>
            <w:szCs w:val="24"/>
            <w:lang w:val="cs-CZ"/>
          </w:rPr>
          <w:t>http://data.europa.eu/eli/reg/2021/692/oj</w:t>
        </w:r>
      </w:hyperlink>
      <w:r w:rsidRPr="002457F3">
        <w:rPr>
          <w:sz w:val="24"/>
          <w:szCs w:val="24"/>
          <w:lang w:val="cs-CZ"/>
        </w:rPr>
        <w:t>.</w:t>
      </w:r>
    </w:p>
  </w:footnote>
  <w:footnote w:id="5">
    <w:p w14:paraId="22A18093" w14:textId="65D53B45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="00951832" w:rsidRPr="002457F3">
        <w:rPr>
          <w:sz w:val="24"/>
          <w:szCs w:val="24"/>
          <w:lang w:val="cs-CZ"/>
        </w:rPr>
        <w:t>Úř. věst. C 215, 19.6.2018, s. 162.</w:t>
      </w:r>
    </w:p>
  </w:footnote>
  <w:footnote w:id="6">
    <w:p w14:paraId="28CE5062" w14:textId="0B7EAD8B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C 463, 21.12.2018, s. 21.</w:t>
      </w:r>
    </w:p>
  </w:footnote>
  <w:footnote w:id="7">
    <w:p w14:paraId="0DEE964C" w14:textId="363F7879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</w:t>
      </w:r>
      <w:r w:rsidR="00D10CE9">
        <w:rPr>
          <w:sz w:val="24"/>
          <w:szCs w:val="24"/>
          <w:lang w:val="cs-CZ"/>
        </w:rPr>
        <w:t>t. C 129, 5.4.2019</w:t>
      </w:r>
      <w:r w:rsidRPr="002457F3">
        <w:rPr>
          <w:sz w:val="24"/>
          <w:szCs w:val="24"/>
          <w:lang w:val="cs-CZ"/>
        </w:rPr>
        <w:t>, s. 13.</w:t>
      </w:r>
    </w:p>
  </w:footnote>
  <w:footnote w:id="8">
    <w:p w14:paraId="15089B28" w14:textId="0725D4FC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C 390, 18.11.2019, s. 117.</w:t>
      </w:r>
    </w:p>
  </w:footnote>
  <w:footnote w:id="9">
    <w:p w14:paraId="06351431" w14:textId="2E86DAE6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C 433, 23.12.2019, s. 66.</w:t>
      </w:r>
    </w:p>
  </w:footnote>
  <w:footnote w:id="10">
    <w:p w14:paraId="3D545A4B" w14:textId="3C11C34A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C 363, 28.10.2020, s. 13.</w:t>
      </w:r>
    </w:p>
  </w:footnote>
  <w:footnote w:id="11">
    <w:p w14:paraId="6818B574" w14:textId="4397BF10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C 363, 28.10.2020, s. 45.</w:t>
      </w:r>
    </w:p>
  </w:footnote>
  <w:footnote w:id="12">
    <w:p w14:paraId="16F6048D" w14:textId="4BFB6BD1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C 395, 29.9.2021, s. 2.</w:t>
      </w:r>
    </w:p>
  </w:footnote>
  <w:footnote w:id="13">
    <w:p w14:paraId="77194DCA" w14:textId="24DB28EB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C 415, 13.10.2021, s. 36.</w:t>
      </w:r>
    </w:p>
  </w:footnote>
  <w:footnote w:id="14">
    <w:p w14:paraId="20CA43E8" w14:textId="310AB10B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C 445, 29.10.2021, s. 70.</w:t>
      </w:r>
    </w:p>
  </w:footnote>
  <w:footnote w:id="15">
    <w:p w14:paraId="0A9BE923" w14:textId="08DBFC42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C 67, 8.2.2022, s. 86.</w:t>
      </w:r>
    </w:p>
  </w:footnote>
  <w:footnote w:id="16">
    <w:p w14:paraId="1A4B8CA1" w14:textId="2E2EA58F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C 81, 18.2.2022, s. 27.</w:t>
      </w:r>
    </w:p>
  </w:footnote>
  <w:footnote w:id="17">
    <w:p w14:paraId="5F5EB6B5" w14:textId="579151F9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C 99, 1.3.2022, s. 146.</w:t>
      </w:r>
    </w:p>
  </w:footnote>
  <w:footnote w:id="18">
    <w:p w14:paraId="4F941CC3" w14:textId="676790CC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C 117, 11.3.2022, s. 88.</w:t>
      </w:r>
    </w:p>
  </w:footnote>
  <w:footnote w:id="19">
    <w:p w14:paraId="00204AF9" w14:textId="03E60F05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C 205, 20.5.2022, s. 2.</w:t>
      </w:r>
    </w:p>
  </w:footnote>
  <w:footnote w:id="20">
    <w:p w14:paraId="71E8D5AC" w14:textId="06856B26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C 251, 30.6.2022, s. 48.</w:t>
      </w:r>
    </w:p>
  </w:footnote>
  <w:footnote w:id="21">
    <w:p w14:paraId="0C5A0F91" w14:textId="1E64DCC3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C 347, 9.9.2022, s. 2.</w:t>
      </w:r>
    </w:p>
  </w:footnote>
  <w:footnote w:id="22">
    <w:p w14:paraId="7613D4B6" w14:textId="2E2B7CBB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C 347, 9.9.2022, s. 168.</w:t>
      </w:r>
    </w:p>
  </w:footnote>
  <w:footnote w:id="23">
    <w:p w14:paraId="71D43C4E" w14:textId="67B9E904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C 479, 16.12.2022, s. 18.</w:t>
      </w:r>
    </w:p>
  </w:footnote>
  <w:footnote w:id="24">
    <w:p w14:paraId="761A75A4" w14:textId="78C47300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C 493, 27.12.2022, s. 108.</w:t>
      </w:r>
    </w:p>
  </w:footnote>
  <w:footnote w:id="25">
    <w:p w14:paraId="702017C6" w14:textId="01C28C5F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C 125, 5.4.2023, s. 80.</w:t>
      </w:r>
    </w:p>
  </w:footnote>
  <w:footnote w:id="26">
    <w:p w14:paraId="1A3D093C" w14:textId="68B72FEC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Úř. věst. C 125, 5.4.2023, s. 463.</w:t>
      </w:r>
    </w:p>
  </w:footnote>
  <w:footnote w:id="27">
    <w:p w14:paraId="3297F17A" w14:textId="404FBDE1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="00951832" w:rsidRPr="002457F3">
        <w:rPr>
          <w:sz w:val="24"/>
          <w:szCs w:val="24"/>
          <w:lang w:val="cs-CZ"/>
        </w:rPr>
        <w:t>Úř. věst. C 149, 28.4.2023, s. 15.</w:t>
      </w:r>
    </w:p>
  </w:footnote>
  <w:footnote w:id="28">
    <w:p w14:paraId="0A17B562" w14:textId="4E342539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="007C2654" w:rsidRPr="002457F3">
        <w:rPr>
          <w:sz w:val="24"/>
          <w:szCs w:val="24"/>
          <w:lang w:val="cs-CZ"/>
        </w:rPr>
        <w:t>Úř. věst. C 149, 28.4.2023, s. 22.</w:t>
      </w:r>
    </w:p>
  </w:footnote>
  <w:footnote w:id="29">
    <w:p w14:paraId="4A961ED5" w14:textId="4184D64C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="007C2654" w:rsidRPr="002457F3">
        <w:rPr>
          <w:sz w:val="24"/>
          <w:szCs w:val="24"/>
          <w:lang w:val="cs-CZ"/>
        </w:rPr>
        <w:t>Úř. věst. C 161, 5.5.2023, s. 10.</w:t>
      </w:r>
    </w:p>
  </w:footnote>
  <w:footnote w:id="30">
    <w:p w14:paraId="7C29ADFD" w14:textId="201DEC3D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="007C2654" w:rsidRPr="002457F3">
        <w:rPr>
          <w:sz w:val="24"/>
          <w:szCs w:val="24"/>
          <w:lang w:val="cs-CZ"/>
        </w:rPr>
        <w:t>Úř. věst. C 167, 11.5.2023, s. 74.</w:t>
      </w:r>
    </w:p>
  </w:footnote>
  <w:footnote w:id="31">
    <w:p w14:paraId="6604B03B" w14:textId="36FCB6B4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="007C2654" w:rsidRPr="002457F3">
        <w:rPr>
          <w:sz w:val="24"/>
          <w:szCs w:val="24"/>
          <w:lang w:val="cs-CZ"/>
        </w:rPr>
        <w:t>Úř. věst. C 341, 27.9.2023, s. 2.</w:t>
      </w:r>
    </w:p>
  </w:footnote>
  <w:footnote w:id="32">
    <w:p w14:paraId="5CE9A1DF" w14:textId="63C0F52C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Úř. věst. C, C/2023/442, 1.12.2023, ELI: </w:t>
      </w:r>
      <w:hyperlink r:id="rId5" w:history="1">
        <w:r w:rsidRPr="002457F3">
          <w:rPr>
            <w:rStyle w:val="Hyperlink"/>
            <w:sz w:val="24"/>
            <w:szCs w:val="24"/>
            <w:lang w:val="cs-CZ"/>
          </w:rPr>
          <w:t>http://data.europa.eu/eli/C/2023/442/oj</w:t>
        </w:r>
      </w:hyperlink>
      <w:r w:rsidRPr="002457F3">
        <w:rPr>
          <w:sz w:val="24"/>
          <w:szCs w:val="24"/>
          <w:lang w:val="cs-CZ"/>
        </w:rPr>
        <w:t>.</w:t>
      </w:r>
    </w:p>
  </w:footnote>
  <w:footnote w:id="33">
    <w:p w14:paraId="09F3CB12" w14:textId="2B482567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Úř. věst. C, C/2024/6743, 26.11.2024, ELI: </w:t>
      </w:r>
      <w:hyperlink r:id="rId6" w:history="1">
        <w:r w:rsidRPr="002457F3">
          <w:rPr>
            <w:rStyle w:val="Hyperlink"/>
            <w:sz w:val="24"/>
            <w:szCs w:val="24"/>
            <w:lang w:val="cs-CZ"/>
          </w:rPr>
          <w:t>http://data.europa.eu/eli/C/2024/6743/oj</w:t>
        </w:r>
      </w:hyperlink>
      <w:r w:rsidRPr="002457F3">
        <w:rPr>
          <w:sz w:val="24"/>
          <w:szCs w:val="24"/>
          <w:lang w:val="cs-CZ"/>
        </w:rPr>
        <w:t>.</w:t>
      </w:r>
    </w:p>
  </w:footnote>
  <w:footnote w:id="34">
    <w:p w14:paraId="68C229F5" w14:textId="40114C85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Úř. věst. C, C/2024/6746, 26.11.2024, ELI: </w:t>
      </w:r>
      <w:hyperlink r:id="rId7" w:history="1">
        <w:r w:rsidRPr="002457F3">
          <w:rPr>
            <w:rStyle w:val="Hyperlink"/>
            <w:sz w:val="24"/>
            <w:szCs w:val="24"/>
            <w:lang w:val="cs-CZ"/>
          </w:rPr>
          <w:t>http://data.europa.eu/eli/C/2024/6746/oj</w:t>
        </w:r>
      </w:hyperlink>
      <w:r w:rsidRPr="002457F3">
        <w:rPr>
          <w:sz w:val="24"/>
          <w:szCs w:val="24"/>
          <w:lang w:val="cs-CZ"/>
        </w:rPr>
        <w:t>.</w:t>
      </w:r>
    </w:p>
  </w:footnote>
  <w:footnote w:id="35">
    <w:p w14:paraId="7BD09396" w14:textId="718ED8CF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Úř. věst. C, C/2023/1223, 21.12.2023, ELI: </w:t>
      </w:r>
      <w:hyperlink r:id="rId8" w:history="1">
        <w:r w:rsidRPr="002457F3">
          <w:rPr>
            <w:rStyle w:val="Hyperlink"/>
            <w:sz w:val="24"/>
            <w:szCs w:val="24"/>
            <w:lang w:val="cs-CZ"/>
          </w:rPr>
          <w:t>http://data.europa.eu/eli/C/2023/1223/oj</w:t>
        </w:r>
      </w:hyperlink>
      <w:r w:rsidRPr="002457F3">
        <w:rPr>
          <w:sz w:val="24"/>
          <w:szCs w:val="24"/>
          <w:lang w:val="cs-CZ"/>
        </w:rPr>
        <w:t>.</w:t>
      </w:r>
    </w:p>
  </w:footnote>
  <w:footnote w:id="36">
    <w:p w14:paraId="0BBADDCD" w14:textId="7E5CF9F0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Úř. věst. C, C/2024/494, 23.1.2024, ELI: </w:t>
      </w:r>
      <w:hyperlink r:id="rId9" w:history="1">
        <w:r w:rsidRPr="002457F3">
          <w:rPr>
            <w:rStyle w:val="Hyperlink"/>
            <w:sz w:val="24"/>
            <w:szCs w:val="24"/>
            <w:lang w:val="cs-CZ"/>
          </w:rPr>
          <w:t>http://data.europa.eu/eli/C/2024/494/oj</w:t>
        </w:r>
      </w:hyperlink>
      <w:r w:rsidRPr="002457F3">
        <w:rPr>
          <w:sz w:val="24"/>
          <w:szCs w:val="24"/>
          <w:lang w:val="cs-CZ"/>
        </w:rPr>
        <w:t>.</w:t>
      </w:r>
    </w:p>
  </w:footnote>
  <w:footnote w:id="37">
    <w:p w14:paraId="1ADBC223" w14:textId="340CCF7A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Úř. věst. C, C/2024/3995, 17.7.2024, ELI: </w:t>
      </w:r>
      <w:hyperlink r:id="rId10" w:history="1">
        <w:r w:rsidRPr="002457F3">
          <w:rPr>
            <w:rStyle w:val="Hyperlink"/>
            <w:sz w:val="24"/>
            <w:szCs w:val="24"/>
            <w:lang w:val="cs-CZ"/>
          </w:rPr>
          <w:t>http://data.europa.eu/eli/C/2024/3995/oj</w:t>
        </w:r>
      </w:hyperlink>
      <w:r w:rsidRPr="002457F3">
        <w:rPr>
          <w:sz w:val="24"/>
          <w:szCs w:val="24"/>
          <w:lang w:val="cs-CZ"/>
        </w:rPr>
        <w:t>.</w:t>
      </w:r>
    </w:p>
  </w:footnote>
  <w:footnote w:id="38">
    <w:p w14:paraId="7BB3892F" w14:textId="661857BB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Úř. věst. C, C/2024/2656, 29.4.2024, ELI: </w:t>
      </w:r>
      <w:hyperlink r:id="rId11" w:history="1">
        <w:r w:rsidRPr="002457F3">
          <w:rPr>
            <w:rStyle w:val="Hyperlink"/>
            <w:sz w:val="24"/>
            <w:szCs w:val="24"/>
            <w:lang w:val="cs-CZ"/>
          </w:rPr>
          <w:t>http://data.europa.eu/eli/C/2024/2656/oj</w:t>
        </w:r>
      </w:hyperlink>
      <w:r w:rsidRPr="002457F3">
        <w:rPr>
          <w:sz w:val="24"/>
          <w:szCs w:val="24"/>
          <w:lang w:val="cs-CZ"/>
        </w:rPr>
        <w:t>.</w:t>
      </w:r>
    </w:p>
  </w:footnote>
  <w:footnote w:id="39">
    <w:p w14:paraId="31A2D36D" w14:textId="58E47603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Úř. věst. C, C/2024/5739, 17.10.2024, ELI: </w:t>
      </w:r>
      <w:hyperlink r:id="rId12" w:history="1">
        <w:r w:rsidRPr="002457F3">
          <w:rPr>
            <w:rStyle w:val="Hyperlink"/>
            <w:sz w:val="24"/>
            <w:szCs w:val="24"/>
            <w:lang w:val="cs-CZ"/>
          </w:rPr>
          <w:t>http://data.europa.eu/eli/C/2024/5739/oj</w:t>
        </w:r>
      </w:hyperlink>
      <w:r w:rsidRPr="002457F3">
        <w:rPr>
          <w:sz w:val="24"/>
          <w:szCs w:val="24"/>
          <w:lang w:val="cs-CZ"/>
        </w:rPr>
        <w:t>.</w:t>
      </w:r>
    </w:p>
  </w:footnote>
  <w:footnote w:id="40">
    <w:p w14:paraId="4E95C01C" w14:textId="2B8A00FF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Úř. věst. C, C/2024/5733, 17.10.2024, ELI: </w:t>
      </w:r>
      <w:hyperlink r:id="rId13" w:history="1">
        <w:r w:rsidRPr="002457F3">
          <w:rPr>
            <w:rStyle w:val="Hyperlink"/>
            <w:sz w:val="24"/>
            <w:szCs w:val="24"/>
            <w:lang w:val="cs-CZ"/>
          </w:rPr>
          <w:t>http://data.europa.eu/eli/C/2024/5733/oj</w:t>
        </w:r>
      </w:hyperlink>
      <w:r w:rsidRPr="002457F3">
        <w:rPr>
          <w:sz w:val="24"/>
          <w:szCs w:val="24"/>
          <w:lang w:val="cs-CZ"/>
        </w:rPr>
        <w:t>.</w:t>
      </w:r>
    </w:p>
  </w:footnote>
  <w:footnote w:id="41">
    <w:p w14:paraId="61F7BEE6" w14:textId="5596797E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Přijaté texty, P9_TA(2024)0367.</w:t>
      </w:r>
    </w:p>
  </w:footnote>
  <w:footnote w:id="42">
    <w:p w14:paraId="78635764" w14:textId="066FACA2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Informace o veškeré monitorovací činnosti skupiny DRFMG jsou k dispozici zde: </w:t>
      </w:r>
      <w:hyperlink r:id="rId14" w:history="1">
        <w:r w:rsidRPr="002457F3">
          <w:rPr>
            <w:rStyle w:val="Hyperlink"/>
            <w:sz w:val="24"/>
            <w:szCs w:val="24"/>
            <w:lang w:val="cs-CZ"/>
          </w:rPr>
          <w:t>https://www.europarl.europa.eu/committees/cs/libe-democracy-rule-of-law-and-fundament/product-details/20190103CDT02662</w:t>
        </w:r>
      </w:hyperlink>
      <w:r w:rsidRPr="002457F3">
        <w:rPr>
          <w:sz w:val="24"/>
          <w:szCs w:val="24"/>
          <w:lang w:val="cs-CZ"/>
        </w:rPr>
        <w:t>.</w:t>
      </w:r>
    </w:p>
  </w:footnote>
  <w:footnote w:id="43">
    <w:p w14:paraId="161C8F5E" w14:textId="371171C4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Posudek Soudního dvora 2/13 ze dne 18. prosince 2014, ECLI:EU:C:2014:2454, bod 168.</w:t>
      </w:r>
    </w:p>
  </w:footnote>
  <w:footnote w:id="44">
    <w:p w14:paraId="60B4BC53" w14:textId="25FA93B6" w:rsidR="00FE21BA" w:rsidRPr="002457F3" w:rsidRDefault="00FE21BA" w:rsidP="00BA4433">
      <w:pPr>
        <w:pStyle w:val="FootnoteText"/>
        <w:ind w:left="567" w:hanging="567"/>
        <w:rPr>
          <w:rStyle w:val="FootnoteReference"/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Rozsudek Soudního dvora ze dne 24. června 2019, </w:t>
      </w:r>
      <w:r w:rsidRPr="002457F3">
        <w:rPr>
          <w:iCs/>
          <w:sz w:val="24"/>
          <w:szCs w:val="24"/>
          <w:lang w:val="cs-CZ"/>
        </w:rPr>
        <w:t>Evropská komise v. Polská republika, C-619/18, ECLI:EU:C:2019:531, bod 42</w:t>
      </w:r>
      <w:r w:rsidRPr="002457F3">
        <w:rPr>
          <w:sz w:val="24"/>
          <w:szCs w:val="24"/>
          <w:lang w:val="cs-CZ"/>
        </w:rPr>
        <w:t>.</w:t>
      </w:r>
    </w:p>
  </w:footnote>
  <w:footnote w:id="45">
    <w:p w14:paraId="10A99851" w14:textId="6636A9A1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proofErr w:type="gramStart"/>
      <w:r w:rsidRPr="002457F3">
        <w:rPr>
          <w:sz w:val="24"/>
          <w:szCs w:val="24"/>
          <w:lang w:val="cs-CZ"/>
        </w:rPr>
        <w:t>COM(</w:t>
      </w:r>
      <w:proofErr w:type="gramEnd"/>
      <w:r w:rsidRPr="002457F3">
        <w:rPr>
          <w:sz w:val="24"/>
          <w:szCs w:val="24"/>
          <w:lang w:val="cs-CZ"/>
        </w:rPr>
        <w:t>2024)0800, příloha s doporučeními, s. 1, 9, 11, 19 a 24.</w:t>
      </w:r>
    </w:p>
  </w:footnote>
  <w:footnote w:id="46">
    <w:p w14:paraId="55451EEF" w14:textId="280645C3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Směrnice Evropského parlamentu a Rady 2012/29/EU ze dne 25. října 2012, kterou se zavádí minimální pravidla pro práva, podporu a ochranu obětí trestného činu a kterou se nahrazuje rámcové rozhodnutí Rady 2001/220/SVV (Úř. věst. L 315, 14.11.2012, s. 57, ELI: </w:t>
      </w:r>
      <w:hyperlink r:id="rId15" w:history="1">
        <w:r w:rsidRPr="002457F3">
          <w:rPr>
            <w:rStyle w:val="Hyperlink"/>
            <w:sz w:val="24"/>
            <w:szCs w:val="24"/>
            <w:lang w:val="cs-CZ"/>
          </w:rPr>
          <w:t>http://data.europa.eu/eli/dir/2012/29/oj</w:t>
        </w:r>
      </w:hyperlink>
      <w:r w:rsidRPr="002457F3">
        <w:rPr>
          <w:sz w:val="24"/>
          <w:szCs w:val="24"/>
          <w:lang w:val="cs-CZ"/>
        </w:rPr>
        <w:t>).</w:t>
      </w:r>
    </w:p>
  </w:footnote>
  <w:footnote w:id="47">
    <w:p w14:paraId="57C0A9EA" w14:textId="177FC52B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Nařízení Rady (EU) 2017/1939 ze dne 12. října 2017, kterým se provádí posílená spolupráce za účelem zřízení Úřadu evropského veřejného žalobce (Úř. věst. L 283, 31.10.2017, s. 1, ELI: </w:t>
      </w:r>
      <w:hyperlink r:id="rId16" w:history="1">
        <w:r w:rsidRPr="002457F3">
          <w:rPr>
            <w:rStyle w:val="Hyperlink"/>
            <w:sz w:val="24"/>
            <w:szCs w:val="24"/>
            <w:lang w:val="cs-CZ"/>
          </w:rPr>
          <w:t>http://data.europa.eu/eli/reg/2017/1939/oj</w:t>
        </w:r>
      </w:hyperlink>
      <w:r w:rsidRPr="002457F3">
        <w:rPr>
          <w:sz w:val="24"/>
          <w:szCs w:val="24"/>
          <w:lang w:val="cs-CZ"/>
        </w:rPr>
        <w:t xml:space="preserve">). </w:t>
      </w:r>
    </w:p>
  </w:footnote>
  <w:footnote w:id="48">
    <w:p w14:paraId="15434FDA" w14:textId="647958B6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Směrnice Evropského parlamentu a Rady (EU) 2017/1371 ze dne 5. července 2017 o boji vedeném trestněprávní cestou proti podvodům poškozujícím finanční zájmy Unie (Úř. věst. L 198, 28.7.2017, s. 29, ELI: </w:t>
      </w:r>
      <w:hyperlink r:id="rId17" w:history="1">
        <w:r w:rsidRPr="002457F3">
          <w:rPr>
            <w:rStyle w:val="Hyperlink"/>
            <w:sz w:val="24"/>
            <w:szCs w:val="24"/>
            <w:lang w:val="cs-CZ"/>
          </w:rPr>
          <w:t>http://data.europa.eu/eli/dir/2017/1371/oj</w:t>
        </w:r>
      </w:hyperlink>
      <w:r w:rsidRPr="002457F3">
        <w:rPr>
          <w:sz w:val="24"/>
          <w:szCs w:val="24"/>
          <w:lang w:val="cs-CZ"/>
        </w:rPr>
        <w:t>).</w:t>
      </w:r>
    </w:p>
  </w:footnote>
  <w:footnote w:id="49">
    <w:p w14:paraId="525B0981" w14:textId="32EB2339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Nařízení Evropského parlamentu a Rady (EU) 2024/1083 ze dne 11. dubna 2024, kterým se stanoví společný rámec pro mediální služby na vnitřním trhu a mění směrnice 2010/13/EU (Evropský akt o svobodě médií) (Úř. věst. L, 2024/1083, 17.4.2024, ELI: </w:t>
      </w:r>
      <w:hyperlink r:id="rId18" w:history="1">
        <w:r w:rsidRPr="002457F3">
          <w:rPr>
            <w:rStyle w:val="Hyperlink"/>
            <w:sz w:val="24"/>
            <w:szCs w:val="24"/>
            <w:lang w:val="cs-CZ"/>
          </w:rPr>
          <w:t>http://data.europa.eu/eli/reg/2024/1083/oj</w:t>
        </w:r>
      </w:hyperlink>
      <w:r w:rsidRPr="002457F3">
        <w:rPr>
          <w:sz w:val="24"/>
          <w:szCs w:val="24"/>
          <w:lang w:val="cs-CZ"/>
        </w:rPr>
        <w:t>).</w:t>
      </w:r>
    </w:p>
  </w:footnote>
  <w:footnote w:id="50">
    <w:p w14:paraId="09887342" w14:textId="4E34A751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Směrnice Evropského parlamentu a Rady (EU) 2024/1069 ze dne 11. dubna 2024 o ochraně osob zapojených do účasti veřejnosti před zjevně neopodstatněnými žalobními návrhy nebo zneužívajícími soudními řízeními („strategická soudní řízení proti účasti veřejnosti“) (Úř. věst. L, 2024/1069, 16.4.2024, ELI: </w:t>
      </w:r>
      <w:hyperlink r:id="rId19" w:history="1">
        <w:r w:rsidR="001B2A8D" w:rsidRPr="002457F3">
          <w:rPr>
            <w:rStyle w:val="Hyperlink"/>
            <w:sz w:val="24"/>
            <w:szCs w:val="24"/>
            <w:lang w:val="cs-CZ"/>
          </w:rPr>
          <w:t>http://data.europa.eu/eli/dir/2024/</w:t>
        </w:r>
        <w:r w:rsidR="001B2A8D" w:rsidRPr="002457F3">
          <w:rPr>
            <w:rStyle w:val="Hyperlink"/>
            <w:sz w:val="24"/>
            <w:szCs w:val="24"/>
            <w:lang w:val="cs-CZ"/>
          </w:rPr>
          <w:br/>
          <w:t>1069/oj</w:t>
        </w:r>
      </w:hyperlink>
      <w:r w:rsidRPr="002457F3">
        <w:rPr>
          <w:sz w:val="24"/>
          <w:szCs w:val="24"/>
          <w:lang w:val="cs-CZ"/>
        </w:rPr>
        <w:t>).</w:t>
      </w:r>
    </w:p>
  </w:footnote>
  <w:footnote w:id="51">
    <w:p w14:paraId="52BA52D6" w14:textId="17F9E95D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Úř. věst. L 138, 17.5.2022, s. 30, ELI: </w:t>
      </w:r>
      <w:hyperlink r:id="rId20" w:history="1">
        <w:r w:rsidRPr="002457F3">
          <w:rPr>
            <w:rStyle w:val="Hyperlink"/>
            <w:sz w:val="24"/>
            <w:szCs w:val="24"/>
            <w:lang w:val="cs-CZ"/>
          </w:rPr>
          <w:t>http://data.europa.eu/eli/reco/2022/758/oj</w:t>
        </w:r>
      </w:hyperlink>
      <w:r w:rsidRPr="002457F3">
        <w:rPr>
          <w:sz w:val="24"/>
          <w:szCs w:val="24"/>
          <w:lang w:val="cs-CZ"/>
        </w:rPr>
        <w:t>.</w:t>
      </w:r>
    </w:p>
  </w:footnote>
  <w:footnote w:id="52">
    <w:p w14:paraId="5108CDDB" w14:textId="41447395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Nařízení Evropského parlamentu a Rady (EU) 2022/2065 ze dne 19. října 2022 o jednotném trhu digitálních služeb a o změně směrnice 2000/31/ES (nařízení o digitálních službách) (Úř. věst. L 277, 27.10.2022, s. 1, ELI: </w:t>
      </w:r>
      <w:hyperlink r:id="rId21" w:history="1">
        <w:r w:rsidR="001B2A8D" w:rsidRPr="002457F3">
          <w:rPr>
            <w:rStyle w:val="Hyperlink"/>
            <w:sz w:val="24"/>
            <w:szCs w:val="24"/>
            <w:lang w:val="cs-CZ"/>
          </w:rPr>
          <w:t>http://data.europa.eu/</w:t>
        </w:r>
        <w:r w:rsidR="001B2A8D" w:rsidRPr="002457F3">
          <w:rPr>
            <w:rStyle w:val="Hyperlink"/>
            <w:sz w:val="24"/>
            <w:szCs w:val="24"/>
            <w:lang w:val="cs-CZ"/>
          </w:rPr>
          <w:br/>
          <w:t>eli/reg/2022/2065/oj</w:t>
        </w:r>
      </w:hyperlink>
      <w:r w:rsidRPr="002457F3">
        <w:rPr>
          <w:sz w:val="24"/>
          <w:szCs w:val="24"/>
          <w:lang w:val="cs-CZ"/>
        </w:rPr>
        <w:t>).</w:t>
      </w:r>
    </w:p>
  </w:footnote>
  <w:footnote w:id="53">
    <w:p w14:paraId="59CE3CE6" w14:textId="59A8EB42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Směrnice Evropského parlamentu a Rady (EU) 2016/343 ze dne 9. března 2016, kterou se posilují některé aspekty presumpce neviny a právo být přítomen při trestním řízení před soudem (Úř. věst. L 65, 11.3.2016, s. 1, ELI: </w:t>
      </w:r>
      <w:hyperlink r:id="rId22" w:history="1">
        <w:r w:rsidR="001B2A8D" w:rsidRPr="002457F3">
          <w:rPr>
            <w:rStyle w:val="Hyperlink"/>
            <w:sz w:val="24"/>
            <w:szCs w:val="24"/>
            <w:lang w:val="cs-CZ"/>
          </w:rPr>
          <w:t>http://data.europa.eu/eli/dir/</w:t>
        </w:r>
        <w:r w:rsidR="001B2A8D" w:rsidRPr="002457F3">
          <w:rPr>
            <w:rStyle w:val="Hyperlink"/>
            <w:sz w:val="24"/>
            <w:szCs w:val="24"/>
            <w:lang w:val="cs-CZ"/>
          </w:rPr>
          <w:br/>
          <w:t>2016/343/oj</w:t>
        </w:r>
      </w:hyperlink>
      <w:r w:rsidRPr="002457F3">
        <w:rPr>
          <w:sz w:val="24"/>
          <w:szCs w:val="24"/>
          <w:lang w:val="cs-CZ"/>
        </w:rPr>
        <w:t>).</w:t>
      </w:r>
    </w:p>
  </w:footnote>
  <w:footnote w:id="54">
    <w:p w14:paraId="58032470" w14:textId="493E48AD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Stanovisko EHSV ze dne 14. února 2024 nazvané „Posílení občanského dialogu a participativní demokracie v EU: cesta vpřed“.</w:t>
      </w:r>
    </w:p>
  </w:footnote>
  <w:footnote w:id="55">
    <w:p w14:paraId="0B99B136" w14:textId="6CC6FD98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Civil Society Europe, „Joint Civil Society contribution on Civic Space to the 2024 Annual Rule of Law Report“, červen 2024.</w:t>
      </w:r>
    </w:p>
  </w:footnote>
  <w:footnote w:id="56">
    <w:p w14:paraId="223013E6" w14:textId="565C22A4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Agentura Evropské unie pro základní práva, „Addressing racism in policing“, Úřad pro publikace Evropské unie, 2024.</w:t>
      </w:r>
    </w:p>
  </w:footnote>
  <w:footnote w:id="57">
    <w:p w14:paraId="297829A2" w14:textId="39BE29BD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Rozsudky Evropského soudu pro lidská práva, </w:t>
      </w:r>
      <w:r w:rsidRPr="002457F3">
        <w:rPr>
          <w:i/>
          <w:iCs/>
          <w:sz w:val="24"/>
          <w:szCs w:val="24"/>
          <w:lang w:val="cs-CZ"/>
        </w:rPr>
        <w:t>Drozd</w:t>
      </w:r>
      <w:r w:rsidRPr="002457F3">
        <w:rPr>
          <w:sz w:val="24"/>
          <w:szCs w:val="24"/>
          <w:lang w:val="cs-CZ"/>
        </w:rPr>
        <w:t xml:space="preserve"> v. </w:t>
      </w:r>
      <w:r w:rsidRPr="002457F3">
        <w:rPr>
          <w:i/>
          <w:iCs/>
          <w:sz w:val="24"/>
          <w:szCs w:val="24"/>
          <w:lang w:val="cs-CZ"/>
        </w:rPr>
        <w:t>Polsko</w:t>
      </w:r>
      <w:r w:rsidRPr="002457F3">
        <w:rPr>
          <w:sz w:val="24"/>
          <w:szCs w:val="24"/>
          <w:lang w:val="cs-CZ"/>
        </w:rPr>
        <w:t>, 15158/19 ze dne 6. dubna 2023 a</w:t>
      </w:r>
      <w:r w:rsidRPr="002457F3">
        <w:rPr>
          <w:i/>
          <w:iCs/>
          <w:sz w:val="24"/>
          <w:szCs w:val="24"/>
          <w:lang w:val="cs-CZ"/>
        </w:rPr>
        <w:t xml:space="preserve"> Mándli a další</w:t>
      </w:r>
      <w:r w:rsidRPr="002457F3">
        <w:rPr>
          <w:sz w:val="24"/>
          <w:szCs w:val="24"/>
          <w:lang w:val="cs-CZ"/>
        </w:rPr>
        <w:t xml:space="preserve"> v. </w:t>
      </w:r>
      <w:r w:rsidRPr="002457F3">
        <w:rPr>
          <w:i/>
          <w:iCs/>
          <w:sz w:val="24"/>
          <w:szCs w:val="24"/>
          <w:lang w:val="cs-CZ"/>
        </w:rPr>
        <w:t>Maďarsko</w:t>
      </w:r>
      <w:r w:rsidRPr="002457F3">
        <w:rPr>
          <w:sz w:val="24"/>
          <w:szCs w:val="24"/>
          <w:lang w:val="cs-CZ"/>
        </w:rPr>
        <w:t>, 63164/16 ze dne 26. května 2020.</w:t>
      </w:r>
    </w:p>
  </w:footnote>
  <w:footnote w:id="58">
    <w:p w14:paraId="01E205D8" w14:textId="66921448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Směrnice Rady 2000/78/ES ze dne 27. listopadu 2000, kterou se stanoví obecný rámec pro rovné zacházení v zaměstnání a povolání (Úř. věst. L 303, 2.12.2000, s. 16, </w:t>
      </w:r>
      <w:hyperlink r:id="rId23" w:history="1">
        <w:r w:rsidRPr="002457F3">
          <w:rPr>
            <w:rStyle w:val="Hyperlink"/>
            <w:sz w:val="24"/>
            <w:szCs w:val="24"/>
            <w:lang w:val="cs-CZ"/>
          </w:rPr>
          <w:t>http://data.europa.eu/eli/dir/2000/78/oj</w:t>
        </w:r>
      </w:hyperlink>
      <w:r w:rsidRPr="002457F3">
        <w:rPr>
          <w:sz w:val="24"/>
          <w:szCs w:val="24"/>
          <w:lang w:val="cs-CZ"/>
        </w:rPr>
        <w:t xml:space="preserve">). </w:t>
      </w:r>
    </w:p>
  </w:footnote>
  <w:footnote w:id="59">
    <w:p w14:paraId="5706E8B6" w14:textId="479857F3" w:rsidR="00FE21BA" w:rsidRPr="002457F3" w:rsidRDefault="00FE21BA" w:rsidP="00BA4433">
      <w:pPr>
        <w:pStyle w:val="FootnoteText"/>
        <w:ind w:left="567" w:hanging="567"/>
        <w:rPr>
          <w:rStyle w:val="FootnoteReference"/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Návrh směrnice Rady o provádění zásady rovného zacházení s osobami bez ohledu na náboženské vyznání nebo víru, zdravotní postižení, věk nebo sexuální orientaci (</w:t>
      </w:r>
      <w:proofErr w:type="gramStart"/>
      <w:r w:rsidRPr="002457F3">
        <w:rPr>
          <w:sz w:val="24"/>
          <w:szCs w:val="24"/>
          <w:lang w:val="cs-CZ"/>
        </w:rPr>
        <w:t>COM(</w:t>
      </w:r>
      <w:proofErr w:type="gramEnd"/>
      <w:r w:rsidRPr="002457F3">
        <w:rPr>
          <w:sz w:val="24"/>
          <w:szCs w:val="24"/>
          <w:lang w:val="cs-CZ"/>
        </w:rPr>
        <w:t>2008)0426).</w:t>
      </w:r>
    </w:p>
  </w:footnote>
  <w:footnote w:id="60">
    <w:p w14:paraId="3F1A85A1" w14:textId="6211C8A6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Rozsudek Soudního dvora ze dne 5. června 2018, Relu Adrian Coman a další v. Inspectoratul General pentru Imigrări a Ministerul Afacerilor Interne, C‑673/16, ECLI:EU:C:2018:385.</w:t>
      </w:r>
    </w:p>
  </w:footnote>
  <w:footnote w:id="61">
    <w:p w14:paraId="77855776" w14:textId="6CDDF622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Směrnice Evropského parlamentu a Rady 2004/38/ES ze dne 29. dubna 2004 o právu občanů Unie a jejich rodinných příslušníků svobodně se pohybovat a pobývat na území členských států, o změně nařízení (EHS) č. 1612/68 a o zrušení směrnic 64/221/EHS, 68/360/EHS, 72/194/EHS, 73/148/EHS, 75/34/EHS, 75/35/EHS, 90/364/EHS, 90/365/EHS a 93/96/EHS (Úř. věst. L 158, 30.4.2004, s. 77, ELI: </w:t>
      </w:r>
      <w:hyperlink r:id="rId24" w:history="1">
        <w:r w:rsidRPr="002457F3">
          <w:rPr>
            <w:rStyle w:val="Hyperlink"/>
            <w:sz w:val="24"/>
            <w:szCs w:val="24"/>
            <w:lang w:val="cs-CZ"/>
          </w:rPr>
          <w:t>http://data.europa.eu/eli/dir/2004/38/oj</w:t>
        </w:r>
      </w:hyperlink>
      <w:r w:rsidRPr="002457F3">
        <w:rPr>
          <w:sz w:val="24"/>
          <w:szCs w:val="24"/>
          <w:lang w:val="cs-CZ"/>
        </w:rPr>
        <w:t>).</w:t>
      </w:r>
    </w:p>
  </w:footnote>
  <w:footnote w:id="62">
    <w:p w14:paraId="5179523C" w14:textId="2630AFA2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Směrnice Evropského parlamentu a Rady (EU) 2024/1500 ze dne 14. května 2024 o standardech pro orgány pro rovné zacházení v oblasti rovného zacházení se ženami a muži a rovných příležitostí pro ženy a muže v otázkách zaměstnání a povolání a o změně směrnic 2006/54/ES a 2010/41/EU (Úř. věst. L, 2024/1500, 29.5.2024, ELI: </w:t>
      </w:r>
      <w:hyperlink r:id="rId25" w:history="1">
        <w:r w:rsidRPr="002457F3">
          <w:rPr>
            <w:rStyle w:val="Hyperlink"/>
            <w:sz w:val="24"/>
            <w:szCs w:val="24"/>
            <w:lang w:val="cs-CZ"/>
          </w:rPr>
          <w:t>http://data.europa.eu/eli/dir/2024/1500/oj</w:t>
        </w:r>
      </w:hyperlink>
      <w:r w:rsidRPr="002457F3">
        <w:rPr>
          <w:sz w:val="24"/>
          <w:szCs w:val="24"/>
          <w:lang w:val="cs-CZ"/>
        </w:rPr>
        <w:t>).</w:t>
      </w:r>
    </w:p>
  </w:footnote>
  <w:footnote w:id="63">
    <w:p w14:paraId="3654B81E" w14:textId="65183D50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Směrnice Rady (EU) 2024/1499 ze dne 7. května 2024 o standardech pro orgány pro rovné zacházení v oblasti rovného zacházení s osobami bez ohledu na jejich rasu nebo etnický původ, rovného zacházení s osobami v otázkách zaměstnání a povolání bez ohledu na jejich náboženské vyznání nebo přesvědčení, zdravotní postižení, věk nebo sexuální orientaci, rovného zacházení se ženami a muži v otázkách sociálního zabezpečení a v přístupu ke zboží a službám a jejich poskytování a o změně směrnic 2000/43/ES a 2004/113/ES (Úř. věst. L, 2024/1499, 29.5.2024, ELI: </w:t>
      </w:r>
      <w:hyperlink r:id="rId26" w:history="1">
        <w:r w:rsidR="001B2A8D" w:rsidRPr="002457F3">
          <w:rPr>
            <w:rStyle w:val="Hyperlink"/>
            <w:sz w:val="24"/>
            <w:szCs w:val="24"/>
            <w:lang w:val="cs-CZ"/>
          </w:rPr>
          <w:t>http://data.</w:t>
        </w:r>
        <w:r w:rsidR="001B2A8D" w:rsidRPr="002457F3">
          <w:rPr>
            <w:rStyle w:val="Hyperlink"/>
            <w:sz w:val="24"/>
            <w:szCs w:val="24"/>
            <w:lang w:val="cs-CZ"/>
          </w:rPr>
          <w:br/>
          <w:t>europa.eu/eli/dir/2024/1499/oj</w:t>
        </w:r>
      </w:hyperlink>
      <w:r w:rsidRPr="002457F3">
        <w:rPr>
          <w:sz w:val="24"/>
          <w:szCs w:val="24"/>
          <w:lang w:val="cs-CZ"/>
        </w:rPr>
        <w:t xml:space="preserve">). </w:t>
      </w:r>
    </w:p>
  </w:footnote>
  <w:footnote w:id="64">
    <w:p w14:paraId="6B281516" w14:textId="697A63AF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Návrh směrnice Rady o provádění zásady rovného zacházení s osobami bez ohledu na náboženské vyznání nebo víru, zdravotní postižení, věk nebo sexuální orientaci (</w:t>
      </w:r>
      <w:proofErr w:type="gramStart"/>
      <w:r w:rsidRPr="002457F3">
        <w:rPr>
          <w:sz w:val="24"/>
          <w:szCs w:val="24"/>
          <w:lang w:val="cs-CZ"/>
        </w:rPr>
        <w:t>COM(</w:t>
      </w:r>
      <w:proofErr w:type="gramEnd"/>
      <w:r w:rsidRPr="002457F3">
        <w:rPr>
          <w:sz w:val="24"/>
          <w:szCs w:val="24"/>
          <w:lang w:val="cs-CZ"/>
        </w:rPr>
        <w:t>2008)0</w:t>
      </w:r>
      <w:r w:rsidR="00FF7631" w:rsidRPr="002457F3">
        <w:rPr>
          <w:sz w:val="24"/>
          <w:szCs w:val="24"/>
          <w:lang w:val="cs-CZ"/>
        </w:rPr>
        <w:t>426</w:t>
      </w:r>
      <w:r w:rsidRPr="002457F3">
        <w:rPr>
          <w:sz w:val="24"/>
          <w:szCs w:val="24"/>
          <w:lang w:val="cs-CZ"/>
        </w:rPr>
        <w:t>).</w:t>
      </w:r>
    </w:p>
  </w:footnote>
  <w:footnote w:id="65">
    <w:p w14:paraId="7BBDE40D" w14:textId="174F14AE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>Sdělení Komise ze dne 13. října 2022 nazvané „Prosazování práva EU pro Evropu, která přináší výsledky“ (</w:t>
      </w:r>
      <w:proofErr w:type="gramStart"/>
      <w:r w:rsidRPr="002457F3">
        <w:rPr>
          <w:sz w:val="24"/>
          <w:szCs w:val="24"/>
          <w:lang w:val="cs-CZ"/>
        </w:rPr>
        <w:t>COM(</w:t>
      </w:r>
      <w:proofErr w:type="gramEnd"/>
      <w:r w:rsidRPr="002457F3">
        <w:rPr>
          <w:sz w:val="24"/>
          <w:szCs w:val="24"/>
          <w:lang w:val="cs-CZ"/>
        </w:rPr>
        <w:t>2022)0518)</w:t>
      </w:r>
      <w:r w:rsidR="007C2654" w:rsidRPr="002457F3">
        <w:rPr>
          <w:sz w:val="24"/>
          <w:szCs w:val="24"/>
          <w:lang w:val="cs-CZ"/>
        </w:rPr>
        <w:t>.</w:t>
      </w:r>
    </w:p>
  </w:footnote>
  <w:footnote w:id="66">
    <w:p w14:paraId="3EE2B8B0" w14:textId="4EEE57C9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Nařízení Evropského parlamentu a Rady (EU) 2022/1925 ze dne 14. září 2022 o spravedlivých trzích otevřených hospodářské soutěži v digitálním odvětví a o změně směrnic (EU) 2019/1937 a (EU) 2020/1828 (nařízení o digitálních trzích) (Úř. věst. L 265, 12.10.2022, s. 1, ELI: </w:t>
      </w:r>
      <w:hyperlink r:id="rId27" w:history="1">
        <w:r w:rsidRPr="002457F3">
          <w:rPr>
            <w:rStyle w:val="Hyperlink"/>
            <w:sz w:val="24"/>
            <w:szCs w:val="24"/>
            <w:lang w:val="cs-CZ"/>
          </w:rPr>
          <w:t>http://data.europa.eu/eli/reg/2022/1925/oj</w:t>
        </w:r>
      </w:hyperlink>
      <w:r w:rsidRPr="002457F3">
        <w:rPr>
          <w:sz w:val="24"/>
          <w:szCs w:val="24"/>
          <w:lang w:val="cs-CZ"/>
        </w:rPr>
        <w:t xml:space="preserve">). </w:t>
      </w:r>
    </w:p>
  </w:footnote>
  <w:footnote w:id="67">
    <w:p w14:paraId="1AD41C6B" w14:textId="1FF3A0E1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Nařízení Evropského parlamentu a Rady (EU) 2024/1689 ze dne 13. června 2024, kterým se stanoví harmonizovaná pravidla pro umělou inteligenci a mění nařízení (ES) č. 300/2008, (EU) č. 167/2013, (EU) č. 168/2013, (EU) 2018/858, (EU) 2018/1139 a (EU) 2019/2144 a směrnice 2014/90/EU, (EU) 2016/797 a (EU) 2020/1828 (akt o umělé inteligenci) (Úř. věst. L, 2024/1689, 12.7.2024, ELI: </w:t>
      </w:r>
      <w:hyperlink r:id="rId28" w:history="1">
        <w:r w:rsidR="00951832" w:rsidRPr="002457F3">
          <w:rPr>
            <w:rStyle w:val="Hyperlink"/>
            <w:sz w:val="24"/>
            <w:szCs w:val="24"/>
            <w:lang w:val="cs-CZ"/>
          </w:rPr>
          <w:t>http://data.europa.eu/</w:t>
        </w:r>
        <w:r w:rsidR="00951832" w:rsidRPr="002457F3">
          <w:rPr>
            <w:rStyle w:val="Hyperlink"/>
            <w:sz w:val="24"/>
            <w:szCs w:val="24"/>
            <w:lang w:val="cs-CZ"/>
          </w:rPr>
          <w:br/>
          <w:t>eli/reg/2024/1689/oj</w:t>
        </w:r>
      </w:hyperlink>
      <w:r w:rsidRPr="002457F3">
        <w:rPr>
          <w:sz w:val="24"/>
          <w:szCs w:val="24"/>
          <w:lang w:val="cs-CZ"/>
        </w:rPr>
        <w:t>).</w:t>
      </w:r>
    </w:p>
  </w:footnote>
  <w:footnote w:id="68">
    <w:p w14:paraId="5652FE99" w14:textId="6396BAEA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Nařízení Evropského parlamentu a Rady (EU) 2024/900 ze dne 13. března 2024 o transparentnosti a cílení politické reklamy (Úř. věst. L, 2024/900, 20.3.2024, ELI: </w:t>
      </w:r>
      <w:hyperlink r:id="rId29" w:history="1">
        <w:r w:rsidRPr="002457F3">
          <w:rPr>
            <w:rStyle w:val="Hyperlink"/>
            <w:sz w:val="24"/>
            <w:szCs w:val="24"/>
            <w:lang w:val="cs-CZ"/>
          </w:rPr>
          <w:t>http://data.europa.eu/eli/reg/2024/900/oj</w:t>
        </w:r>
      </w:hyperlink>
      <w:r w:rsidRPr="002457F3">
        <w:rPr>
          <w:sz w:val="24"/>
          <w:szCs w:val="24"/>
          <w:lang w:val="cs-CZ"/>
        </w:rPr>
        <w:t xml:space="preserve">). </w:t>
      </w:r>
    </w:p>
  </w:footnote>
  <w:footnote w:id="69">
    <w:p w14:paraId="48FE2998" w14:textId="59A1C3FB" w:rsidR="00FE21BA" w:rsidRPr="002457F3" w:rsidRDefault="00FE21BA" w:rsidP="00BA4433">
      <w:pPr>
        <w:pStyle w:val="FootnoteText"/>
        <w:ind w:left="567" w:hanging="567"/>
        <w:rPr>
          <w:sz w:val="24"/>
          <w:szCs w:val="24"/>
          <w:lang w:val="cs-CZ"/>
        </w:rPr>
      </w:pPr>
      <w:r w:rsidRPr="002457F3">
        <w:rPr>
          <w:rStyle w:val="FootnoteReference"/>
          <w:sz w:val="24"/>
          <w:szCs w:val="24"/>
          <w:lang w:val="cs-CZ"/>
        </w:rPr>
        <w:footnoteRef/>
      </w:r>
      <w:r w:rsidR="00BA4433" w:rsidRPr="002457F3">
        <w:rPr>
          <w:sz w:val="24"/>
          <w:szCs w:val="24"/>
          <w:lang w:val="cs-CZ"/>
        </w:rPr>
        <w:t xml:space="preserve"> </w:t>
      </w:r>
      <w:r w:rsidR="00BA4433" w:rsidRPr="002457F3">
        <w:rPr>
          <w:sz w:val="24"/>
          <w:szCs w:val="24"/>
          <w:lang w:val="cs-CZ"/>
        </w:rPr>
        <w:tab/>
      </w:r>
      <w:r w:rsidRPr="002457F3">
        <w:rPr>
          <w:sz w:val="24"/>
          <w:szCs w:val="24"/>
          <w:lang w:val="cs-CZ"/>
        </w:rPr>
        <w:t xml:space="preserve">Europol, „AI and policing – The benefits and challenges of artificial intelligence for law enforcement“ (Umělá inteligence a policejní práce – přínosy a výzvy umělé inteligence pro prosazování práva), Úřad pro publikace Evropské unie, 2024.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A21CF" w14:textId="77777777" w:rsidR="00064002" w:rsidRPr="00BA443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F015F" w14:textId="77777777" w:rsidR="00064002" w:rsidRPr="00BA443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27CB3" w14:textId="77777777" w:rsidR="00064002" w:rsidRPr="00BA44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F654581"/>
    <w:multiLevelType w:val="hybridMultilevel"/>
    <w:tmpl w:val="F16C6036"/>
    <w:lvl w:ilvl="0" w:tplc="C5026E9E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965C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1C85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28D3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3081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FA59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E423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B8C5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84E6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6C09CF"/>
    <w:multiLevelType w:val="hybridMultilevel"/>
    <w:tmpl w:val="0DAA9F68"/>
    <w:lvl w:ilvl="0" w:tplc="B3961082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B4A832F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E0A5B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1EAD78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840A6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702130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1F0DD1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7B0F51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EA24E6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0611963">
    <w:abstractNumId w:val="9"/>
  </w:num>
  <w:num w:numId="2" w16cid:durableId="1186097989">
    <w:abstractNumId w:val="9"/>
  </w:num>
  <w:num w:numId="3" w16cid:durableId="1420176666">
    <w:abstractNumId w:val="7"/>
  </w:num>
  <w:num w:numId="4" w16cid:durableId="1981298638">
    <w:abstractNumId w:val="7"/>
  </w:num>
  <w:num w:numId="5" w16cid:durableId="1609390849">
    <w:abstractNumId w:val="6"/>
  </w:num>
  <w:num w:numId="6" w16cid:durableId="444152238">
    <w:abstractNumId w:val="6"/>
  </w:num>
  <w:num w:numId="7" w16cid:durableId="1235313260">
    <w:abstractNumId w:val="5"/>
  </w:num>
  <w:num w:numId="8" w16cid:durableId="1102216062">
    <w:abstractNumId w:val="5"/>
  </w:num>
  <w:num w:numId="9" w16cid:durableId="881984438">
    <w:abstractNumId w:val="4"/>
  </w:num>
  <w:num w:numId="10" w16cid:durableId="1253706034">
    <w:abstractNumId w:val="4"/>
  </w:num>
  <w:num w:numId="11" w16cid:durableId="2088569808">
    <w:abstractNumId w:val="8"/>
  </w:num>
  <w:num w:numId="12" w16cid:durableId="1616323034">
    <w:abstractNumId w:val="8"/>
  </w:num>
  <w:num w:numId="13" w16cid:durableId="149248930">
    <w:abstractNumId w:val="3"/>
  </w:num>
  <w:num w:numId="14" w16cid:durableId="342363277">
    <w:abstractNumId w:val="3"/>
  </w:num>
  <w:num w:numId="15" w16cid:durableId="559823000">
    <w:abstractNumId w:val="2"/>
  </w:num>
  <w:num w:numId="16" w16cid:durableId="1949118578">
    <w:abstractNumId w:val="2"/>
  </w:num>
  <w:num w:numId="17" w16cid:durableId="1664624065">
    <w:abstractNumId w:val="1"/>
  </w:num>
  <w:num w:numId="18" w16cid:durableId="1926764798">
    <w:abstractNumId w:val="1"/>
  </w:num>
  <w:num w:numId="19" w16cid:durableId="789669294">
    <w:abstractNumId w:val="0"/>
  </w:num>
  <w:num w:numId="20" w16cid:durableId="739523294">
    <w:abstractNumId w:val="0"/>
  </w:num>
  <w:num w:numId="21" w16cid:durableId="1516773357">
    <w:abstractNumId w:val="9"/>
  </w:num>
  <w:num w:numId="22" w16cid:durableId="1994988657">
    <w:abstractNumId w:val="7"/>
  </w:num>
  <w:num w:numId="23" w16cid:durableId="1438793974">
    <w:abstractNumId w:val="6"/>
  </w:num>
  <w:num w:numId="24" w16cid:durableId="1563827821">
    <w:abstractNumId w:val="5"/>
  </w:num>
  <w:num w:numId="25" w16cid:durableId="1619410189">
    <w:abstractNumId w:val="4"/>
  </w:num>
  <w:num w:numId="26" w16cid:durableId="78716491">
    <w:abstractNumId w:val="8"/>
  </w:num>
  <w:num w:numId="27" w16cid:durableId="917717498">
    <w:abstractNumId w:val="3"/>
  </w:num>
  <w:num w:numId="28" w16cid:durableId="2064599066">
    <w:abstractNumId w:val="2"/>
  </w:num>
  <w:num w:numId="29" w16cid:durableId="1380664251">
    <w:abstractNumId w:val="1"/>
  </w:num>
  <w:num w:numId="30" w16cid:durableId="167647596">
    <w:abstractNumId w:val="0"/>
  </w:num>
  <w:num w:numId="31" w16cid:durableId="1802725852">
    <w:abstractNumId w:val="9"/>
  </w:num>
  <w:num w:numId="32" w16cid:durableId="1224560171">
    <w:abstractNumId w:val="7"/>
  </w:num>
  <w:num w:numId="33" w16cid:durableId="2091927263">
    <w:abstractNumId w:val="6"/>
  </w:num>
  <w:num w:numId="34" w16cid:durableId="45841049">
    <w:abstractNumId w:val="5"/>
  </w:num>
  <w:num w:numId="35" w16cid:durableId="716124698">
    <w:abstractNumId w:val="4"/>
  </w:num>
  <w:num w:numId="36" w16cid:durableId="668875761">
    <w:abstractNumId w:val="8"/>
  </w:num>
  <w:num w:numId="37" w16cid:durableId="774787901">
    <w:abstractNumId w:val="3"/>
  </w:num>
  <w:num w:numId="38" w16cid:durableId="1867403894">
    <w:abstractNumId w:val="2"/>
  </w:num>
  <w:num w:numId="39" w16cid:durableId="1219243979">
    <w:abstractNumId w:val="1"/>
  </w:num>
  <w:num w:numId="40" w16cid:durableId="1017075830">
    <w:abstractNumId w:val="0"/>
  </w:num>
  <w:num w:numId="41" w16cid:durableId="1551333703">
    <w:abstractNumId w:val="10"/>
  </w:num>
  <w:num w:numId="42" w16cid:durableId="529076877">
    <w:abstractNumId w:val="10"/>
  </w:num>
  <w:num w:numId="43" w16cid:durableId="937061207">
    <w:abstractNumId w:val="10"/>
  </w:num>
  <w:num w:numId="44" w16cid:durableId="1839229773">
    <w:abstractNumId w:val="11"/>
  </w:num>
  <w:num w:numId="45" w16cid:durableId="1971669495">
    <w:abstractNumId w:val="12"/>
  </w:num>
  <w:num w:numId="46" w16cid:durableId="126861280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00/2025"/>
    <w:docVar w:name="dvlangue" w:val="CS"/>
    <w:docVar w:name="dvnumam" w:val="0"/>
    <w:docVar w:name="dvpe" w:val="767.867"/>
    <w:docVar w:name="dvrapporteur" w:val="Zpravodajka: "/>
    <w:docVar w:name="dvtitre" w:val="Usnesení Evropského parlamentu ze dne 18. června 2025 o zprávě Komise o právním státu za rok 2024(2024/2078(INI))"/>
  </w:docVars>
  <w:rsids>
    <w:rsidRoot w:val="000B700D"/>
    <w:rsid w:val="00002272"/>
    <w:rsid w:val="00064002"/>
    <w:rsid w:val="000677B9"/>
    <w:rsid w:val="000831BA"/>
    <w:rsid w:val="000A42CC"/>
    <w:rsid w:val="000B700D"/>
    <w:rsid w:val="000E7DD9"/>
    <w:rsid w:val="000F37B6"/>
    <w:rsid w:val="0010095E"/>
    <w:rsid w:val="00125B37"/>
    <w:rsid w:val="00175B8E"/>
    <w:rsid w:val="00187494"/>
    <w:rsid w:val="001B2A8D"/>
    <w:rsid w:val="001F32AE"/>
    <w:rsid w:val="002457F3"/>
    <w:rsid w:val="002767FF"/>
    <w:rsid w:val="002B18FE"/>
    <w:rsid w:val="002B5493"/>
    <w:rsid w:val="002C43F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614"/>
    <w:rsid w:val="00545827"/>
    <w:rsid w:val="00560270"/>
    <w:rsid w:val="005C2568"/>
    <w:rsid w:val="005F1B17"/>
    <w:rsid w:val="006037C0"/>
    <w:rsid w:val="006631B6"/>
    <w:rsid w:val="00680577"/>
    <w:rsid w:val="00690E4C"/>
    <w:rsid w:val="006F74FA"/>
    <w:rsid w:val="00731ADD"/>
    <w:rsid w:val="00734777"/>
    <w:rsid w:val="00747932"/>
    <w:rsid w:val="00751A4A"/>
    <w:rsid w:val="00756632"/>
    <w:rsid w:val="00762C74"/>
    <w:rsid w:val="00765A25"/>
    <w:rsid w:val="00786EC0"/>
    <w:rsid w:val="007C2654"/>
    <w:rsid w:val="007D1690"/>
    <w:rsid w:val="007E22AD"/>
    <w:rsid w:val="00817416"/>
    <w:rsid w:val="00842779"/>
    <w:rsid w:val="00853AC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832"/>
    <w:rsid w:val="00981893"/>
    <w:rsid w:val="009B388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4433"/>
    <w:rsid w:val="00BD48FE"/>
    <w:rsid w:val="00BD7BD8"/>
    <w:rsid w:val="00BE6ADC"/>
    <w:rsid w:val="00C05BFE"/>
    <w:rsid w:val="00C23CD4"/>
    <w:rsid w:val="00C61C0C"/>
    <w:rsid w:val="00C941CB"/>
    <w:rsid w:val="00CB5A0E"/>
    <w:rsid w:val="00CC2357"/>
    <w:rsid w:val="00CF071A"/>
    <w:rsid w:val="00D058B8"/>
    <w:rsid w:val="00D10CE9"/>
    <w:rsid w:val="00D42920"/>
    <w:rsid w:val="00D56C11"/>
    <w:rsid w:val="00D834A0"/>
    <w:rsid w:val="00D872DF"/>
    <w:rsid w:val="00D91E21"/>
    <w:rsid w:val="00DA7FCD"/>
    <w:rsid w:val="00DB77E5"/>
    <w:rsid w:val="00E365E1"/>
    <w:rsid w:val="00E820A4"/>
    <w:rsid w:val="00EB006A"/>
    <w:rsid w:val="00EB4772"/>
    <w:rsid w:val="00ED169E"/>
    <w:rsid w:val="00ED4235"/>
    <w:rsid w:val="00EE6B93"/>
    <w:rsid w:val="00F04346"/>
    <w:rsid w:val="00F075DC"/>
    <w:rsid w:val="00F149E9"/>
    <w:rsid w:val="00F5134D"/>
    <w:rsid w:val="00F74202"/>
    <w:rsid w:val="00F87713"/>
    <w:rsid w:val="00FB4360"/>
    <w:rsid w:val="00FD0C70"/>
    <w:rsid w:val="00FE21BA"/>
    <w:rsid w:val="00FF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E0812E"/>
  <w15:chartTrackingRefBased/>
  <w15:docId w15:val="{8C8FDF15-F30F-44FD-AE66-6F75401A8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E21B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E21B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E21B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E21B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E21B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E21BA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FE21BA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FE21BA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FE21BA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FE21BA"/>
    <w:pPr>
      <w:widowControl/>
      <w:spacing w:after="240"/>
    </w:pPr>
    <w:rPr>
      <w:lang w:val="en-GB"/>
    </w:rPr>
  </w:style>
  <w:style w:type="paragraph" w:customStyle="1" w:styleId="EPComma">
    <w:name w:val="EPComma"/>
    <w:basedOn w:val="Normal"/>
    <w:rsid w:val="00FE21BA"/>
    <w:pPr>
      <w:spacing w:before="480" w:after="240"/>
    </w:pPr>
    <w:rPr>
      <w:snapToGrid w:val="0"/>
      <w:lang w:eastAsia="en-US"/>
    </w:rPr>
  </w:style>
  <w:style w:type="paragraph" w:customStyle="1" w:styleId="CoverNormal">
    <w:name w:val="CoverNormal"/>
    <w:basedOn w:val="Normal"/>
    <w:rsid w:val="00FE21BA"/>
    <w:pPr>
      <w:ind w:left="1418"/>
    </w:pPr>
    <w:rPr>
      <w:snapToGrid w:val="0"/>
      <w:lang w:eastAsia="en-US"/>
    </w:rPr>
  </w:style>
  <w:style w:type="paragraph" w:customStyle="1" w:styleId="TOCRight">
    <w:name w:val="TOC Right"/>
    <w:basedOn w:val="Normal"/>
    <w:rsid w:val="00FE21BA"/>
    <w:pPr>
      <w:spacing w:after="240"/>
      <w:jc w:val="right"/>
    </w:pPr>
    <w:rPr>
      <w:snapToGrid w:val="0"/>
      <w:lang w:eastAsia="en-US"/>
    </w:rPr>
  </w:style>
  <w:style w:type="paragraph" w:customStyle="1" w:styleId="CoverDateRefPart">
    <w:name w:val="CoverDateRefPart"/>
    <w:basedOn w:val="Normal"/>
    <w:rsid w:val="00FE21BA"/>
    <w:pPr>
      <w:spacing w:after="1200"/>
    </w:pPr>
    <w:rPr>
      <w:snapToGrid w:val="0"/>
      <w:lang w:eastAsia="en-US"/>
    </w:rPr>
  </w:style>
  <w:style w:type="paragraph" w:customStyle="1" w:styleId="EPFooter2">
    <w:name w:val="EPFooter2"/>
    <w:basedOn w:val="Normal"/>
    <w:next w:val="Normal"/>
    <w:rsid w:val="00FE21B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paragraph" w:customStyle="1" w:styleId="NormalBold">
    <w:name w:val="NormalBold"/>
    <w:basedOn w:val="Normal"/>
    <w:link w:val="NormalBoldChar"/>
    <w:rsid w:val="00FE21BA"/>
    <w:rPr>
      <w:b/>
      <w:snapToGrid w:val="0"/>
      <w:lang w:eastAsia="en-US"/>
    </w:rPr>
  </w:style>
  <w:style w:type="paragraph" w:customStyle="1" w:styleId="CoverReference">
    <w:name w:val="CoverReference"/>
    <w:basedOn w:val="Normal"/>
    <w:rsid w:val="00FE21BA"/>
    <w:pPr>
      <w:spacing w:before="1080"/>
      <w:jc w:val="right"/>
    </w:pPr>
    <w:rPr>
      <w:rFonts w:ascii="Arial" w:hAnsi="Arial" w:cs="Arial"/>
      <w:b/>
      <w:snapToGrid w:val="0"/>
      <w:lang w:eastAsia="en-US"/>
    </w:rPr>
  </w:style>
  <w:style w:type="paragraph" w:customStyle="1" w:styleId="CoverNormal24a">
    <w:name w:val="CoverNormal24a"/>
    <w:basedOn w:val="Normal"/>
    <w:rsid w:val="00FE21BA"/>
    <w:pPr>
      <w:spacing w:after="480"/>
      <w:ind w:left="1417"/>
    </w:pPr>
    <w:rPr>
      <w:snapToGrid w:val="0"/>
      <w:lang w:eastAsia="en-US"/>
    </w:rPr>
  </w:style>
  <w:style w:type="paragraph" w:customStyle="1" w:styleId="TOCPage">
    <w:name w:val="TOC Page"/>
    <w:basedOn w:val="Normal"/>
    <w:next w:val="TOC1"/>
    <w:rsid w:val="00FE21BA"/>
    <w:pPr>
      <w:keepNext/>
      <w:spacing w:after="240"/>
      <w:jc w:val="right"/>
    </w:pPr>
    <w:rPr>
      <w:rFonts w:ascii="Arial" w:hAnsi="Arial"/>
      <w:b/>
      <w:snapToGrid w:val="0"/>
      <w:lang w:eastAsia="en-US"/>
    </w:rPr>
  </w:style>
  <w:style w:type="paragraph" w:customStyle="1" w:styleId="CoverDocType24a">
    <w:name w:val="CoverDocType24a"/>
    <w:basedOn w:val="Normal"/>
    <w:rsid w:val="00FE21BA"/>
    <w:pPr>
      <w:spacing w:after="480"/>
      <w:ind w:left="1418"/>
    </w:pPr>
    <w:rPr>
      <w:rFonts w:ascii="Arial" w:hAnsi="Arial"/>
      <w:b/>
      <w:snapToGrid w:val="0"/>
      <w:sz w:val="48"/>
      <w:lang w:eastAsia="en-US"/>
    </w:rPr>
  </w:style>
  <w:style w:type="paragraph" w:customStyle="1" w:styleId="NormalHanging12a">
    <w:name w:val="NormalHanging12a"/>
    <w:basedOn w:val="Normal"/>
    <w:rsid w:val="00FE21BA"/>
    <w:pPr>
      <w:widowControl/>
      <w:spacing w:after="240"/>
      <w:ind w:left="567" w:hanging="567"/>
    </w:pPr>
    <w:rPr>
      <w:snapToGrid w:val="0"/>
      <w:lang w:eastAsia="en-US"/>
    </w:rPr>
  </w:style>
  <w:style w:type="paragraph" w:styleId="TOC4">
    <w:name w:val="toc 4"/>
    <w:basedOn w:val="Normal"/>
    <w:next w:val="Normal"/>
    <w:autoRedefine/>
    <w:rsid w:val="00FE21BA"/>
    <w:pPr>
      <w:ind w:left="720"/>
    </w:pPr>
    <w:rPr>
      <w:snapToGrid w:val="0"/>
      <w:lang w:eastAsia="en-US"/>
    </w:rPr>
  </w:style>
  <w:style w:type="paragraph" w:customStyle="1" w:styleId="PageHeading">
    <w:name w:val="PageHeading"/>
    <w:basedOn w:val="Normal"/>
    <w:rsid w:val="00FE21BA"/>
    <w:pPr>
      <w:keepNext/>
      <w:spacing w:after="480"/>
      <w:jc w:val="center"/>
    </w:pPr>
    <w:rPr>
      <w:rFonts w:ascii="Arial" w:hAnsi="Arial" w:cs="Arial"/>
      <w:b/>
      <w:snapToGrid w:val="0"/>
      <w:lang w:eastAsia="en-US"/>
    </w:rPr>
  </w:style>
  <w:style w:type="paragraph" w:styleId="TOC5">
    <w:name w:val="toc 5"/>
    <w:basedOn w:val="Normal"/>
    <w:next w:val="Normal"/>
    <w:autoRedefine/>
    <w:rsid w:val="00FE21BA"/>
    <w:pPr>
      <w:ind w:left="960"/>
    </w:pPr>
    <w:rPr>
      <w:snapToGrid w:val="0"/>
      <w:lang w:eastAsia="en-US"/>
    </w:rPr>
  </w:style>
  <w:style w:type="paragraph" w:styleId="TOC6">
    <w:name w:val="toc 6"/>
    <w:basedOn w:val="Normal"/>
    <w:next w:val="Normal"/>
    <w:autoRedefine/>
    <w:rsid w:val="00FE21BA"/>
    <w:pPr>
      <w:ind w:left="1200"/>
    </w:pPr>
    <w:rPr>
      <w:snapToGrid w:val="0"/>
      <w:lang w:eastAsia="en-US"/>
    </w:rPr>
  </w:style>
  <w:style w:type="paragraph" w:styleId="TOC7">
    <w:name w:val="toc 7"/>
    <w:basedOn w:val="Normal"/>
    <w:next w:val="Normal"/>
    <w:autoRedefine/>
    <w:rsid w:val="00FE21BA"/>
    <w:pPr>
      <w:ind w:left="1440"/>
    </w:pPr>
    <w:rPr>
      <w:snapToGrid w:val="0"/>
      <w:lang w:eastAsia="en-US"/>
    </w:rPr>
  </w:style>
  <w:style w:type="paragraph" w:styleId="TOC8">
    <w:name w:val="toc 8"/>
    <w:basedOn w:val="Normal"/>
    <w:next w:val="Normal"/>
    <w:autoRedefine/>
    <w:rsid w:val="00FE21BA"/>
    <w:pPr>
      <w:ind w:left="1680"/>
    </w:pPr>
    <w:rPr>
      <w:snapToGrid w:val="0"/>
      <w:lang w:eastAsia="en-US"/>
    </w:rPr>
  </w:style>
  <w:style w:type="paragraph" w:styleId="TOC9">
    <w:name w:val="toc 9"/>
    <w:basedOn w:val="Normal"/>
    <w:next w:val="Normal"/>
    <w:autoRedefine/>
    <w:rsid w:val="00FE21BA"/>
    <w:pPr>
      <w:ind w:left="1920"/>
    </w:pPr>
    <w:rPr>
      <w:snapToGrid w:val="0"/>
      <w:lang w:eastAsia="en-US"/>
    </w:rPr>
  </w:style>
  <w:style w:type="paragraph" w:customStyle="1" w:styleId="TOCSubHeading">
    <w:name w:val="TOC SubHeading"/>
    <w:basedOn w:val="Normal"/>
    <w:rsid w:val="00FE21BA"/>
    <w:pPr>
      <w:spacing w:before="480" w:after="240"/>
    </w:pPr>
    <w:rPr>
      <w:b/>
      <w:snapToGrid w:val="0"/>
      <w:lang w:eastAsia="en-US"/>
    </w:rPr>
  </w:style>
  <w:style w:type="paragraph" w:customStyle="1" w:styleId="TOCTabLeader">
    <w:name w:val="TOC TabLeader"/>
    <w:basedOn w:val="Normal"/>
    <w:rsid w:val="00FE21BA"/>
    <w:pPr>
      <w:tabs>
        <w:tab w:val="left" w:leader="dot" w:pos="5954"/>
      </w:tabs>
      <w:spacing w:after="240"/>
    </w:pPr>
    <w:rPr>
      <w:snapToGrid w:val="0"/>
      <w:lang w:eastAsia="en-US"/>
    </w:rPr>
  </w:style>
  <w:style w:type="paragraph" w:customStyle="1" w:styleId="CoverNormalHanging">
    <w:name w:val="CoverNormalHanging"/>
    <w:basedOn w:val="Normal"/>
    <w:rsid w:val="00FE21BA"/>
    <w:pPr>
      <w:ind w:left="3686" w:hanging="2268"/>
    </w:pPr>
    <w:rPr>
      <w:snapToGrid w:val="0"/>
      <w:lang w:eastAsia="en-US"/>
    </w:rPr>
  </w:style>
  <w:style w:type="paragraph" w:customStyle="1" w:styleId="EPBody">
    <w:name w:val="EPBody"/>
    <w:basedOn w:val="Normal"/>
    <w:rsid w:val="00FE21B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RefPart">
    <w:name w:val="CoverRefPart"/>
    <w:basedOn w:val="Normal"/>
    <w:rsid w:val="00FE21BA"/>
    <w:pPr>
      <w:jc w:val="right"/>
    </w:pPr>
    <w:rPr>
      <w:rFonts w:ascii="Arial" w:hAnsi="Arial"/>
      <w:snapToGrid w:val="0"/>
      <w:lang w:eastAsia="en-US"/>
    </w:rPr>
  </w:style>
  <w:style w:type="paragraph" w:customStyle="1" w:styleId="Subheading">
    <w:name w:val="Subheading"/>
    <w:basedOn w:val="Normal"/>
    <w:rsid w:val="00FE21BA"/>
    <w:pPr>
      <w:spacing w:before="480" w:after="240"/>
    </w:pPr>
    <w:rPr>
      <w:b/>
      <w:bCs/>
      <w:i/>
      <w:iCs/>
      <w:snapToGrid w:val="0"/>
      <w:lang w:eastAsia="en-US"/>
    </w:rPr>
  </w:style>
  <w:style w:type="paragraph" w:customStyle="1" w:styleId="EPFooter">
    <w:name w:val="EPFooter"/>
    <w:basedOn w:val="Normal"/>
    <w:rsid w:val="00FE21BA"/>
    <w:pPr>
      <w:tabs>
        <w:tab w:val="center" w:pos="4535"/>
        <w:tab w:val="right" w:pos="9071"/>
      </w:tabs>
      <w:spacing w:before="240" w:after="240"/>
    </w:pPr>
    <w:rPr>
      <w:snapToGrid w:val="0"/>
      <w:color w:val="010000"/>
      <w:sz w:val="22"/>
      <w:lang w:eastAsia="en-US"/>
    </w:rPr>
  </w:style>
  <w:style w:type="paragraph" w:styleId="Header">
    <w:name w:val="header"/>
    <w:basedOn w:val="Normal"/>
    <w:link w:val="HeaderChar"/>
    <w:rsid w:val="00FE21BA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HeaderChar">
    <w:name w:val="Header Char"/>
    <w:basedOn w:val="DefaultParagraphFont"/>
    <w:link w:val="Header"/>
    <w:rsid w:val="00FE21BA"/>
    <w:rPr>
      <w:snapToGrid w:val="0"/>
      <w:sz w:val="24"/>
      <w:lang w:val="cs-CZ" w:eastAsia="en-US"/>
    </w:rPr>
  </w:style>
  <w:style w:type="paragraph" w:customStyle="1" w:styleId="AmColumnHeading">
    <w:name w:val="AmColumnHeading"/>
    <w:basedOn w:val="Normal"/>
    <w:rsid w:val="00FE21BA"/>
    <w:pPr>
      <w:spacing w:after="240"/>
      <w:jc w:val="center"/>
    </w:pPr>
    <w:rPr>
      <w:i/>
    </w:rPr>
  </w:style>
  <w:style w:type="paragraph" w:customStyle="1" w:styleId="AmCrossRef">
    <w:name w:val="AmCrossRef"/>
    <w:basedOn w:val="Normal"/>
    <w:rsid w:val="00FE21BA"/>
    <w:pPr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rsid w:val="00FE21BA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FE21BA"/>
    <w:pPr>
      <w:keepNext/>
      <w:spacing w:before="240"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E21B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OrLang">
    <w:name w:val="AmOrLang"/>
    <w:basedOn w:val="Normal"/>
    <w:rsid w:val="00FE21BA"/>
    <w:pPr>
      <w:spacing w:before="240" w:after="240"/>
      <w:jc w:val="right"/>
    </w:pPr>
  </w:style>
  <w:style w:type="paragraph" w:customStyle="1" w:styleId="AnnexWPDate">
    <w:name w:val="AnnexWPDate"/>
    <w:basedOn w:val="Normal"/>
    <w:rsid w:val="00FE21BA"/>
    <w:pPr>
      <w:spacing w:before="240" w:after="480"/>
      <w:jc w:val="right"/>
    </w:pPr>
  </w:style>
  <w:style w:type="paragraph" w:customStyle="1" w:styleId="AnnexWPDocType">
    <w:name w:val="AnnexWPDocType"/>
    <w:basedOn w:val="Normal"/>
    <w:rsid w:val="00FE21BA"/>
    <w:pPr>
      <w:spacing w:after="240"/>
      <w:jc w:val="center"/>
    </w:pPr>
    <w:rPr>
      <w:b/>
    </w:rPr>
  </w:style>
  <w:style w:type="paragraph" w:customStyle="1" w:styleId="AnnexWPLogo">
    <w:name w:val="AnnexWPLogo"/>
    <w:basedOn w:val="Normal"/>
    <w:rsid w:val="00FE21BA"/>
    <w:pPr>
      <w:spacing w:before="120" w:after="120"/>
    </w:pPr>
  </w:style>
  <w:style w:type="paragraph" w:customStyle="1" w:styleId="AnnexWPSmall">
    <w:name w:val="AnnexWPSmall"/>
    <w:basedOn w:val="Normal"/>
    <w:rsid w:val="00FE21BA"/>
    <w:rPr>
      <w:smallCaps/>
      <w:sz w:val="20"/>
    </w:rPr>
  </w:style>
  <w:style w:type="paragraph" w:customStyle="1" w:styleId="AnnexWPTabs">
    <w:name w:val="AnnexWPTabs"/>
    <w:basedOn w:val="Normal"/>
    <w:rsid w:val="00FE21BA"/>
    <w:pPr>
      <w:tabs>
        <w:tab w:val="right" w:pos="3686"/>
        <w:tab w:val="left" w:pos="3827"/>
      </w:tabs>
    </w:pPr>
    <w:rPr>
      <w:b/>
    </w:rPr>
  </w:style>
  <w:style w:type="paragraph" w:customStyle="1" w:styleId="AnnexWPTitle">
    <w:name w:val="AnnexWPTitle"/>
    <w:basedOn w:val="Normal"/>
    <w:rsid w:val="00FE21BA"/>
    <w:pPr>
      <w:spacing w:before="480"/>
    </w:pPr>
    <w:rPr>
      <w:b/>
    </w:rPr>
  </w:style>
  <w:style w:type="paragraph" w:customStyle="1" w:styleId="AmHeadingConsam">
    <w:name w:val="AmHeadingConsam"/>
    <w:basedOn w:val="Normal"/>
    <w:next w:val="Normal"/>
    <w:rsid w:val="00FE21BA"/>
    <w:pPr>
      <w:spacing w:before="720" w:after="240"/>
      <w:jc w:val="center"/>
    </w:pPr>
  </w:style>
  <w:style w:type="paragraph" w:customStyle="1" w:styleId="CoverNormal12a">
    <w:name w:val="CoverNormal12a"/>
    <w:basedOn w:val="Normal"/>
    <w:rsid w:val="00FE21BA"/>
    <w:pPr>
      <w:spacing w:after="240"/>
      <w:ind w:left="1418"/>
    </w:pPr>
  </w:style>
  <w:style w:type="paragraph" w:customStyle="1" w:styleId="Confidential">
    <w:name w:val="Confidential"/>
    <w:basedOn w:val="Normal"/>
    <w:rsid w:val="00FE21BA"/>
    <w:pPr>
      <w:spacing w:before="120" w:after="120"/>
      <w:jc w:val="center"/>
    </w:pPr>
    <w:rPr>
      <w:rFonts w:ascii="Arial" w:hAnsi="Arial"/>
      <w:caps/>
    </w:rPr>
  </w:style>
  <w:style w:type="paragraph" w:customStyle="1" w:styleId="CoverReferenceIMM">
    <w:name w:val="CoverReferenceIMM"/>
    <w:basedOn w:val="Normal"/>
    <w:rsid w:val="00FE21BA"/>
    <w:pPr>
      <w:spacing w:before="360"/>
      <w:jc w:val="right"/>
    </w:pPr>
    <w:rPr>
      <w:rFonts w:ascii="Arial" w:hAnsi="Arial"/>
      <w:b/>
    </w:rPr>
  </w:style>
  <w:style w:type="paragraph" w:customStyle="1" w:styleId="CoverDate">
    <w:name w:val="CoverDate"/>
    <w:basedOn w:val="Normal"/>
    <w:rsid w:val="00FE21BA"/>
    <w:pPr>
      <w:spacing w:before="240" w:after="1200"/>
    </w:pPr>
  </w:style>
  <w:style w:type="paragraph" w:customStyle="1" w:styleId="CoverDocType">
    <w:name w:val="CoverDocType"/>
    <w:basedOn w:val="Normal"/>
    <w:rsid w:val="00FE21BA"/>
    <w:pPr>
      <w:ind w:left="1418"/>
    </w:pPr>
    <w:rPr>
      <w:rFonts w:ascii="Arial" w:hAnsi="Arial"/>
      <w:b/>
      <w:sz w:val="48"/>
    </w:rPr>
  </w:style>
  <w:style w:type="paragraph" w:customStyle="1" w:styleId="NormalBold12a">
    <w:name w:val="NormalBold12a"/>
    <w:basedOn w:val="Normal"/>
    <w:rsid w:val="00FE21BA"/>
    <w:pPr>
      <w:spacing w:after="240"/>
    </w:pPr>
    <w:rPr>
      <w:b/>
    </w:rPr>
  </w:style>
  <w:style w:type="paragraph" w:customStyle="1" w:styleId="NormalCenter12a">
    <w:name w:val="NormalCenter12a"/>
    <w:basedOn w:val="Normal"/>
    <w:rsid w:val="00FE21BA"/>
    <w:pPr>
      <w:spacing w:after="240"/>
      <w:jc w:val="center"/>
    </w:pPr>
  </w:style>
  <w:style w:type="paragraph" w:customStyle="1" w:styleId="Normal6a">
    <w:name w:val="Normal6a"/>
    <w:basedOn w:val="Normal"/>
    <w:rsid w:val="00FE21BA"/>
    <w:pPr>
      <w:spacing w:after="120"/>
    </w:pPr>
  </w:style>
  <w:style w:type="paragraph" w:customStyle="1" w:styleId="NormalBold12b">
    <w:name w:val="NormalBold12b"/>
    <w:basedOn w:val="Normal"/>
    <w:link w:val="NormalBold12bChar"/>
    <w:rsid w:val="00FE21BA"/>
    <w:pPr>
      <w:spacing w:before="240"/>
    </w:pPr>
    <w:rPr>
      <w:b/>
    </w:rPr>
  </w:style>
  <w:style w:type="paragraph" w:customStyle="1" w:styleId="Arial14CentreBold">
    <w:name w:val="Arial14CentreBold"/>
    <w:basedOn w:val="Normal"/>
    <w:qFormat/>
    <w:rsid w:val="00FE21BA"/>
    <w:pPr>
      <w:jc w:val="center"/>
    </w:pPr>
    <w:rPr>
      <w:rFonts w:ascii="Arial" w:hAnsi="Arial" w:cs="Arial"/>
      <w:b/>
      <w:sz w:val="28"/>
      <w:szCs w:val="28"/>
    </w:rPr>
  </w:style>
  <w:style w:type="character" w:customStyle="1" w:styleId="Bold">
    <w:name w:val="Bold"/>
    <w:uiPriority w:val="1"/>
    <w:rsid w:val="00FE21BA"/>
    <w:rPr>
      <w:b/>
    </w:rPr>
  </w:style>
  <w:style w:type="character" w:customStyle="1" w:styleId="BoldItalic">
    <w:name w:val="BoldItalic"/>
    <w:uiPriority w:val="1"/>
    <w:rsid w:val="00FE21BA"/>
    <w:rPr>
      <w:b/>
      <w:i/>
      <w:u w:val="none"/>
    </w:rPr>
  </w:style>
  <w:style w:type="character" w:customStyle="1" w:styleId="BoldItalicUnderline">
    <w:name w:val="BoldItalicUnderline"/>
    <w:uiPriority w:val="1"/>
    <w:rsid w:val="00FE21BA"/>
    <w:rPr>
      <w:b/>
      <w:i/>
      <w:u w:val="single"/>
    </w:rPr>
  </w:style>
  <w:style w:type="character" w:customStyle="1" w:styleId="BoldUnderline">
    <w:name w:val="BoldUnderline"/>
    <w:uiPriority w:val="1"/>
    <w:rsid w:val="00FE21BA"/>
    <w:rPr>
      <w:b/>
      <w:u w:val="single"/>
    </w:rPr>
  </w:style>
  <w:style w:type="paragraph" w:customStyle="1" w:styleId="CoverNormalLeft">
    <w:name w:val="CoverNormalLeft"/>
    <w:basedOn w:val="CoverNormal"/>
    <w:qFormat/>
    <w:rsid w:val="00FE21BA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FE21BA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qFormat/>
    <w:rsid w:val="00FE21BA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FE21BA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FE21BA"/>
    <w:rPr>
      <w:i/>
    </w:rPr>
  </w:style>
  <w:style w:type="character" w:customStyle="1" w:styleId="ItalicUnderline">
    <w:name w:val="ItalicUnderline"/>
    <w:uiPriority w:val="1"/>
    <w:rsid w:val="00FE21BA"/>
    <w:rPr>
      <w:i/>
      <w:u w:val="single"/>
    </w:rPr>
  </w:style>
  <w:style w:type="paragraph" w:customStyle="1" w:styleId="LegendSign">
    <w:name w:val="LegendSign"/>
    <w:basedOn w:val="Normal"/>
    <w:qFormat/>
    <w:rsid w:val="00FE21BA"/>
    <w:pPr>
      <w:tabs>
        <w:tab w:val="right" w:pos="454"/>
        <w:tab w:val="left" w:pos="737"/>
      </w:tabs>
      <w:ind w:left="737" w:hanging="737"/>
    </w:pPr>
    <w:rPr>
      <w:sz w:val="18"/>
    </w:rPr>
  </w:style>
  <w:style w:type="paragraph" w:customStyle="1" w:styleId="LegendStandard">
    <w:name w:val="LegendStandard"/>
    <w:basedOn w:val="LegendSign"/>
    <w:qFormat/>
    <w:rsid w:val="00FE21BA"/>
    <w:pPr>
      <w:ind w:left="0" w:firstLine="0"/>
    </w:pPr>
  </w:style>
  <w:style w:type="paragraph" w:customStyle="1" w:styleId="LegendTitle">
    <w:name w:val="LegendTitle"/>
    <w:basedOn w:val="Normal"/>
    <w:qFormat/>
    <w:rsid w:val="00FE21BA"/>
    <w:pPr>
      <w:spacing w:before="240" w:after="240"/>
    </w:pPr>
    <w:rPr>
      <w:b/>
      <w:i/>
    </w:rPr>
  </w:style>
  <w:style w:type="character" w:customStyle="1" w:styleId="HideTermComment">
    <w:name w:val="HideTermComment"/>
    <w:uiPriority w:val="1"/>
    <w:qFormat/>
    <w:rsid w:val="00FE21BA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FE21BA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FE21BA"/>
    <w:pPr>
      <w:spacing w:after="240"/>
    </w:pPr>
  </w:style>
  <w:style w:type="paragraph" w:customStyle="1" w:styleId="Normal12b">
    <w:name w:val="Normal12b"/>
    <w:basedOn w:val="Normal"/>
    <w:qFormat/>
    <w:rsid w:val="00FE21BA"/>
    <w:pPr>
      <w:spacing w:before="240"/>
    </w:pPr>
  </w:style>
  <w:style w:type="paragraph" w:customStyle="1" w:styleId="NormalBoldUnderline24b">
    <w:name w:val="NormalBoldUnderline24b"/>
    <w:basedOn w:val="Normal"/>
    <w:qFormat/>
    <w:rsid w:val="00FE21BA"/>
    <w:pPr>
      <w:spacing w:before="480"/>
    </w:pPr>
    <w:rPr>
      <w:b/>
      <w:u w:val="single"/>
    </w:rPr>
  </w:style>
  <w:style w:type="paragraph" w:customStyle="1" w:styleId="NormalBoldUnderline24b12a">
    <w:name w:val="NormalBoldUnderline24b12a"/>
    <w:basedOn w:val="NormalBoldUnderline24b"/>
    <w:qFormat/>
    <w:rsid w:val="00FE21BA"/>
    <w:pPr>
      <w:spacing w:after="240"/>
    </w:pPr>
  </w:style>
  <w:style w:type="paragraph" w:customStyle="1" w:styleId="Normal12aBullet1">
    <w:name w:val="Normal12aBullet1"/>
    <w:basedOn w:val="Normal"/>
    <w:qFormat/>
    <w:rsid w:val="00FE21BA"/>
    <w:pPr>
      <w:widowControl/>
      <w:numPr>
        <w:numId w:val="45"/>
      </w:numPr>
    </w:pPr>
  </w:style>
  <w:style w:type="paragraph" w:customStyle="1" w:styleId="Normal12aBullet2">
    <w:name w:val="Normal12aBullet2"/>
    <w:basedOn w:val="Normal"/>
    <w:qFormat/>
    <w:rsid w:val="00FE21BA"/>
    <w:pPr>
      <w:numPr>
        <w:numId w:val="46"/>
      </w:numPr>
    </w:pPr>
  </w:style>
  <w:style w:type="paragraph" w:customStyle="1" w:styleId="NormalHanging12a1">
    <w:name w:val="NormalHanging12a1"/>
    <w:basedOn w:val="Normal"/>
    <w:qFormat/>
    <w:rsid w:val="00FE21BA"/>
    <w:pPr>
      <w:spacing w:after="240"/>
      <w:ind w:left="992" w:hanging="425"/>
    </w:pPr>
  </w:style>
  <w:style w:type="paragraph" w:customStyle="1" w:styleId="NormalHanging12a2">
    <w:name w:val="NormalHanging12a2"/>
    <w:basedOn w:val="NormalHanging12a1"/>
    <w:qFormat/>
    <w:rsid w:val="00FE21BA"/>
    <w:pPr>
      <w:ind w:left="1417"/>
    </w:pPr>
  </w:style>
  <w:style w:type="paragraph" w:customStyle="1" w:styleId="NormalHanging12a3">
    <w:name w:val="NormalHanging12a3"/>
    <w:basedOn w:val="NormalHanging12a2"/>
    <w:qFormat/>
    <w:rsid w:val="00FE21BA"/>
    <w:pPr>
      <w:ind w:left="1843"/>
    </w:pPr>
  </w:style>
  <w:style w:type="paragraph" w:customStyle="1" w:styleId="NormalHanging12a4">
    <w:name w:val="NormalHanging12a4"/>
    <w:basedOn w:val="NormalHanging12a3"/>
    <w:qFormat/>
    <w:rsid w:val="00FE21BA"/>
    <w:pPr>
      <w:ind w:left="2268"/>
    </w:pPr>
  </w:style>
  <w:style w:type="paragraph" w:customStyle="1" w:styleId="NormalHanging12a5">
    <w:name w:val="NormalHanging12a5"/>
    <w:basedOn w:val="NormalHanging12a4"/>
    <w:qFormat/>
    <w:rsid w:val="00FE21BA"/>
    <w:pPr>
      <w:ind w:left="2693"/>
    </w:pPr>
  </w:style>
  <w:style w:type="paragraph" w:customStyle="1" w:styleId="NormalHanging12a6">
    <w:name w:val="NormalHanging12a6"/>
    <w:basedOn w:val="NormalHanging12a5"/>
    <w:qFormat/>
    <w:rsid w:val="00FE21BA"/>
    <w:pPr>
      <w:ind w:left="3118"/>
    </w:pPr>
  </w:style>
  <w:style w:type="paragraph" w:customStyle="1" w:styleId="NormalHanging12a7">
    <w:name w:val="NormalHanging12a7"/>
    <w:basedOn w:val="NormalHanging12a6"/>
    <w:qFormat/>
    <w:rsid w:val="00FE21BA"/>
    <w:pPr>
      <w:ind w:left="3544"/>
    </w:pPr>
  </w:style>
  <w:style w:type="paragraph" w:customStyle="1" w:styleId="NormalHangingCenter">
    <w:name w:val="NormalHangingCenter"/>
    <w:basedOn w:val="Normal"/>
    <w:qFormat/>
    <w:rsid w:val="00FE21BA"/>
    <w:pPr>
      <w:spacing w:after="240"/>
      <w:ind w:left="567" w:hanging="567"/>
      <w:jc w:val="center"/>
    </w:pPr>
  </w:style>
  <w:style w:type="paragraph" w:customStyle="1" w:styleId="NormalHangingJustified">
    <w:name w:val="NormalHangingJustified"/>
    <w:basedOn w:val="Normal"/>
    <w:qFormat/>
    <w:rsid w:val="00FE21BA"/>
    <w:pPr>
      <w:spacing w:after="240"/>
      <w:ind w:left="714" w:hanging="357"/>
      <w:jc w:val="both"/>
    </w:pPr>
  </w:style>
  <w:style w:type="paragraph" w:customStyle="1" w:styleId="NormalUnderline24b12a">
    <w:name w:val="NormalUnderline24b12a"/>
    <w:basedOn w:val="EPComma"/>
    <w:qFormat/>
    <w:rsid w:val="00FE21BA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FE21BA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FE21BA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FE21BA"/>
    <w:rPr>
      <w:b/>
      <w:i/>
    </w:rPr>
  </w:style>
  <w:style w:type="paragraph" w:customStyle="1" w:styleId="NormalBoldItalicCenter6a">
    <w:name w:val="NormalBoldItalicCenter6a"/>
    <w:basedOn w:val="Normal6a"/>
    <w:qFormat/>
    <w:rsid w:val="00FE21BA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FE21BA"/>
    <w:rPr>
      <w:i/>
    </w:rPr>
  </w:style>
  <w:style w:type="paragraph" w:customStyle="1" w:styleId="PageHeadingNotTOC">
    <w:name w:val="PageHeadingNotTOC"/>
    <w:basedOn w:val="PageHeading"/>
    <w:rsid w:val="00FE21BA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FE21BA"/>
    <w:rPr>
      <w:vertAlign w:val="subscript"/>
    </w:rPr>
  </w:style>
  <w:style w:type="character" w:customStyle="1" w:styleId="SubBold">
    <w:name w:val="SubBold"/>
    <w:uiPriority w:val="1"/>
    <w:qFormat/>
    <w:rsid w:val="00FE21BA"/>
    <w:rPr>
      <w:b/>
      <w:vertAlign w:val="subscript"/>
    </w:rPr>
  </w:style>
  <w:style w:type="character" w:customStyle="1" w:styleId="SubBoldItalic">
    <w:name w:val="SubBoldItalic"/>
    <w:uiPriority w:val="1"/>
    <w:rsid w:val="00FE21BA"/>
    <w:rPr>
      <w:b/>
      <w:i/>
      <w:vertAlign w:val="subscript"/>
    </w:rPr>
  </w:style>
  <w:style w:type="character" w:customStyle="1" w:styleId="SubItalic">
    <w:name w:val="SubItalic"/>
    <w:uiPriority w:val="1"/>
    <w:qFormat/>
    <w:rsid w:val="00FE21BA"/>
    <w:rPr>
      <w:b/>
      <w:i/>
      <w:vertAlign w:val="subscript"/>
    </w:rPr>
  </w:style>
  <w:style w:type="character" w:customStyle="1" w:styleId="Sup">
    <w:name w:val="Sup"/>
    <w:uiPriority w:val="1"/>
    <w:rsid w:val="00FE21BA"/>
    <w:rPr>
      <w:vertAlign w:val="superscript"/>
    </w:rPr>
  </w:style>
  <w:style w:type="character" w:customStyle="1" w:styleId="SupBoldItalic">
    <w:name w:val="SupBoldItalic"/>
    <w:uiPriority w:val="1"/>
    <w:qFormat/>
    <w:rsid w:val="00FE21BA"/>
    <w:rPr>
      <w:b/>
      <w:i/>
      <w:vertAlign w:val="superscript"/>
    </w:rPr>
  </w:style>
  <w:style w:type="character" w:customStyle="1" w:styleId="Underline">
    <w:name w:val="Underline"/>
    <w:uiPriority w:val="1"/>
    <w:rsid w:val="00FE21BA"/>
    <w:rPr>
      <w:u w:val="single"/>
    </w:rPr>
  </w:style>
  <w:style w:type="paragraph" w:customStyle="1" w:styleId="NormalBoldCenter">
    <w:name w:val="NormalBoldCenter"/>
    <w:basedOn w:val="Normal"/>
    <w:rsid w:val="00FE21BA"/>
    <w:pPr>
      <w:jc w:val="center"/>
    </w:pPr>
    <w:rPr>
      <w:b/>
    </w:rPr>
  </w:style>
  <w:style w:type="paragraph" w:customStyle="1" w:styleId="ProcedureTable">
    <w:name w:val="ProcedureTable"/>
    <w:basedOn w:val="Normal"/>
    <w:rsid w:val="00FE21BA"/>
    <w:rPr>
      <w:sz w:val="20"/>
    </w:rPr>
  </w:style>
  <w:style w:type="paragraph" w:customStyle="1" w:styleId="ProcedureTableBold">
    <w:name w:val="ProcedureTableBold"/>
    <w:basedOn w:val="Normal"/>
    <w:rsid w:val="00FE21BA"/>
    <w:rPr>
      <w:b/>
      <w:sz w:val="20"/>
    </w:rPr>
  </w:style>
  <w:style w:type="paragraph" w:customStyle="1" w:styleId="NormalCenter">
    <w:name w:val="NormalCenter"/>
    <w:basedOn w:val="Normal"/>
    <w:rsid w:val="00FE21BA"/>
    <w:pPr>
      <w:jc w:val="center"/>
    </w:pPr>
  </w:style>
  <w:style w:type="character" w:customStyle="1" w:styleId="SubBoldItalicUnderline">
    <w:name w:val="SubBoldItalicUnderline"/>
    <w:uiPriority w:val="1"/>
    <w:rsid w:val="00FE21BA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FE21BA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FE21BA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FE21BA"/>
    <w:rPr>
      <w:u w:val="single"/>
      <w:vertAlign w:val="subscript"/>
    </w:rPr>
  </w:style>
  <w:style w:type="character" w:customStyle="1" w:styleId="SupBold">
    <w:name w:val="SupBold"/>
    <w:uiPriority w:val="1"/>
    <w:rsid w:val="00FE21BA"/>
    <w:rPr>
      <w:b/>
      <w:vertAlign w:val="superscript"/>
    </w:rPr>
  </w:style>
  <w:style w:type="character" w:customStyle="1" w:styleId="SupBoldItalicUnderline">
    <w:name w:val="SupBoldItalicUnderline"/>
    <w:uiPriority w:val="1"/>
    <w:rsid w:val="00FE21BA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FE21BA"/>
    <w:rPr>
      <w:b/>
      <w:u w:val="single"/>
      <w:vertAlign w:val="superscript"/>
    </w:rPr>
  </w:style>
  <w:style w:type="character" w:customStyle="1" w:styleId="SupItalic">
    <w:name w:val="SupItalic"/>
    <w:uiPriority w:val="1"/>
    <w:rsid w:val="00FE21BA"/>
    <w:rPr>
      <w:i/>
      <w:vertAlign w:val="superscript"/>
    </w:rPr>
  </w:style>
  <w:style w:type="character" w:customStyle="1" w:styleId="SupItalicUnderline">
    <w:name w:val="SupItalicUnderline"/>
    <w:uiPriority w:val="1"/>
    <w:rsid w:val="00FE21BA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FE21BA"/>
    <w:rPr>
      <w:u w:val="single"/>
      <w:vertAlign w:val="superscript"/>
    </w:rPr>
  </w:style>
  <w:style w:type="paragraph" w:customStyle="1" w:styleId="Normal24a">
    <w:name w:val="Normal24a"/>
    <w:basedOn w:val="Normal"/>
    <w:rsid w:val="00FE21BA"/>
    <w:pPr>
      <w:spacing w:after="480"/>
    </w:pPr>
  </w:style>
  <w:style w:type="paragraph" w:customStyle="1" w:styleId="Normal12a24b">
    <w:name w:val="Normal12a24b"/>
    <w:basedOn w:val="Normal"/>
    <w:rsid w:val="00FE21BA"/>
    <w:pPr>
      <w:spacing w:before="360" w:after="240"/>
    </w:pPr>
    <w:rPr>
      <w:snapToGrid w:val="0"/>
      <w:lang w:eastAsia="en-US"/>
    </w:rPr>
  </w:style>
  <w:style w:type="paragraph" w:customStyle="1" w:styleId="NormalTab">
    <w:name w:val="NormalTab"/>
    <w:basedOn w:val="Normal"/>
    <w:rsid w:val="00FE21BA"/>
    <w:pPr>
      <w:tabs>
        <w:tab w:val="center" w:pos="284"/>
        <w:tab w:val="left" w:pos="425"/>
      </w:tabs>
    </w:pPr>
  </w:style>
  <w:style w:type="character" w:styleId="Hyperlink">
    <w:name w:val="Hyperlink"/>
    <w:basedOn w:val="DefaultParagraphFont"/>
    <w:uiPriority w:val="99"/>
    <w:rsid w:val="00FE21BA"/>
    <w:rPr>
      <w:color w:val="0000FF"/>
      <w:u w:val="single"/>
    </w:rPr>
  </w:style>
  <w:style w:type="paragraph" w:customStyle="1" w:styleId="Footprint12b">
    <w:name w:val="Footprint12b"/>
    <w:basedOn w:val="Normal"/>
    <w:rsid w:val="00FE21BA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FE21BA"/>
    <w:rPr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21BA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FE21BA"/>
    <w:pPr>
      <w:tabs>
        <w:tab w:val="right" w:pos="9071"/>
      </w:tabs>
    </w:pPr>
    <w:rPr>
      <w:b/>
    </w:rPr>
  </w:style>
  <w:style w:type="paragraph" w:customStyle="1" w:styleId="AmDateTab">
    <w:name w:val="AmDateTab"/>
    <w:basedOn w:val="Normal"/>
    <w:rsid w:val="00FE21BA"/>
    <w:pPr>
      <w:tabs>
        <w:tab w:val="right" w:pos="9071"/>
      </w:tabs>
    </w:pPr>
  </w:style>
  <w:style w:type="character" w:customStyle="1" w:styleId="Normal6Char">
    <w:name w:val="Normal6 Char"/>
    <w:basedOn w:val="DefaultParagraphFont"/>
    <w:link w:val="Normal6"/>
    <w:locked/>
    <w:rsid w:val="00FE21BA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FE21B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E21BA"/>
    <w:rPr>
      <w:b/>
      <w:snapToGrid w:val="0"/>
      <w:sz w:val="24"/>
      <w:lang w:val="cs-CZ" w:eastAsia="en-US"/>
    </w:rPr>
  </w:style>
  <w:style w:type="paragraph" w:customStyle="1" w:styleId="ColumnHeading">
    <w:name w:val="ColumnHeading"/>
    <w:basedOn w:val="Normal"/>
    <w:rsid w:val="00FE21B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E21B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FE21BA"/>
    <w:pPr>
      <w:jc w:val="right"/>
    </w:pPr>
    <w:rPr>
      <w:lang w:val="cs-CZ"/>
    </w:rPr>
  </w:style>
  <w:style w:type="paragraph" w:styleId="Footer">
    <w:name w:val="footer"/>
    <w:basedOn w:val="Normal"/>
    <w:link w:val="FooterChar"/>
    <w:unhideWhenUsed/>
    <w:rsid w:val="00FE21BA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FooterChar">
    <w:name w:val="Footer Char"/>
    <w:basedOn w:val="DefaultParagraphFont"/>
    <w:link w:val="Footer"/>
    <w:rsid w:val="00FE21BA"/>
    <w:rPr>
      <w:snapToGrid w:val="0"/>
      <w:sz w:val="24"/>
      <w:lang w:val="cs-CZ" w:eastAsia="en-US"/>
    </w:rPr>
  </w:style>
  <w:style w:type="paragraph" w:styleId="BalloonText">
    <w:name w:val="Balloon Text"/>
    <w:basedOn w:val="Normal"/>
    <w:link w:val="BalloonTextChar"/>
    <w:unhideWhenUsed/>
    <w:rsid w:val="00FE21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E21BA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FE21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E21B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E21BA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E21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E21BA"/>
    <w:rPr>
      <w:b/>
      <w:bCs/>
      <w:lang w:val="cs-CZ"/>
    </w:rPr>
  </w:style>
  <w:style w:type="paragraph" w:styleId="NormalWeb">
    <w:name w:val="Normal (Web)"/>
    <w:basedOn w:val="Normal"/>
    <w:uiPriority w:val="99"/>
    <w:unhideWhenUsed/>
    <w:rsid w:val="00FE21BA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FE21BA"/>
    <w:rPr>
      <w:sz w:val="24"/>
      <w:lang w:val="cs-CZ"/>
    </w:rPr>
  </w:style>
  <w:style w:type="paragraph" w:customStyle="1" w:styleId="RollCallSymbols14pt">
    <w:name w:val="RollCallSymbols14pt"/>
    <w:basedOn w:val="Normal"/>
    <w:rsid w:val="00FE21B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E21B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E21B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E21BA"/>
    <w:pPr>
      <w:spacing w:before="120" w:after="120"/>
    </w:pPr>
    <w:rPr>
      <w:snapToGrid w:val="0"/>
      <w:sz w:val="16"/>
      <w:lang w:eastAsia="en-US"/>
    </w:rPr>
  </w:style>
  <w:style w:type="paragraph" w:customStyle="1" w:styleId="CoverBold">
    <w:name w:val="CoverBold"/>
    <w:basedOn w:val="Normal"/>
    <w:rsid w:val="00FE21BA"/>
    <w:pPr>
      <w:ind w:left="1416"/>
    </w:pPr>
    <w:rPr>
      <w:b/>
      <w:szCs w:val="24"/>
      <w:lang w:eastAsia="en-US"/>
    </w:rPr>
  </w:style>
  <w:style w:type="paragraph" w:customStyle="1" w:styleId="NormalBold12b12a">
    <w:name w:val="NormalBold12b12a"/>
    <w:basedOn w:val="Normal"/>
    <w:next w:val="NormalBold"/>
    <w:rsid w:val="00FE21BA"/>
    <w:pPr>
      <w:spacing w:before="240" w:after="240"/>
    </w:pPr>
    <w:rPr>
      <w:b/>
      <w:szCs w:val="24"/>
      <w:lang w:eastAsia="en-US"/>
    </w:rPr>
  </w:style>
  <w:style w:type="paragraph" w:customStyle="1" w:styleId="Normal0">
    <w:name w:val="Normal0"/>
    <w:basedOn w:val="Normal"/>
    <w:rsid w:val="00FE21BA"/>
    <w:rPr>
      <w:sz w:val="0"/>
      <w:szCs w:val="24"/>
      <w:lang w:eastAsia="en-US"/>
    </w:rPr>
  </w:style>
  <w:style w:type="character" w:customStyle="1" w:styleId="EPFooter2Middle">
    <w:name w:val="EPFooter2Middle"/>
    <w:rsid w:val="00FE21BA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sid w:val="00FE21BA"/>
    <w:rPr>
      <w:color w:val="FFFFFF"/>
      <w:szCs w:val="24"/>
      <w:shd w:val="clear" w:color="000000" w:fill="000000"/>
      <w:lang w:eastAsia="en-US"/>
    </w:rPr>
  </w:style>
  <w:style w:type="character" w:customStyle="1" w:styleId="CMissingStyle">
    <w:name w:val="C_MissingStyle"/>
    <w:rsid w:val="00FE21BA"/>
    <w:rPr>
      <w:color w:val="FFFFFF"/>
      <w:sz w:val="22"/>
      <w:shd w:val="clear" w:color="000000" w:fill="000000"/>
    </w:rPr>
  </w:style>
  <w:style w:type="paragraph" w:customStyle="1" w:styleId="msonormal0">
    <w:name w:val="msonormal"/>
    <w:basedOn w:val="Normal"/>
    <w:rsid w:val="00FE21BA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FE21BA"/>
    <w:rPr>
      <w:noProof/>
      <w:sz w:val="24"/>
    </w:rPr>
  </w:style>
  <w:style w:type="paragraph" w:customStyle="1" w:styleId="Normal12">
    <w:name w:val="Normal12"/>
    <w:basedOn w:val="Normal"/>
    <w:link w:val="Normal12Char"/>
    <w:rsid w:val="00FE21B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E21B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E21B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E21B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E21B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E21BA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FE21BA"/>
    <w:rPr>
      <w:i/>
    </w:rPr>
  </w:style>
  <w:style w:type="paragraph" w:customStyle="1" w:styleId="JustificationTitle">
    <w:name w:val="JustificationTitle"/>
    <w:basedOn w:val="Normal"/>
    <w:next w:val="Normal12"/>
    <w:rsid w:val="00FE21BA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FE21BA"/>
    <w:pPr>
      <w:spacing w:before="240"/>
      <w:jc w:val="center"/>
    </w:pPr>
    <w:rPr>
      <w:i/>
    </w:rPr>
  </w:style>
  <w:style w:type="character" w:styleId="Emphasis">
    <w:name w:val="Emphasis"/>
    <w:basedOn w:val="DefaultParagraphFont"/>
    <w:uiPriority w:val="20"/>
    <w:qFormat/>
    <w:rsid w:val="00FE21BA"/>
    <w:rPr>
      <w:i/>
      <w:iCs/>
    </w:rPr>
  </w:style>
  <w:style w:type="character" w:customStyle="1" w:styleId="Footer2Middle">
    <w:name w:val="Footer2Middle"/>
    <w:rsid w:val="00FE21B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FE21BA"/>
    <w:pPr>
      <w:jc w:val="center"/>
    </w:pPr>
    <w:rPr>
      <w:noProof w:val="0"/>
      <w:sz w:val="56"/>
    </w:rPr>
  </w:style>
  <w:style w:type="paragraph" w:customStyle="1" w:styleId="title-bold">
    <w:name w:val="title-bold"/>
    <w:basedOn w:val="Normal"/>
    <w:rsid w:val="00FE21BA"/>
    <w:pPr>
      <w:widowControl/>
      <w:spacing w:before="100" w:beforeAutospacing="1" w:after="100" w:afterAutospacing="1"/>
    </w:pPr>
    <w:rPr>
      <w:szCs w:val="24"/>
    </w:rPr>
  </w:style>
  <w:style w:type="character" w:styleId="FollowedHyperlink">
    <w:name w:val="FollowedHyperlink"/>
    <w:basedOn w:val="DefaultParagraphFont"/>
    <w:rsid w:val="00FE21BA"/>
    <w:rPr>
      <w:color w:val="954F72" w:themeColor="followedHyperlink"/>
      <w:u w:val="single"/>
    </w:rPr>
  </w:style>
  <w:style w:type="character" w:customStyle="1" w:styleId="AmNumberTabsChar">
    <w:name w:val="AmNumberTabs Char"/>
    <w:basedOn w:val="DefaultParagraphFont"/>
    <w:link w:val="AmNumberTabs"/>
    <w:rsid w:val="00FE21BA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FE21BA"/>
    <w:rPr>
      <w:b/>
      <w:sz w:val="24"/>
      <w:lang w:val="cs-CZ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C26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3/1223/oj" TargetMode="External"/><Relationship Id="rId13" Type="http://schemas.openxmlformats.org/officeDocument/2006/relationships/hyperlink" Target="http://data.europa.eu/eli/C/2024/5733/oj" TargetMode="External"/><Relationship Id="rId18" Type="http://schemas.openxmlformats.org/officeDocument/2006/relationships/hyperlink" Target="http://data.europa.eu/eli/reg/2024/1083/oj" TargetMode="External"/><Relationship Id="rId26" Type="http://schemas.openxmlformats.org/officeDocument/2006/relationships/hyperlink" Target="http://data.europa.eu/eli/dir/2024/1499/oj" TargetMode="External"/><Relationship Id="rId3" Type="http://schemas.openxmlformats.org/officeDocument/2006/relationships/hyperlink" Target="http://data.europa.eu/eli/reg/2024/2509/oj" TargetMode="External"/><Relationship Id="rId21" Type="http://schemas.openxmlformats.org/officeDocument/2006/relationships/hyperlink" Target="http://data.europa.eu/eli/reg/2022/2065/oj" TargetMode="External"/><Relationship Id="rId7" Type="http://schemas.openxmlformats.org/officeDocument/2006/relationships/hyperlink" Target="http://data.europa.eu/eli/C/2024/6746/oj" TargetMode="External"/><Relationship Id="rId12" Type="http://schemas.openxmlformats.org/officeDocument/2006/relationships/hyperlink" Target="http://data.europa.eu/eli/C/2024/5739/oj" TargetMode="External"/><Relationship Id="rId17" Type="http://schemas.openxmlformats.org/officeDocument/2006/relationships/hyperlink" Target="http://data.europa.eu/eli/dir/2017/1371/oj" TargetMode="External"/><Relationship Id="rId25" Type="http://schemas.openxmlformats.org/officeDocument/2006/relationships/hyperlink" Target="http://data.europa.eu/eli/dir/2024/1500/oj" TargetMode="External"/><Relationship Id="rId2" Type="http://schemas.openxmlformats.org/officeDocument/2006/relationships/hyperlink" Target="http://data.europa.eu/eli/reg/2021/1060/oj" TargetMode="External"/><Relationship Id="rId16" Type="http://schemas.openxmlformats.org/officeDocument/2006/relationships/hyperlink" Target="http://data.europa.eu/eli/reg/2017/1939/oj" TargetMode="External"/><Relationship Id="rId20" Type="http://schemas.openxmlformats.org/officeDocument/2006/relationships/hyperlink" Target="http://data.europa.eu/eli/reco/2022/758/oj" TargetMode="External"/><Relationship Id="rId29" Type="http://schemas.openxmlformats.org/officeDocument/2006/relationships/hyperlink" Target="http://data.europa.eu/eli/reg/2024/900/oj" TargetMode="External"/><Relationship Id="rId1" Type="http://schemas.openxmlformats.org/officeDocument/2006/relationships/hyperlink" Target="http://data.europa.eu/eli/reg/2020/2092/oj" TargetMode="External"/><Relationship Id="rId6" Type="http://schemas.openxmlformats.org/officeDocument/2006/relationships/hyperlink" Target="http://data.europa.eu/eli/C/2024/6743/oj" TargetMode="External"/><Relationship Id="rId11" Type="http://schemas.openxmlformats.org/officeDocument/2006/relationships/hyperlink" Target="http://data.europa.eu/eli/C/2024/2656/oj" TargetMode="External"/><Relationship Id="rId24" Type="http://schemas.openxmlformats.org/officeDocument/2006/relationships/hyperlink" Target="http://data.europa.eu/eli/dir/2004/38/oj" TargetMode="External"/><Relationship Id="rId5" Type="http://schemas.openxmlformats.org/officeDocument/2006/relationships/hyperlink" Target="http://data.europa.eu/eli/C/2023/442/oj" TargetMode="External"/><Relationship Id="rId15" Type="http://schemas.openxmlformats.org/officeDocument/2006/relationships/hyperlink" Target="http://data.europa.eu/eli/dir/2012/29/oj" TargetMode="External"/><Relationship Id="rId23" Type="http://schemas.openxmlformats.org/officeDocument/2006/relationships/hyperlink" Target="http://data.europa.eu/eli/dir/2000/78/oj" TargetMode="External"/><Relationship Id="rId28" Type="http://schemas.openxmlformats.org/officeDocument/2006/relationships/hyperlink" Target="http://data.europa.eu/eli/reg/2024/1689/oj" TargetMode="External"/><Relationship Id="rId10" Type="http://schemas.openxmlformats.org/officeDocument/2006/relationships/hyperlink" Target="http://data.europa.eu/eli/C/2024/3995/oj" TargetMode="External"/><Relationship Id="rId19" Type="http://schemas.openxmlformats.org/officeDocument/2006/relationships/hyperlink" Target="http://data.europa.eu/eli/dir/2024/1069/oj" TargetMode="External"/><Relationship Id="rId4" Type="http://schemas.openxmlformats.org/officeDocument/2006/relationships/hyperlink" Target="http://data.europa.eu/eli/reg/2021/692/oj" TargetMode="External"/><Relationship Id="rId9" Type="http://schemas.openxmlformats.org/officeDocument/2006/relationships/hyperlink" Target="http://data.europa.eu/eli/C/2024/494/oj" TargetMode="External"/><Relationship Id="rId14" Type="http://schemas.openxmlformats.org/officeDocument/2006/relationships/hyperlink" Target="https://www.europarl.europa.eu/committees/cs/libe-democracy-rule-of-law-and-fundament/product-details/20190103CDT02662" TargetMode="External"/><Relationship Id="rId22" Type="http://schemas.openxmlformats.org/officeDocument/2006/relationships/hyperlink" Target="http://data.europa.eu/eli/dir/2016/343/oj" TargetMode="External"/><Relationship Id="rId27" Type="http://schemas.openxmlformats.org/officeDocument/2006/relationships/hyperlink" Target="http://data.europa.eu/eli/reg/2022/19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E34D5-CC07-4448-970E-A08712D72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12487</Words>
  <Characters>74546</Characters>
  <Application>Microsoft Office Word</Application>
  <DocSecurity>4</DocSecurity>
  <Lines>621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GIRGINOV Kiril</cp:lastModifiedBy>
  <cp:revision>2</cp:revision>
  <cp:lastPrinted>2004-11-19T15:42:00Z</cp:lastPrinted>
  <dcterms:created xsi:type="dcterms:W3CDTF">2025-10-15T09:29:00Z</dcterms:created>
  <dcterms:modified xsi:type="dcterms:W3CDTF">2025-10-15T09:29:00Z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P10_TA(2025)0129_</vt:lpwstr>
  </property>
  <property fmtid="{D5CDD505-2E9C-101B-9397-08002B2CF9AE}" pid="4" name="&lt;Type&gt;">
    <vt:lpwstr>RR</vt:lpwstr>
  </property>
</Properties>
</file>