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3470" w14:paraId="627BDF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64EDAB" w14:textId="77777777" w:rsidR="00751A4A" w:rsidRPr="00D03470" w:rsidRDefault="00F238DC" w:rsidP="0010095E">
            <w:pPr>
              <w:pStyle w:val="EPName"/>
            </w:pPr>
            <w:r w:rsidRPr="00D03470">
              <w:t>Europski parlament</w:t>
            </w:r>
          </w:p>
          <w:p w14:paraId="45FE7EBB" w14:textId="77777777" w:rsidR="00751A4A" w:rsidRPr="00D034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3470">
              <w:t>2024</w:t>
            </w:r>
            <w:r w:rsidR="00817416" w:rsidRPr="00D03470">
              <w:t>-202</w:t>
            </w:r>
            <w:r w:rsidRPr="00D03470">
              <w:t>9</w:t>
            </w:r>
          </w:p>
        </w:tc>
        <w:tc>
          <w:tcPr>
            <w:tcW w:w="2268" w:type="dxa"/>
            <w:shd w:val="clear" w:color="auto" w:fill="auto"/>
          </w:tcPr>
          <w:p w14:paraId="4F509BF5" w14:textId="77777777" w:rsidR="00751A4A" w:rsidRPr="00D03470" w:rsidRDefault="00187494" w:rsidP="0010095E">
            <w:pPr>
              <w:pStyle w:val="EPLogo"/>
            </w:pPr>
            <w:r w:rsidRPr="00D03470">
              <w:rPr>
                <w:noProof/>
                <w:lang w:val="en-GB"/>
              </w:rPr>
              <w:drawing>
                <wp:inline distT="0" distB="0" distL="0" distR="0" wp14:anchorId="7267F052" wp14:editId="187B64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3BB3A8" w14:textId="77777777" w:rsidR="00D058B8" w:rsidRPr="00D03470" w:rsidRDefault="00D058B8" w:rsidP="004C5D52">
      <w:pPr>
        <w:pStyle w:val="LineTop"/>
      </w:pPr>
    </w:p>
    <w:p w14:paraId="1E681DE8" w14:textId="77777777" w:rsidR="00680577" w:rsidRPr="00D03470" w:rsidRDefault="00F238DC" w:rsidP="00680577">
      <w:pPr>
        <w:pStyle w:val="EPBodyTA1"/>
      </w:pPr>
      <w:r w:rsidRPr="00D03470">
        <w:t>USVOJENI TEKSTOVI</w:t>
      </w:r>
    </w:p>
    <w:p w14:paraId="1B501A03" w14:textId="77777777" w:rsidR="00D058B8" w:rsidRPr="00D03470" w:rsidRDefault="00D058B8" w:rsidP="00D058B8">
      <w:pPr>
        <w:pStyle w:val="LineBottom"/>
      </w:pPr>
    </w:p>
    <w:p w14:paraId="6B029890" w14:textId="77777777" w:rsidR="00F238DC" w:rsidRPr="00D03470" w:rsidRDefault="00F238DC" w:rsidP="00F238DC">
      <w:pPr>
        <w:pStyle w:val="ATHeading1"/>
      </w:pPr>
      <w:bookmarkStart w:id="0" w:name="TANumber"/>
      <w:r w:rsidRPr="00D03470">
        <w:t>P10_TA(2025)0</w:t>
      </w:r>
      <w:bookmarkEnd w:id="0"/>
      <w:r w:rsidR="00127AFC" w:rsidRPr="00D03470">
        <w:t>129</w:t>
      </w:r>
    </w:p>
    <w:p w14:paraId="5DA3C459" w14:textId="77777777" w:rsidR="00F238DC" w:rsidRPr="00D03470" w:rsidRDefault="003B3B47" w:rsidP="00F238DC">
      <w:pPr>
        <w:pStyle w:val="ATHeading2"/>
      </w:pPr>
      <w:bookmarkStart w:id="1" w:name="title"/>
      <w:r w:rsidRPr="00D03470">
        <w:rPr>
          <w:bCs/>
        </w:rPr>
        <w:t>Komisijino Izvješće o vladavini prava za 2024.</w:t>
      </w:r>
      <w:bookmarkEnd w:id="1"/>
    </w:p>
    <w:p w14:paraId="6EB063DE" w14:textId="77777777" w:rsidR="00F238DC" w:rsidRPr="00D03470" w:rsidRDefault="00F238DC" w:rsidP="00F238DC">
      <w:pPr>
        <w:rPr>
          <w:i/>
          <w:vanish/>
        </w:rPr>
      </w:pPr>
      <w:r w:rsidRPr="00D03470">
        <w:rPr>
          <w:i/>
        </w:rPr>
        <w:fldChar w:fldCharType="begin"/>
      </w:r>
      <w:r w:rsidRPr="00D03470">
        <w:rPr>
          <w:i/>
        </w:rPr>
        <w:instrText xml:space="preserve"> TC"(</w:instrText>
      </w:r>
      <w:bookmarkStart w:id="2" w:name="DocNumber"/>
      <w:r w:rsidRPr="00D03470">
        <w:rPr>
          <w:i/>
        </w:rPr>
        <w:instrText>A10-0100/2025</w:instrText>
      </w:r>
      <w:bookmarkEnd w:id="2"/>
      <w:r w:rsidRPr="00D03470">
        <w:rPr>
          <w:i/>
        </w:rPr>
        <w:instrText xml:space="preserve"> - Izvjestiteljica: Ana Catarina Mendes)"\l3 \n&gt; \* MERGEFORMAT </w:instrText>
      </w:r>
      <w:r w:rsidRPr="00D03470">
        <w:rPr>
          <w:i/>
        </w:rPr>
        <w:fldChar w:fldCharType="end"/>
      </w:r>
    </w:p>
    <w:p w14:paraId="7FF43E2C" w14:textId="77777777" w:rsidR="00F238DC" w:rsidRPr="00D03470" w:rsidRDefault="00F238DC" w:rsidP="00F238DC">
      <w:pPr>
        <w:rPr>
          <w:vanish/>
        </w:rPr>
      </w:pPr>
      <w:bookmarkStart w:id="3" w:name="Commission"/>
      <w:r w:rsidRPr="00D03470">
        <w:rPr>
          <w:vanish/>
        </w:rPr>
        <w:t>Odbor za građanske slobode, pravosuđe i unutarnje poslove</w:t>
      </w:r>
      <w:bookmarkEnd w:id="3"/>
    </w:p>
    <w:p w14:paraId="58020802" w14:textId="77777777" w:rsidR="00F238DC" w:rsidRPr="00D03470" w:rsidRDefault="00F238DC" w:rsidP="00F238DC">
      <w:pPr>
        <w:rPr>
          <w:vanish/>
        </w:rPr>
      </w:pPr>
      <w:bookmarkStart w:id="4" w:name="PE"/>
      <w:r w:rsidRPr="00D03470">
        <w:rPr>
          <w:vanish/>
        </w:rPr>
        <w:t>PE767.867</w:t>
      </w:r>
      <w:bookmarkEnd w:id="4"/>
    </w:p>
    <w:p w14:paraId="60FA0F77" w14:textId="77777777" w:rsidR="00F238DC" w:rsidRPr="00D03470" w:rsidRDefault="00F238DC" w:rsidP="00F238DC">
      <w:pPr>
        <w:pStyle w:val="ATHeading3"/>
      </w:pPr>
      <w:bookmarkStart w:id="5" w:name="Sujet"/>
      <w:r w:rsidRPr="00D03470">
        <w:t xml:space="preserve">Rezolucija Europskog parlamenta od </w:t>
      </w:r>
      <w:r w:rsidR="003B3B47" w:rsidRPr="00D03470">
        <w:t>18. lipnja</w:t>
      </w:r>
      <w:r w:rsidRPr="00D03470">
        <w:t xml:space="preserve"> 2025. Komisijino Izvješće o vladavini prava za 2024.</w:t>
      </w:r>
      <w:bookmarkEnd w:id="5"/>
      <w:r w:rsidRPr="00D03470">
        <w:t xml:space="preserve"> </w:t>
      </w:r>
      <w:bookmarkStart w:id="6" w:name="References"/>
      <w:r w:rsidRPr="00D03470">
        <w:t>(2024/2078(INI))</w:t>
      </w:r>
      <w:bookmarkEnd w:id="6"/>
    </w:p>
    <w:p w14:paraId="743020CB" w14:textId="77777777" w:rsidR="000C6AF4" w:rsidRPr="00D03470" w:rsidRDefault="000C6AF4" w:rsidP="000C6AF4">
      <w:pPr>
        <w:pStyle w:val="EPComma"/>
      </w:pPr>
      <w:r w:rsidRPr="00D03470">
        <w:rPr>
          <w:rStyle w:val="Italic"/>
        </w:rPr>
        <w:t>Europski parlament</w:t>
      </w:r>
      <w:r w:rsidRPr="00D03470">
        <w:t>,</w:t>
      </w:r>
    </w:p>
    <w:p w14:paraId="75670068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Ugovor o Europskoj uniji (UEU), a posebno njegov članak 2., članak 3. stavak 1., članak 3. stavak 3. drugi podstavak, članak 4. stavak 3. i članke 5., 6., 7., 11., 19. i 49.,</w:t>
      </w:r>
    </w:p>
    <w:p w14:paraId="0B878EF2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Ugovor o funkcioniranju Europske unije (UFEU), a posebno njegove članke koji se odnose na poštovanje, promicanje i zaštitu demokracije, vladavine prava i temeljnih prava u Uniji, uključujući članke 70., 258., 259., 260., 263., 265. i 267.,</w:t>
      </w:r>
    </w:p>
    <w:p w14:paraId="6A838273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Povelju Europske unije o temeljnim pravima (Povelja),</w:t>
      </w:r>
    </w:p>
    <w:p w14:paraId="523059E1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sudsku praksu Suda Europske unije,</w:t>
      </w:r>
    </w:p>
    <w:p w14:paraId="23F5005B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komunikaciju Komisije od 24. srpnja 2024. naslovljenu „Izvješće o vladavini prava za 2024. – Stanje vladavine prava u Europskoj uniji” (COM(2024)0800), i prilog toj komunikaciji koji sadrži preporuke za države članice,</w:t>
      </w:r>
    </w:p>
    <w:p w14:paraId="091B60F4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komunikaciju Komisije od 30. listopada 2024. o politici proširenja EU-a (COM(2024)0690) i njoj priložene radne dokumente službi (Paket za proširenje),</w:t>
      </w:r>
    </w:p>
    <w:p w14:paraId="7A632576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Uredbu (EU, Euratom) 2020/2092 Europskog parlamenta i Vijeća od 16. prosinca 2020. o općem režimu uvjetovanosti za zaštitu proračuna Unije</w:t>
      </w:r>
      <w:r w:rsidRPr="00D03470">
        <w:rPr>
          <w:rStyle w:val="FootnoteReference"/>
        </w:rPr>
        <w:footnoteReference w:id="1"/>
      </w:r>
      <w:r w:rsidRPr="00D03470">
        <w:t xml:space="preserve"> (Uredba o uvjetovanosti u pogledu vladavine prava),</w:t>
      </w:r>
    </w:p>
    <w:p w14:paraId="48A1223E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 xml:space="preserve">uzimajući u obzir Uredbu (EU) 2021/1060 Europskog parlamenta i Vijeća od 24. lipnja 2021. o utvrđivanju zajedničkih odredaba o Europskom fondu za regionalni razvoj, Europskom socijalnom fondu plus, Kohezijskom fondu, Fondu za pravednu tranziciju i Europskom fondu za pomorstvo, ribarstvo i akvakulturu te financijskih pravila za njih i za Fond za azil, migracije i integraciju, Fond za unutarnju sigurnost i </w:t>
      </w:r>
      <w:r w:rsidRPr="00D03470">
        <w:lastRenderedPageBreak/>
        <w:t>Instrument za financijsku potporu u području upravljanja granicama i vizne politike</w:t>
      </w:r>
      <w:r w:rsidRPr="00D03470">
        <w:rPr>
          <w:rStyle w:val="FootnoteReference"/>
        </w:rPr>
        <w:footnoteReference w:id="2"/>
      </w:r>
      <w:r w:rsidRPr="00D03470">
        <w:t xml:space="preserve"> (Uredba o zajedničkim odredbama),</w:t>
      </w:r>
    </w:p>
    <w:p w14:paraId="68AB8075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Uredbu (EU, Euratom) 2024/2509 Europskog parlamenta i Vijeća od 23. rujna 2024. o financijskim pravilima koja se primjenjuju na opći proračun Unije</w:t>
      </w:r>
      <w:r w:rsidRPr="00D03470">
        <w:rPr>
          <w:rStyle w:val="FootnoteReference"/>
        </w:rPr>
        <w:footnoteReference w:id="3"/>
      </w:r>
      <w:r w:rsidRPr="00D03470">
        <w:t xml:space="preserve"> (Financijska uredba), a posebno njezin članak 6., stavak 3.,</w:t>
      </w:r>
    </w:p>
    <w:p w14:paraId="166C03D7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Uredbu (EU) 2021/692 Europskog parlamenta i Vijeća od 28. travnja 2021. o uspostavi programa Građani, jednakost, prava i vrijednosti te o stavljanju izvan snage Uredbe (EU) br. 1381/2013 Europskog parlamenta i Vijeća i Uredbe Vijeća (EU) br. 390/2014</w:t>
      </w:r>
      <w:r w:rsidRPr="00D03470">
        <w:rPr>
          <w:rStyle w:val="FootnoteReference"/>
        </w:rPr>
        <w:footnoteReference w:id="4"/>
      </w:r>
      <w:r w:rsidRPr="00D03470">
        <w:t>,</w:t>
      </w:r>
    </w:p>
    <w:p w14:paraId="48DC01D5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Opću deklaraciju o ljudskim pravima,</w:t>
      </w:r>
    </w:p>
    <w:p w14:paraId="3B3F2118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instrumente UN-a za zaštitu ljudskih prava i temeljnih sloboda, primjerice Opću deklaraciju o ljudskim pravima, Međunarodni pakt o građanskim i političkim pravima, Međunarodnu konvenciju o ukidanju svih oblika rasne diskriminacije, Konvenciju o ukidanju svih oblika diskriminacije žena, Konvenciju o pravima osoba s invaliditetom, Deklaraciju o pravima osoba koje pripadaju nacionalnim ili etničkim, vjerskim i jezičnim manjinama, preporuke Foruma UN-a o pitanjima manjina, preporuke i izvješća u okviru Univerzalnog periodičnog pregleda UN-a, kao i sudsku praksu ugovornih tijela UN-a i posebne postupke Vijeća za ljudska prava,</w:t>
      </w:r>
    </w:p>
    <w:p w14:paraId="7FE571F4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 xml:space="preserve">uzimajući u obzir Europsku konvenciju o ljudskim pravima, Europsku socijalnu povelju, sudsku praksu Europskog suda za ljudska prava i Europskog odbora za socijalna prava te konvencije, preporuke, rezolucije, mišljenja i izvješća Parlamentarne skupštine, Odbora ministara, povjerenika za ljudska prava, Europske komisije za borbu protiv rasizma i netolerancije, Upravnog odbora za borbu protiv diskriminacije, promicanje različitosti i </w:t>
      </w:r>
      <w:proofErr w:type="spellStart"/>
      <w:r w:rsidRPr="00D03470">
        <w:t>uključivosti</w:t>
      </w:r>
      <w:proofErr w:type="spellEnd"/>
      <w:r w:rsidRPr="00D03470">
        <w:t>, Venecijanske komisije i drugih tijela Vijeća Europe,</w:t>
      </w:r>
    </w:p>
    <w:p w14:paraId="20518E7C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Konvenciju Vijeća Europe o sprečavanju i borbi protiv nasilja nad ženama i nasilja u obitelji,</w:t>
      </w:r>
    </w:p>
    <w:p w14:paraId="73D3F3CD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Europsku povelju o regionalnim ili manjinskim jezicima i Okvirnu konvenciju Vijeća Europe za zaštitu nacionalnih manjina,</w:t>
      </w:r>
    </w:p>
    <w:p w14:paraId="253CE7A0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Memorandum o razumijevanju između Vijeća Europe i Europske unije od 23. svibnja 2007. i zaključke Vijeća od 17. prosinca 2024. o prioritetima EU-a za suradnju s Vijećem Europe u razdoblju od 2025. do 2026.,</w:t>
      </w:r>
    </w:p>
    <w:p w14:paraId="2C8EAB2F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Komisijin obrazloženi Prijedlog odluke Vijeća od 20. prosinca 2017. o utvrđivanju da postoji očita opasnost da Republika Poljska teško prekrši vladavinu prava (COM(2017)0835), donesen u skladu člankom 7. stavkom 1. UEU-a,</w:t>
      </w:r>
    </w:p>
    <w:p w14:paraId="7849FD8B" w14:textId="77777777" w:rsidR="000C6AF4" w:rsidRPr="00D03470" w:rsidRDefault="000C6AF4" w:rsidP="000C6AF4">
      <w:pPr>
        <w:pStyle w:val="NormalHanging12a"/>
      </w:pPr>
      <w:r w:rsidRPr="00D03470">
        <w:lastRenderedPageBreak/>
        <w:t>–</w:t>
      </w:r>
      <w:r w:rsidRPr="00D03470">
        <w:tab/>
        <w:t>uzimajući u obzir svoju Rezoluciju od 25. listopada 2016. s preporukama Komisiji o uspostavi mehanizma EU-a za demokraciju, vladavinu prava i temeljna prava</w:t>
      </w:r>
      <w:r w:rsidRPr="00D03470">
        <w:rPr>
          <w:rStyle w:val="FootnoteReference"/>
        </w:rPr>
        <w:footnoteReference w:id="5"/>
      </w:r>
      <w:r w:rsidRPr="00D03470">
        <w:t>,</w:t>
      </w:r>
    </w:p>
    <w:p w14:paraId="4990A4AC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7. veljače 2018. o zaštiti i nediskriminaciji manjina u državama članicama EU-a</w:t>
      </w:r>
      <w:r w:rsidRPr="00D03470">
        <w:rPr>
          <w:rStyle w:val="FootnoteReference"/>
        </w:rPr>
        <w:footnoteReference w:id="6"/>
      </w:r>
      <w:r w:rsidRPr="00D03470">
        <w:t>,</w:t>
      </w:r>
    </w:p>
    <w:p w14:paraId="4D0A38F8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1. ožujka 2018. o odluci Komisije o aktiviranju članka 7. stavka 1. UEU-a u pogledu situacije u Poljskoj</w:t>
      </w:r>
      <w:r w:rsidRPr="00D03470">
        <w:rPr>
          <w:rStyle w:val="FootnoteReference"/>
        </w:rPr>
        <w:footnoteReference w:id="7"/>
      </w:r>
      <w:r w:rsidRPr="00D03470">
        <w:t>,</w:t>
      </w:r>
    </w:p>
    <w:p w14:paraId="1C385DCF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19. travnja 2018. o potrebi za uspostavom instrumenta europskih vrijednosti za podršku organizacijama civilnog društva koje promiču temeljne vrijednosti u Europskoj uniji na lokalnoj i nacionalnoj razini</w:t>
      </w:r>
      <w:r w:rsidRPr="00D03470">
        <w:rPr>
          <w:rStyle w:val="FootnoteReference"/>
        </w:rPr>
        <w:footnoteReference w:id="8"/>
      </w:r>
      <w:r w:rsidRPr="00D03470">
        <w:t>,</w:t>
      </w:r>
    </w:p>
    <w:p w14:paraId="39738E43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12. rujna 2018. o prijedlogu kojim se Vijeće poziva da, u skladu s člankom 7. stavkom 1. Ugovora o Europskoj uniji, utvrdi da postoji očita opasnost da Mađarska teško prekrši vrijednosti na kojima se temelji Europska unija</w:t>
      </w:r>
      <w:r w:rsidRPr="00D03470">
        <w:rPr>
          <w:rStyle w:val="FootnoteReference"/>
        </w:rPr>
        <w:footnoteReference w:id="9"/>
      </w:r>
      <w:r w:rsidRPr="00D03470">
        <w:t>,</w:t>
      </w:r>
    </w:p>
    <w:p w14:paraId="212585CC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13. studenoga 2018. o minimalnim standardima za manjine u EU-u</w:t>
      </w:r>
      <w:r w:rsidRPr="00D03470">
        <w:rPr>
          <w:rStyle w:val="FootnoteReference"/>
        </w:rPr>
        <w:footnoteReference w:id="10"/>
      </w:r>
      <w:r w:rsidRPr="00D03470">
        <w:t>,</w:t>
      </w:r>
    </w:p>
    <w:p w14:paraId="378A9457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14. studenoga 2018. o potrebi za sveobuhvatnim mehanizmom EU-a za zaštitu demokracije, vladavine prava i temeljnih prava</w:t>
      </w:r>
      <w:r w:rsidRPr="00D03470">
        <w:rPr>
          <w:rStyle w:val="FootnoteReference"/>
        </w:rPr>
        <w:footnoteReference w:id="11"/>
      </w:r>
      <w:r w:rsidRPr="00D03470">
        <w:t>,</w:t>
      </w:r>
    </w:p>
    <w:p w14:paraId="5A698E0B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7. listopada 2020. o uspostavi mehanizma EU-a za demokraciju, vladavinu prava i temeljna prava</w:t>
      </w:r>
      <w:r w:rsidRPr="00D03470">
        <w:rPr>
          <w:rStyle w:val="FootnoteReference"/>
        </w:rPr>
        <w:footnoteReference w:id="12"/>
      </w:r>
      <w:r w:rsidRPr="00D03470">
        <w:t>,</w:t>
      </w:r>
    </w:p>
    <w:p w14:paraId="1E7B1DEE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13. studenoga 2020. o utjecaju mjera donesenih uslijed pandemije bolesti COVID-19 na demokraciju, vladavinu prava i temeljna prava</w:t>
      </w:r>
      <w:r w:rsidRPr="00D03470">
        <w:rPr>
          <w:rStyle w:val="FootnoteReference"/>
        </w:rPr>
        <w:footnoteReference w:id="13"/>
      </w:r>
      <w:r w:rsidRPr="00D03470">
        <w:t>,</w:t>
      </w:r>
    </w:p>
    <w:p w14:paraId="7437F672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17. prosinca 2020. o građanskoj inicijativi „Paket mjera za zaštitu manjina – milijun potpisa za raznolikost u Europi” („</w:t>
      </w:r>
      <w:proofErr w:type="spellStart"/>
      <w:r w:rsidRPr="00D03470">
        <w:t>Minority</w:t>
      </w:r>
      <w:proofErr w:type="spellEnd"/>
      <w:r w:rsidRPr="00D03470">
        <w:t xml:space="preserve"> </w:t>
      </w:r>
      <w:proofErr w:type="spellStart"/>
      <w:r w:rsidRPr="00D03470">
        <w:t>SafePack</w:t>
      </w:r>
      <w:proofErr w:type="spellEnd"/>
      <w:r w:rsidRPr="00D03470">
        <w:t>”)</w:t>
      </w:r>
      <w:r w:rsidRPr="00D03470">
        <w:rPr>
          <w:rStyle w:val="FootnoteReference"/>
        </w:rPr>
        <w:footnoteReference w:id="14"/>
      </w:r>
      <w:r w:rsidRPr="00D03470">
        <w:t>,</w:t>
      </w:r>
    </w:p>
    <w:p w14:paraId="21F65C17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10. lipnja 2021. o stanju vladavine prava u Europskoj uniji i primjeni Uredbe (EU, Euratom) 2020/2092 o uvjetovanosti</w:t>
      </w:r>
      <w:r w:rsidRPr="00D03470">
        <w:rPr>
          <w:rStyle w:val="FootnoteReference"/>
        </w:rPr>
        <w:footnoteReference w:id="15"/>
      </w:r>
      <w:r w:rsidRPr="00D03470">
        <w:t>,</w:t>
      </w:r>
    </w:p>
    <w:p w14:paraId="0337AEC2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24. lipnja 2021. o Izvješću Komisije o vladavini prava za 2020.</w:t>
      </w:r>
      <w:r w:rsidRPr="00D03470">
        <w:rPr>
          <w:rStyle w:val="FootnoteReference"/>
        </w:rPr>
        <w:footnoteReference w:id="16"/>
      </w:r>
      <w:r w:rsidRPr="00D03470">
        <w:t>,</w:t>
      </w:r>
    </w:p>
    <w:p w14:paraId="0A37F822" w14:textId="77777777" w:rsidR="000C6AF4" w:rsidRPr="00D03470" w:rsidRDefault="000C6AF4" w:rsidP="000C6AF4">
      <w:pPr>
        <w:pStyle w:val="NormalHanging12a"/>
      </w:pPr>
      <w:r w:rsidRPr="00D03470">
        <w:lastRenderedPageBreak/>
        <w:t>–</w:t>
      </w:r>
      <w:r w:rsidRPr="00D03470">
        <w:tab/>
        <w:t>uzimajući u obzir svoju Rezoluciju od 8. srpnja 2021. o izradi smjernica za primjenu općeg režima uvjetovanosti za zaštitu proračuna Unije</w:t>
      </w:r>
      <w:r w:rsidRPr="00D03470">
        <w:rPr>
          <w:rStyle w:val="FootnoteReference"/>
        </w:rPr>
        <w:footnoteReference w:id="17"/>
      </w:r>
      <w:r w:rsidRPr="00D03470">
        <w:t>,</w:t>
      </w:r>
    </w:p>
    <w:p w14:paraId="2036F7EA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16. rujna 2021. s preporukama Komisiji o utvrđivanju rodno uvjetovanog nasilja kao novog područja kriminaliteta u članku 83. stavku 1. UFEU-a</w:t>
      </w:r>
      <w:r w:rsidRPr="00D03470">
        <w:rPr>
          <w:rStyle w:val="FootnoteReference"/>
        </w:rPr>
        <w:footnoteReference w:id="18"/>
      </w:r>
      <w:r w:rsidRPr="00D03470">
        <w:t>,</w:t>
      </w:r>
    </w:p>
    <w:p w14:paraId="77D18205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11. studenoga 2021. o jačanju demokracije te slobode i pluralizma medija u EU-u: neprikladna upotreba mjera građanskog i kaznenog prava za ušutkavanje novinara, nevladinih organizacija i civilnog društva</w:t>
      </w:r>
      <w:r w:rsidRPr="00D03470">
        <w:rPr>
          <w:rStyle w:val="FootnoteReference"/>
        </w:rPr>
        <w:footnoteReference w:id="19"/>
      </w:r>
      <w:r w:rsidRPr="00D03470">
        <w:t>,</w:t>
      </w:r>
    </w:p>
    <w:p w14:paraId="3B75E959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15. prosinca 2021. o evaluaciji preventivnih mjera za izbjegavanje korupcije, nepravilne potrošnje i zlouporabe sredstava EU-a i nacionalnih sredstava u slučaju kriznih fondova i rashodovnih područja povezanih s krizom</w:t>
      </w:r>
      <w:r w:rsidRPr="00D03470">
        <w:rPr>
          <w:rStyle w:val="FootnoteReference"/>
        </w:rPr>
        <w:footnoteReference w:id="20"/>
      </w:r>
      <w:r w:rsidRPr="00D03470">
        <w:t>,</w:t>
      </w:r>
    </w:p>
    <w:p w14:paraId="3585D060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8. ožujka 2022. o smanjenju prostora za djelovanje civilnog društva u Europi</w:t>
      </w:r>
      <w:r w:rsidRPr="00D03470">
        <w:rPr>
          <w:rStyle w:val="FootnoteReference"/>
        </w:rPr>
        <w:footnoteReference w:id="21"/>
      </w:r>
      <w:r w:rsidRPr="00D03470">
        <w:t>,</w:t>
      </w:r>
    </w:p>
    <w:p w14:paraId="6997D2EE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10. ožujka 2022. o vladavini prava i posljedicama presude Suda Europske unije</w:t>
      </w:r>
      <w:r w:rsidRPr="00D03470">
        <w:rPr>
          <w:rStyle w:val="FootnoteReference"/>
        </w:rPr>
        <w:footnoteReference w:id="22"/>
      </w:r>
      <w:r w:rsidRPr="00D03470">
        <w:t>,</w:t>
      </w:r>
    </w:p>
    <w:p w14:paraId="0083EF6C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19. svibnja 2022. o Izvješću Komisije o vladavini prava za 2021.</w:t>
      </w:r>
      <w:r w:rsidRPr="00D03470">
        <w:rPr>
          <w:rStyle w:val="FootnoteReference"/>
        </w:rPr>
        <w:footnoteReference w:id="23"/>
      </w:r>
      <w:r w:rsidRPr="00D03470">
        <w:t>,</w:t>
      </w:r>
    </w:p>
    <w:p w14:paraId="6084B87B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9. lipnja 2022. o vladavini prava i potencijalnom odobrenju poljskog nacionalnog plana za oporavak (Mehanizam za oporavak i otpornost)</w:t>
      </w:r>
      <w:r w:rsidRPr="00D03470">
        <w:rPr>
          <w:rStyle w:val="FootnoteReference"/>
        </w:rPr>
        <w:footnoteReference w:id="24"/>
      </w:r>
      <w:r w:rsidRPr="00D03470">
        <w:t>,</w:t>
      </w:r>
    </w:p>
    <w:p w14:paraId="5EA63401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15. rujna 2022. o stanju temeljnih prava u Europskoj uniji tijekom 2020. i 2021.</w:t>
      </w:r>
      <w:r w:rsidRPr="00D03470">
        <w:rPr>
          <w:rStyle w:val="FootnoteReference"/>
        </w:rPr>
        <w:footnoteReference w:id="25"/>
      </w:r>
      <w:r w:rsidRPr="00D03470">
        <w:t>,</w:t>
      </w:r>
    </w:p>
    <w:p w14:paraId="2925F031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15. rujna 2022. o Prijedlogu odluke Vijeća o utvrđivanju, u skladu s člankom 7. stavkom 1. Ugovora o Europskoj uniji, da postoji očita opasnost da Mađarska teško prekrši vrijednosti na kojima se temelji Europska unija</w:t>
      </w:r>
      <w:r w:rsidRPr="00D03470">
        <w:rPr>
          <w:rStyle w:val="FootnoteReference"/>
        </w:rPr>
        <w:footnoteReference w:id="26"/>
      </w:r>
      <w:r w:rsidRPr="00D03470">
        <w:t>,</w:t>
      </w:r>
    </w:p>
    <w:p w14:paraId="2F7C5BDF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 xml:space="preserve">uzimajući u obzir svoju Rezoluciju od 20. listopada 2022. o vladavini prava na Malti, pet godina nakon ubojstva Daphne </w:t>
      </w:r>
      <w:proofErr w:type="spellStart"/>
      <w:r w:rsidRPr="00D03470">
        <w:t>Caruane</w:t>
      </w:r>
      <w:proofErr w:type="spellEnd"/>
      <w:r w:rsidRPr="00D03470">
        <w:t xml:space="preserve"> </w:t>
      </w:r>
      <w:proofErr w:type="spellStart"/>
      <w:r w:rsidRPr="00D03470">
        <w:t>Galizije</w:t>
      </w:r>
      <w:proofErr w:type="spellEnd"/>
      <w:r w:rsidRPr="00D03470">
        <w:rPr>
          <w:rStyle w:val="FootnoteReference"/>
        </w:rPr>
        <w:footnoteReference w:id="27"/>
      </w:r>
      <w:r w:rsidRPr="00D03470">
        <w:t>,</w:t>
      </w:r>
    </w:p>
    <w:p w14:paraId="50DD4C35" w14:textId="77777777" w:rsidR="000C6AF4" w:rsidRPr="00D03470" w:rsidRDefault="000C6AF4" w:rsidP="000C6AF4">
      <w:pPr>
        <w:pStyle w:val="NormalHanging12a"/>
      </w:pPr>
      <w:r w:rsidRPr="00D03470">
        <w:lastRenderedPageBreak/>
        <w:t>–</w:t>
      </w:r>
      <w:r w:rsidRPr="00D03470">
        <w:tab/>
        <w:t>uzimajući u obzir svoju Rezoluciju od 20. listopada 2022. o rastućem broju zločina iz mržnje protiv LGBTIQ+ osoba diljem Europe u svjetlu nedavnog homofobnog ubojstva u Slovačkoj</w:t>
      </w:r>
      <w:r w:rsidRPr="00D03470">
        <w:rPr>
          <w:rStyle w:val="FootnoteReference"/>
        </w:rPr>
        <w:footnoteReference w:id="28"/>
      </w:r>
      <w:r w:rsidRPr="00D03470">
        <w:t>,</w:t>
      </w:r>
    </w:p>
    <w:p w14:paraId="54C1710F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10. studenoga 2022. o rasnoj pravdi, nediskriminaciji i borbi protiv rasizma u EU-u</w:t>
      </w:r>
      <w:r w:rsidRPr="00D03470">
        <w:rPr>
          <w:rStyle w:val="FootnoteReference"/>
        </w:rPr>
        <w:footnoteReference w:id="29"/>
      </w:r>
      <w:r w:rsidRPr="00D03470">
        <w:t>,</w:t>
      </w:r>
    </w:p>
    <w:p w14:paraId="1C1B2431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24. studenoga 2022. o procjeni poštovanja uvjeta vladavine prava u Mađarskoj u skladu s Uredbom o uvjetovanosti i trenutačnu situaciju u pogledu mađarskog plana za oporavak i otpornost</w:t>
      </w:r>
      <w:r w:rsidRPr="00D03470">
        <w:rPr>
          <w:rStyle w:val="FootnoteReference"/>
        </w:rPr>
        <w:footnoteReference w:id="30"/>
      </w:r>
      <w:r w:rsidRPr="00D03470">
        <w:t>,</w:t>
      </w:r>
    </w:p>
    <w:p w14:paraId="58483A2D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30. ožujka 2023. o Izvješću o vladavini prava za 2022. – Stanje vladavine prava u Europskoj uniji</w:t>
      </w:r>
      <w:r w:rsidRPr="00D03470">
        <w:rPr>
          <w:rStyle w:val="FootnoteReference"/>
        </w:rPr>
        <w:footnoteReference w:id="31"/>
      </w:r>
      <w:r w:rsidRPr="00D03470">
        <w:t>,</w:t>
      </w:r>
    </w:p>
    <w:p w14:paraId="65ECAA09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18. travnja 2023. o institucijskim odnosima između EU-a i Vijeća Europe</w:t>
      </w:r>
      <w:r w:rsidRPr="00D03470">
        <w:rPr>
          <w:rStyle w:val="FootnoteReference"/>
        </w:rPr>
        <w:footnoteReference w:id="32"/>
      </w:r>
      <w:r w:rsidRPr="00D03470">
        <w:t>,</w:t>
      </w:r>
    </w:p>
    <w:p w14:paraId="4344055E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28. veljače 2024. naslovljenu „Izvješće o Izvješću Komisije o vladavini prava za 2023.”</w:t>
      </w:r>
      <w:r w:rsidRPr="00D03470">
        <w:rPr>
          <w:rStyle w:val="FootnoteReference"/>
        </w:rPr>
        <w:footnoteReference w:id="33"/>
      </w:r>
      <w:r w:rsidRPr="00D03470">
        <w:t>,</w:t>
      </w:r>
    </w:p>
    <w:p w14:paraId="238EC8C8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29. veljače 2024. o produbljenju integracije EU-a s obzirom na buduće proširenje</w:t>
      </w:r>
      <w:r w:rsidRPr="00D03470">
        <w:rPr>
          <w:rStyle w:val="FootnoteReference"/>
        </w:rPr>
        <w:footnoteReference w:id="34"/>
      </w:r>
      <w:r w:rsidRPr="00D03470">
        <w:t>,</w:t>
      </w:r>
    </w:p>
    <w:p w14:paraId="37B96E22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1. lipnja 2023. o povredama vladavine prava i temeljnih prava u Mađarskoj i zamrznutim sredstvima EU-a</w:t>
      </w:r>
      <w:r w:rsidRPr="00D03470">
        <w:rPr>
          <w:rStyle w:val="FootnoteReference"/>
        </w:rPr>
        <w:footnoteReference w:id="35"/>
      </w:r>
      <w:r w:rsidRPr="00D03470">
        <w:t>,</w:t>
      </w:r>
    </w:p>
    <w:p w14:paraId="5FC2E125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 xml:space="preserve">uzimajući u obzir izvješće svojeg Istražnog odbora za ispitivanje uporabe </w:t>
      </w:r>
      <w:proofErr w:type="spellStart"/>
      <w:r w:rsidRPr="00D03470">
        <w:t>Pegasusa</w:t>
      </w:r>
      <w:proofErr w:type="spellEnd"/>
      <w:r w:rsidRPr="00D03470">
        <w:t xml:space="preserve"> i jednakovrijednog špijunskog softvera za nadzor (PEGA) i svoju Preporuku Vijeću i Komisiji od 15. lipnja 2023. nakon ispitivanja navodnih kršenja i nepravilnosti pri primjeni prava Unije u pogledu uporabe </w:t>
      </w:r>
      <w:proofErr w:type="spellStart"/>
      <w:r w:rsidRPr="00D03470">
        <w:t>Pegasusa</w:t>
      </w:r>
      <w:proofErr w:type="spellEnd"/>
      <w:r w:rsidRPr="00D03470">
        <w:t xml:space="preserve"> i jednakovrijednog špijunskog softvera za nadzor</w:t>
      </w:r>
      <w:r w:rsidRPr="00D03470">
        <w:rPr>
          <w:rStyle w:val="FootnoteReference"/>
        </w:rPr>
        <w:footnoteReference w:id="36"/>
      </w:r>
      <w:r w:rsidRPr="00D03470">
        <w:t>,</w:t>
      </w:r>
    </w:p>
    <w:p w14:paraId="52443DA1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11. srpnja 2023. o izbornom pravu, istražnom odboru i vladavini prava u Poljskoj</w:t>
      </w:r>
      <w:r w:rsidRPr="00D03470">
        <w:rPr>
          <w:rStyle w:val="FootnoteReference"/>
        </w:rPr>
        <w:footnoteReference w:id="37"/>
      </w:r>
      <w:r w:rsidRPr="00D03470">
        <w:t>,</w:t>
      </w:r>
    </w:p>
    <w:p w14:paraId="1EFD26A0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 xml:space="preserve">uzimajući u obzir svoju Rezoluciju od 19. listopada 2023. o vladavini prava na Malti: šest godina nakon ubojstva Daphne </w:t>
      </w:r>
      <w:proofErr w:type="spellStart"/>
      <w:r w:rsidRPr="00D03470">
        <w:t>Caruane</w:t>
      </w:r>
      <w:proofErr w:type="spellEnd"/>
      <w:r w:rsidRPr="00D03470">
        <w:t xml:space="preserve"> </w:t>
      </w:r>
      <w:proofErr w:type="spellStart"/>
      <w:r w:rsidRPr="00D03470">
        <w:t>Galizije</w:t>
      </w:r>
      <w:proofErr w:type="spellEnd"/>
      <w:r w:rsidRPr="00D03470">
        <w:t xml:space="preserve"> i potreba za zaštitom novinara</w:t>
      </w:r>
      <w:r w:rsidRPr="00D03470">
        <w:rPr>
          <w:rStyle w:val="FootnoteReference"/>
        </w:rPr>
        <w:footnoteReference w:id="38"/>
      </w:r>
      <w:r w:rsidRPr="00D03470">
        <w:t>,</w:t>
      </w:r>
    </w:p>
    <w:p w14:paraId="70BF997F" w14:textId="77777777" w:rsidR="000C6AF4" w:rsidRPr="00D03470" w:rsidRDefault="000C6AF4" w:rsidP="000C6AF4">
      <w:pPr>
        <w:pStyle w:val="NormalHanging12a"/>
      </w:pPr>
      <w:r w:rsidRPr="00D03470">
        <w:lastRenderedPageBreak/>
        <w:t>–</w:t>
      </w:r>
      <w:r w:rsidRPr="00D03470">
        <w:tab/>
        <w:t>uzimajući u obzir komunikaciju Komisije od 6. prosinca 2023. naslovljenu „Nema mjesta za mržnju: Europa ujedinjena protiv mržnje” (</w:t>
      </w:r>
      <w:r w:rsidR="003B3B47" w:rsidRPr="00D03470">
        <w:t>JOIN</w:t>
      </w:r>
      <w:r w:rsidRPr="00D03470">
        <w:t>(2023)0051),</w:t>
      </w:r>
    </w:p>
    <w:p w14:paraId="01708105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18. siječnja 2024. o stanju temeljnih prava u Europskoj uniji – godišnje izvješće za 2022. i 2023.</w:t>
      </w:r>
      <w:r w:rsidRPr="00D03470">
        <w:rPr>
          <w:rStyle w:val="FootnoteReference"/>
        </w:rPr>
        <w:footnoteReference w:id="39"/>
      </w:r>
      <w:r w:rsidRPr="00D03470">
        <w:t>,</w:t>
      </w:r>
    </w:p>
    <w:p w14:paraId="5412553D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18. siječnja 2024. o proširenju popisa područja kriminaliteta u EU-u na govor mržnje i zločine iz mržnje</w:t>
      </w:r>
      <w:r w:rsidRPr="00D03470">
        <w:rPr>
          <w:rStyle w:val="FootnoteReference"/>
        </w:rPr>
        <w:footnoteReference w:id="40"/>
      </w:r>
      <w:r w:rsidRPr="00D03470">
        <w:t>,</w:t>
      </w:r>
    </w:p>
    <w:p w14:paraId="5E5CD662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svoju Rezoluciju od 24. travnja 2024. o saslušanjima u tijeku u skladu s člankom 7. stavkom 1. UEU-a u pogledu Mađarske radi jačanja vladavine prava i proračunske posljedice</w:t>
      </w:r>
      <w:r w:rsidRPr="00D03470">
        <w:rPr>
          <w:rStyle w:val="FootnoteReference"/>
        </w:rPr>
        <w:footnoteReference w:id="41"/>
      </w:r>
      <w:r w:rsidRPr="00D03470">
        <w:t>,</w:t>
      </w:r>
    </w:p>
    <w:p w14:paraId="2A994F03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zaključenje postupka iz članka 7. UEU-a u vezi s Poljskom, kako je Komisija najavila 29. svibnja 2024., nakon koraka koje je Poljska poduzela kako bi ponovno postigla usklađenost sa standardima vladavine prava EU-a,</w:t>
      </w:r>
    </w:p>
    <w:p w14:paraId="5678DEA9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Rezoluciju 2262 (2019) od 24. siječnja 2019. Parlamentarne skupštine Vijeća Europe (PACE) o promicanju prava pripadnika nacionalnih manjina,</w:t>
      </w:r>
    </w:p>
    <w:p w14:paraId="7602D88D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preporuke i izvješća Ureda za demokratske institucije i ljudska prava, visokog povjerenika za nacionalne manjine, predstavnika za slobodu medija i drugih tijela Organizacije za europsku sigurnost i suradnju u Europi (OESS), suradnju između EU-a i OESS-a u pogledu demokratizacije, izgradnje institucija i ljudskih prava te godišnje izvješće OESS-a o zločinima iz mržnje u kojem su se države sudionice obvezale na donošenje zakonodavstva kojim se predviđaju kazne kojima se uzima u obzir težina zločina iz mržnje, poduzimanje mjera za rješavanje problema nedovoljnog prijavljivanja te uvođenje ili daljnji razvoj aktivnosti izgradnje kapaciteta za policijske službenike, tijela kaznenog progona i pravosudne službenike radi sprečavanja, istrage i kaznenog progona zločina iz mržnje,</w:t>
      </w:r>
    </w:p>
    <w:p w14:paraId="663A8D49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tematsko izvješće Europskog revizorskog suda od 17. prosinca 2024. o izvršavanju zakonodavstva EU-a (28/2024), od 22. veljače 2024. o vladavini prava u EU-u (03/2024) i od 10. siječnja 2022. o potpori EU-a vladavini prava na zapadnom Balkanu (01/2022), kao i njegov pregled od 28. veljače 2024. o Komisijinu izvješćivanju o vladavini prava (02/2024), i njihove preporuke,</w:t>
      </w:r>
    </w:p>
    <w:p w14:paraId="6F4B114B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 xml:space="preserve">uzimajući u obzir političke smjernice za sljedeću Europsku komisiju za razdoblje 2024. – 2029. koje je Parlamentu 18. srpnja 2024. predstavila Ursula von </w:t>
      </w:r>
      <w:proofErr w:type="spellStart"/>
      <w:r w:rsidRPr="00D03470">
        <w:t>der</w:t>
      </w:r>
      <w:proofErr w:type="spellEnd"/>
      <w:r w:rsidRPr="00D03470">
        <w:t xml:space="preserve"> </w:t>
      </w:r>
      <w:proofErr w:type="spellStart"/>
      <w:r w:rsidRPr="00D03470">
        <w:t>Leyen</w:t>
      </w:r>
      <w:proofErr w:type="spellEnd"/>
      <w:r w:rsidRPr="00D03470">
        <w:t>, u svojstvu kandidatkinje za predsjednicu Europske komisije,</w:t>
      </w:r>
    </w:p>
    <w:p w14:paraId="2DE35A0A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 xml:space="preserve">uzimajući u obzir istraživanja </w:t>
      </w:r>
      <w:proofErr w:type="spellStart"/>
      <w:r w:rsidRPr="00D03470">
        <w:t>Eurobarometra</w:t>
      </w:r>
      <w:proofErr w:type="spellEnd"/>
      <w:r w:rsidRPr="00D03470">
        <w:t xml:space="preserve"> o korupciji za 2024., koja pokazuju da je korupcija i dalje ozbiljan problem za građane i poduzeća u EU-u,</w:t>
      </w:r>
    </w:p>
    <w:p w14:paraId="06020BC7" w14:textId="77777777" w:rsidR="000C6AF4" w:rsidRPr="00D03470" w:rsidRDefault="000C6AF4" w:rsidP="000C6AF4">
      <w:pPr>
        <w:pStyle w:val="NormalHanging12a"/>
      </w:pPr>
      <w:r w:rsidRPr="00D03470">
        <w:lastRenderedPageBreak/>
        <w:t>–</w:t>
      </w:r>
      <w:r w:rsidRPr="00D03470">
        <w:tab/>
        <w:t>uzimajući u obzir izvješća s povratnim informacijama, izvješća o misijama, pisana pitanja i odgovore Skupine za praćenje demokracije, vladavine prava i temeljnih prava (DRFMG)</w:t>
      </w:r>
      <w:r w:rsidRPr="00D03470">
        <w:rPr>
          <w:rStyle w:val="FootnoteReference"/>
        </w:rPr>
        <w:footnoteReference w:id="42"/>
      </w:r>
      <w:r w:rsidRPr="00D03470">
        <w:t>,</w:t>
      </w:r>
    </w:p>
    <w:p w14:paraId="178A721D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članak 55. Poslovnika,</w:t>
      </w:r>
    </w:p>
    <w:p w14:paraId="35488B71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mišljenje Odbora za vanjske poslove,</w:t>
      </w:r>
    </w:p>
    <w:p w14:paraId="3B1A3DC6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mišljenje Odbora za pravna pitanja,</w:t>
      </w:r>
    </w:p>
    <w:p w14:paraId="78C0B8F5" w14:textId="77777777" w:rsidR="000C6AF4" w:rsidRPr="00D03470" w:rsidRDefault="000C6AF4" w:rsidP="000C6AF4">
      <w:pPr>
        <w:pStyle w:val="NormalHanging12a"/>
      </w:pPr>
      <w:r w:rsidRPr="00D03470">
        <w:t>–</w:t>
      </w:r>
      <w:r w:rsidRPr="00D03470">
        <w:tab/>
        <w:t>uzimajući u obzir izvješće Odbora za građanske slobode, pravosuđe i unutarnje poslove (A10</w:t>
      </w:r>
      <w:r w:rsidRPr="00D03470">
        <w:noBreakHyphen/>
        <w:t>0100/2025),</w:t>
      </w:r>
    </w:p>
    <w:p w14:paraId="14847BA7" w14:textId="77777777" w:rsidR="000C6AF4" w:rsidRPr="00D03470" w:rsidRDefault="000C6AF4" w:rsidP="000C6AF4">
      <w:pPr>
        <w:pStyle w:val="NormalHanging12a"/>
      </w:pPr>
      <w:r w:rsidRPr="00D03470">
        <w:t>A.</w:t>
      </w:r>
      <w:r w:rsidRPr="00D03470">
        <w:tab/>
        <w:t>budući da se Unija temelji na zajedničkim vrijednostima sadržanima u članku 2. UEU-a, odnosno poštovanju ljudskog dostojanstva, slobode, demokracije, jednakosti, vladavine prava i poštovanju ljudskih prava, uključujući prava pripadnika manjina, tj. na vrijednostima koje su zajedničke državama članicama EU-a i koje se odražavaju u Povelji te su uvrštene u međunarodne sporazume o ljudskim pravima; budući da je Povelja dio primarnog prava EU-a; budući da su demokracija, vladavina prava i temeljna prava vrijednosti koje se međusobno nadopunjuju i čije ugrožavanje predstavlja sustavnu prijetnju za prava i slobode svih ljudi koji žive u EU-u;</w:t>
      </w:r>
    </w:p>
    <w:p w14:paraId="398877D5" w14:textId="77777777" w:rsidR="000C6AF4" w:rsidRPr="00D03470" w:rsidRDefault="000C6AF4" w:rsidP="000C6AF4">
      <w:pPr>
        <w:pStyle w:val="NormalHanging12a"/>
      </w:pPr>
      <w:r w:rsidRPr="00D03470">
        <w:t>B.</w:t>
      </w:r>
      <w:r w:rsidRPr="00D03470">
        <w:tab/>
        <w:t>budući da iz članka 49. UEU-a, koji predviđa mogućnost da svaka europska država podnese zahtjev za članstvo u Europskoj uniji, proizlazi da se Unija sastoji od država koje su slobodno i dobrovoljno odlučile usvojiti zajedničke vrijednosti navedene u članku 2. UEU-a, koje poštuju te vrijednosti i obvezuju se promicati ih; budući da pravo EU-a počiva na temeljnoj pretpostavci da svaka država članica sa svim drugim državama članicama dijeli navedene vrijednosti i priznaje da one dijele s njom te iste vrijednosti; budući da ta pretpostavka podrazumijeva i opravdava postojanje uzajamnog povjerenja među državama članicama da će se te vrijednosti priznavati i da će se stoga poštovati pravo EU-a kojim se one provode</w:t>
      </w:r>
      <w:r w:rsidRPr="00D03470">
        <w:rPr>
          <w:rStyle w:val="FootnoteReference"/>
        </w:rPr>
        <w:footnoteReference w:id="43"/>
      </w:r>
      <w:r w:rsidRPr="00D03470">
        <w:rPr>
          <w:vertAlign w:val="superscript"/>
        </w:rPr>
        <w:t>,</w:t>
      </w:r>
      <w:r w:rsidRPr="00D03470">
        <w:rPr>
          <w:rStyle w:val="FootnoteReference"/>
        </w:rPr>
        <w:footnoteReference w:id="44"/>
      </w:r>
      <w:r w:rsidRPr="00D03470">
        <w:t>; budući da su države članice dužne osigurati sprečavanje svakog nazadovanja u zaštiti vrijednosti sadržanih u članku 2. UEU-a;</w:t>
      </w:r>
    </w:p>
    <w:p w14:paraId="4369E8C4" w14:textId="77777777" w:rsidR="000C6AF4" w:rsidRPr="00D03470" w:rsidRDefault="000C6AF4" w:rsidP="000C6AF4">
      <w:pPr>
        <w:pStyle w:val="NormalHanging12a"/>
      </w:pPr>
      <w:r w:rsidRPr="00D03470">
        <w:t>C.</w:t>
      </w:r>
      <w:r w:rsidRPr="00D03470">
        <w:tab/>
        <w:t>budući da su organizacije civilnog društva, pravna zajednica, udruge, neovisni mediji i pokreti na lokalnoj razini i dalje temelj vladavine prava jer promiču transparentnost, odgovornost i sudjelovanje građana u demokratskim procesima; budući da ti akteri imaju ključnu ulogu u zaštiti neovisnosti pravosuđa, slobode izražavanja i drugih ustavnih vrijednosti, te da često djeluju pod sve većim političkim i pravnim ograničenjima;</w:t>
      </w:r>
    </w:p>
    <w:p w14:paraId="51137E7E" w14:textId="77777777" w:rsidR="000C6AF4" w:rsidRPr="00D03470" w:rsidRDefault="000C6AF4" w:rsidP="000C6AF4">
      <w:pPr>
        <w:pStyle w:val="NormalHanging12a"/>
      </w:pPr>
      <w:r w:rsidRPr="00D03470">
        <w:t>D.</w:t>
      </w:r>
      <w:r w:rsidRPr="00D03470">
        <w:tab/>
        <w:t xml:space="preserve">budući da načelo lojalne suradnje iz članka 4. stavka 3. UEU-a obvezuje Uniju i države članice da si međusobno pomažu u izvršavanju obveza koje proizlaze iz Ugovorâ uz puno uzajamno poštovanje te obvezuje države članice da poduzmu sve odgovarajuće mjere, opće ili posebne, kako bi osigurale ispunjavanje obveza koje proizlaze iz </w:t>
      </w:r>
      <w:r w:rsidRPr="00D03470">
        <w:lastRenderedPageBreak/>
        <w:t>Ugovorâ ili iz akata institucija Unije; budući da bi se države članice trebale suzdržati od svih mjera koje bi mogle ugroziti postizanje ciljeva Unije;</w:t>
      </w:r>
    </w:p>
    <w:p w14:paraId="73E89910" w14:textId="77777777" w:rsidR="000C6AF4" w:rsidRPr="00D03470" w:rsidRDefault="000C6AF4" w:rsidP="000C6AF4">
      <w:pPr>
        <w:pStyle w:val="NormalHanging12a"/>
      </w:pPr>
      <w:r w:rsidRPr="00D03470">
        <w:t>E.</w:t>
      </w:r>
      <w:r w:rsidRPr="00D03470">
        <w:tab/>
        <w:t xml:space="preserve">budući da je u nedavnom istraživanju </w:t>
      </w:r>
      <w:proofErr w:type="spellStart"/>
      <w:r w:rsidRPr="00D03470">
        <w:t>Eurobarometra</w:t>
      </w:r>
      <w:proofErr w:type="spellEnd"/>
      <w:r w:rsidRPr="00D03470">
        <w:t xml:space="preserve"> 74 % ispitanika navelo da EU ima važnu ulogu u očuvanju vladavine prava, a 89 % ih je smatralo važnim da sve države članice poštuju temeljne vrijednosti EU-a; budući da je u trenutačnom globalnom gospodarskom i političkom kontekstu jačanje povjerenja građana u vladavinu prava i otpornost demokracija na razini EU-a ključan čimbenik;</w:t>
      </w:r>
    </w:p>
    <w:p w14:paraId="3D44ED3A" w14:textId="77777777" w:rsidR="000C6AF4" w:rsidRPr="00D03470" w:rsidRDefault="000C6AF4" w:rsidP="000C6AF4">
      <w:pPr>
        <w:pStyle w:val="NormalHanging12a"/>
      </w:pPr>
      <w:r w:rsidRPr="00D03470">
        <w:t>F.</w:t>
      </w:r>
      <w:r w:rsidRPr="00D03470">
        <w:tab/>
        <w:t>budući da bi pristupanje EU-u uvijek moralo biti proces koji se temelji na zaslugama u kojemu se ocjenjuje ispunjava li zemlja podnositeljica kriterije iz Kopenhagena, posebno one kojima se jamči potpuno poštovanje ljudskih prava, demokracije i vladavine prava, kako bi se osiguralo da proširenje EU-a osnažuje, a ne oslabljuje, EU i njegovo jedinstveno tržište; budući da je temeljna uloga Instrumenta pretpristupne pomoći kao instrumenta EU-a podupirati vladavinu prava, demokraciju i ljudska prava u zemljama kandidatkinjama i potencijalnim kandidatkinjama, uključujući jačanje demokratskih institucija i organizacija civilnog društva, kao i napredak u dobrom upravljanju i borbi protiv korupcije, promicanje i zaštita nediskriminacije i rodne ravnopravnosti te jačanje kapaciteta za sprečavanje i rješavanje sukoba;</w:t>
      </w:r>
    </w:p>
    <w:p w14:paraId="184DB200" w14:textId="77777777" w:rsidR="000C6AF4" w:rsidRPr="00D03470" w:rsidRDefault="000C6AF4" w:rsidP="000C6AF4">
      <w:pPr>
        <w:pStyle w:val="Normal12a24b"/>
      </w:pPr>
      <w:r w:rsidRPr="00D03470">
        <w:rPr>
          <w:rStyle w:val="BoldItalic"/>
        </w:rPr>
        <w:t>Neovisnost pravosuđa</w:t>
      </w:r>
    </w:p>
    <w:p w14:paraId="77B25B00" w14:textId="77777777" w:rsidR="000C6AF4" w:rsidRPr="00D03470" w:rsidRDefault="000C6AF4" w:rsidP="000C6AF4">
      <w:pPr>
        <w:pStyle w:val="NormalHanging12a"/>
      </w:pPr>
      <w:r w:rsidRPr="00D03470">
        <w:t>1.</w:t>
      </w:r>
      <w:r w:rsidRPr="00D03470">
        <w:tab/>
        <w:t>ističe da je pravedno i pristupačno pravosuđe temeljno načelo vladavine prava koje zahtijeva neovisno pravosuđe; ponavlja da je pristup pravosuđu ključan za ostvarivanje prava građana, suzbijanje diskriminacije i pozivanje donositelja odluka na odgovornost;</w:t>
      </w:r>
    </w:p>
    <w:p w14:paraId="105A0743" w14:textId="77777777" w:rsidR="000C6AF4" w:rsidRPr="00D03470" w:rsidRDefault="000C6AF4" w:rsidP="000C6AF4">
      <w:pPr>
        <w:pStyle w:val="NormalHanging12a"/>
      </w:pPr>
      <w:r w:rsidRPr="00D03470">
        <w:t>2.</w:t>
      </w:r>
      <w:r w:rsidRPr="00D03470">
        <w:tab/>
        <w:t>podsjeća da su pouzdani nacionalni pravni sustavi u državama članicama, zemljama kandidatkinjama i potencijalnim zemljama kandidatkinjama neophodni s obzirom na to da se Komisija oslanja na nacionalna pravosudna tijela za provedbu prava EU-a i da su oni ključni za pravosudnu suradnju diljem EU-a i poticanje uzajamnog povjerenja; sa zabrinutošću napominje da, iako se neki pravosudni sustavi mogu činiti stabilnima na papiru, to nije uvijek u skladu sa stvarnošću;</w:t>
      </w:r>
    </w:p>
    <w:p w14:paraId="68D55D58" w14:textId="77777777" w:rsidR="000C6AF4" w:rsidRPr="00D03470" w:rsidRDefault="000C6AF4" w:rsidP="000C6AF4">
      <w:pPr>
        <w:pStyle w:val="NormalHanging12a"/>
      </w:pPr>
      <w:r w:rsidRPr="00D03470">
        <w:t>3.</w:t>
      </w:r>
      <w:r w:rsidRPr="00D03470">
        <w:tab/>
        <w:t>naglašava potrebu za nepristranošću sudaca; podsjeća da se imenovanje i napredovanje sudaca mora određivati isključivo na temelju njihovih kvalifikacija i da na to ne smiju utjecati politički ili osobni razlozi jer su suci od presudne važnosti za jamčenje neovisnosti pravosuđa; podsjeća da kriteriji za predlaganje kandidata i njihovo imenovanje na visoke sudačke položaje moraju biti potpuno transparentni;</w:t>
      </w:r>
    </w:p>
    <w:p w14:paraId="5C6AE829" w14:textId="77777777" w:rsidR="000C6AF4" w:rsidRPr="00D03470" w:rsidRDefault="000C6AF4" w:rsidP="000C6AF4">
      <w:pPr>
        <w:pStyle w:val="NormalHanging12a"/>
      </w:pPr>
      <w:r w:rsidRPr="00D03470">
        <w:t>4.</w:t>
      </w:r>
      <w:r w:rsidRPr="00D03470">
        <w:tab/>
        <w:t>naglašava važnost uloge državnih sudbenih vijeća u očuvanju neovisnosti pravosuđa; smatra nužnom procjenu reformi čije je donošenje u tijeku u nekoliko država članica te potiče prilagodbu sastava i funkcioniranja tih tijela u skladu sa standardima koje su utvrdili Komisija i Vijeće Europe, a koje je odobrio Sud Europske unije; poziva Komisiju da u svojim budućim izvješćima o vladavini prava, u okviru svoje procjene neovisnosti pravosuđa, poseban naglasak stavi na uloge, strukture i funkcioniranje državnih sudbenih vijeća država članica;</w:t>
      </w:r>
    </w:p>
    <w:p w14:paraId="0C595C04" w14:textId="77777777" w:rsidR="000C6AF4" w:rsidRPr="00D03470" w:rsidRDefault="000C6AF4" w:rsidP="000C6AF4">
      <w:pPr>
        <w:pStyle w:val="NormalHanging12a"/>
      </w:pPr>
      <w:r w:rsidRPr="00D03470">
        <w:t>5.</w:t>
      </w:r>
      <w:r w:rsidRPr="00D03470">
        <w:tab/>
        <w:t xml:space="preserve">ističe da je državno odvjetništvo ključan element koji državama članicama omogućuje borbu protiv kriminala i korupcije; izražava žaljenje zbog svakog vladinog ili političkog uplitanja u istrage korupcije i podsjeća da nitko nije iznad zakona; osuđuje zlouporabu pravosudnog sustava u političke svrhe, uključujući progon političkih protivnika i </w:t>
      </w:r>
      <w:r w:rsidRPr="00D03470">
        <w:lastRenderedPageBreak/>
        <w:t>uplitanje u istrage korupcije; naglašava da politički motivirani kazneni progoni, zakoni o amnestiji i postupci pomilovanja vođeni političkim interesima dovode u pitanje povjerenje javnosti u ustavna načela i standarde EU-a; ističe važnost jamčenja autonomije i neovisnosti državnog odvjetništva, čime bi se spriječilo svako političko uplitanje u njegov rad, osobito od strane vlade; ističe ulogu transparentnih postupaka imenovanja tužitelja kao ključnog faktora za održavanje povjerenja javnosti u kazneno pravosuđe;</w:t>
      </w:r>
      <w:r w:rsidR="00127AFC" w:rsidRPr="00D03470">
        <w:t xml:space="preserve"> ističe svoju zabrinutost zbog opetovanih napada na suce i tužitelje koji provode istaknute političke istrage u vezi sa slučajevima korupcije i zlouporabe ovlasti protiv političkih protivnika;</w:t>
      </w:r>
    </w:p>
    <w:p w14:paraId="5B2BC73D" w14:textId="77777777" w:rsidR="000C6AF4" w:rsidRPr="00D03470" w:rsidRDefault="000C6AF4" w:rsidP="000C6AF4">
      <w:pPr>
        <w:pStyle w:val="NormalHanging12a"/>
      </w:pPr>
      <w:r w:rsidRPr="00D03470">
        <w:t>6.</w:t>
      </w:r>
      <w:r w:rsidRPr="00D03470">
        <w:tab/>
        <w:t>poziva na to da stegovne postupke za suce i tužitelje vode neovisna tijela koja nisu pod političkim utjecajem i, prema potrebi, da se sustav stegovnih postupaka reformira kako bi se spriječilo da ih politička tijela koriste za kontrolu pravosuđa;</w:t>
      </w:r>
    </w:p>
    <w:p w14:paraId="39875B6F" w14:textId="77777777" w:rsidR="000C6AF4" w:rsidRPr="00D03470" w:rsidRDefault="000C6AF4" w:rsidP="000C6AF4">
      <w:pPr>
        <w:pStyle w:val="NormalHanging12a"/>
      </w:pPr>
      <w:r w:rsidRPr="00D03470">
        <w:t>7.</w:t>
      </w:r>
      <w:r w:rsidRPr="00D03470">
        <w:tab/>
        <w:t xml:space="preserve">poziva Komisiju da zadrži stalan nadzor kako bi se osiguralo da suci i tužitelji ostanu neovisni o tijelima odgovornima za njihovo imenovanje ili ponovno imenovanje; poziva Komisiju da proaktivno prati i brzo reagira na rizike od nazadovanja u području vladavine prava u područjima neovisnosti pravosuđa i pristupa pravosuđu, u skladu s načelom </w:t>
      </w:r>
      <w:proofErr w:type="spellStart"/>
      <w:r w:rsidRPr="00D03470">
        <w:t>neregresije</w:t>
      </w:r>
      <w:proofErr w:type="spellEnd"/>
      <w:r w:rsidRPr="00D03470">
        <w:t>, kako je pojašnjeno u nedavnoj sudskoj praksi Suda Europske unije;</w:t>
      </w:r>
    </w:p>
    <w:p w14:paraId="18CB76DC" w14:textId="77777777" w:rsidR="000C6AF4" w:rsidRPr="00D03470" w:rsidRDefault="000C6AF4" w:rsidP="000C6AF4">
      <w:pPr>
        <w:pStyle w:val="NormalHanging12a"/>
      </w:pPr>
      <w:r w:rsidRPr="00D03470">
        <w:t>8.</w:t>
      </w:r>
      <w:r w:rsidRPr="00D03470">
        <w:tab/>
        <w:t>napominje da je Komisija zaključila da postoje strukturni izazovi za poboljšanje učinkovitosti, dostupnosti i kvalitete pravosuđa u nekim državama članicama</w:t>
      </w:r>
      <w:r w:rsidRPr="00D03470">
        <w:rPr>
          <w:rStyle w:val="FootnoteReference"/>
        </w:rPr>
        <w:footnoteReference w:id="45"/>
      </w:r>
      <w:r w:rsidRPr="00D03470">
        <w:t xml:space="preserve"> te zemljama kandidatkinjama i potencijalnim kandidatkinjama; napominje da je Komisija utvrdila da je nekoliko država članica dodijelilo dodatna sredstva za jačanje otpornosti pravosudnih sustava kako bi se osiguralo pravodobno rješavanje predmeta i smanjio broj neriješenih predmeta, dok u drugim državama članicama razine naknada i dalje predstavljaju izazove, što često dovodi do manjka dužnosnika i nepopunjenih radnih mjesta; napominje da nedovoljno financiranje i nedostatak osoblja mogu ugroziti dostupnost i učinkovitost pravosudnih sustava, čime se narušava povjerenje u vladavinu prava; naglašava da je odgovarajuća naknada ključna za privlačenje i zadržavanje kvalificiranog pravosudnog osoblja; čvrsto smatra da je osposobljavanje ključan element kojim se jamči neovisnost sudaca, kao i kvaliteta i učinkovitost pravosudnog sustava; navodi da su sudski postupci koji se provode u razumnom roku važan element stanja vladavine prava i pravičnih postupaka; u tom kontekstu napominje da pregled stanja u području pravosuđa upućuje na znatne razlike diljem pravnog područja EU-a;</w:t>
      </w:r>
    </w:p>
    <w:p w14:paraId="509B9EFA" w14:textId="77777777" w:rsidR="000C6AF4" w:rsidRPr="00D03470" w:rsidRDefault="000C6AF4" w:rsidP="000C6AF4">
      <w:pPr>
        <w:pStyle w:val="NormalHanging12a"/>
      </w:pPr>
      <w:r w:rsidRPr="00D03470">
        <w:t>9.</w:t>
      </w:r>
      <w:r w:rsidRPr="00D03470">
        <w:tab/>
        <w:t>potiče države članice da sucima osiguraju prilike za usavršavanje; čvrsto smatra da bi osposobljavanje trebalo biti multidisciplinarno, s posebnim naglaskom na rodnoj ravnopravnosti; ponavlja da su odgovarajući resursi, uključujući financiranje, infrastrukturu i kvalificirano osoblje, ključni za učinkovitost i poboljšanje pravosudnih sustava; prepoznaje ulogu sudskog osoblja, uključujući javne bilježnike, u brojnim državama članicama; poziva sve države članice da u razumnom roku poduzimaju daljnje mjere u vezi sa slučajevima korupcije kako se među građanima ne bi poticao dojam nekažnjivosti; poziva države članice da iskoriste mogućnosti koje nudi digitalizacija kako bi pojednostavnile postupke i procese, poboljšale učinkovitost i pristupačnost, uštedjele vrijeme i smanjile troškove skladištenja;</w:t>
      </w:r>
    </w:p>
    <w:p w14:paraId="7D2EBA7A" w14:textId="77777777" w:rsidR="000C6AF4" w:rsidRPr="00D03470" w:rsidRDefault="000C6AF4" w:rsidP="000C6AF4">
      <w:pPr>
        <w:pStyle w:val="NormalHanging12a"/>
      </w:pPr>
      <w:r w:rsidRPr="00D03470">
        <w:lastRenderedPageBreak/>
        <w:t>10.</w:t>
      </w:r>
      <w:r w:rsidRPr="00D03470">
        <w:tab/>
        <w:t>naglašava važnost neovisnih pravosudnih sustava i pristupa besplatnoj pravnoj pomoći za osiguravanje jednakog pristupa pravosuđu; ponavlja da su za poboljšanje pravosudnih sustava ključni adekvatni resursi, uključujući infrastrukturu i osoblje; preporučuje da države članice poduzmu konkretne korake za poboljšanje pristupa pravosuđu za marginalizirane i ugrožene skupine, među ostalim adekvatno financirane i poboljšane sustave pravne pomoći i mjere za uklanjanje jezičnih prepreka i digitalnog jaza;</w:t>
      </w:r>
    </w:p>
    <w:p w14:paraId="04B4DC7A" w14:textId="77777777" w:rsidR="000C6AF4" w:rsidRPr="00D03470" w:rsidRDefault="000C6AF4" w:rsidP="000C6AF4">
      <w:pPr>
        <w:pStyle w:val="NormalHanging12a"/>
      </w:pPr>
      <w:r w:rsidRPr="00D03470">
        <w:t>11.</w:t>
      </w:r>
      <w:r w:rsidRPr="00D03470">
        <w:tab/>
        <w:t>podsjeća da se u Izvješću Komisije o vladavini prava za 2024. navodi da i dalje postoje razlozi za ozbiljnu zabrinutost u pogledu neovisnosti pravosuđa u Mađarskoj te i dalje postoji politički utjecaj na državno odvjetništvo, uz rizik od neprimjerenog uplitanja u pojedinačne slučajeve, te da je sloboda izražavanja sudaca i dalje pod pritiskom, a kampanje ocrnjivanja sudaca nastavljaju se u medijima;</w:t>
      </w:r>
    </w:p>
    <w:p w14:paraId="297AD511" w14:textId="77777777" w:rsidR="000C6AF4" w:rsidRPr="00D03470" w:rsidRDefault="000C6AF4" w:rsidP="000C6AF4">
      <w:pPr>
        <w:pStyle w:val="NormalHanging12a"/>
      </w:pPr>
      <w:r w:rsidRPr="00D03470">
        <w:t>12.</w:t>
      </w:r>
      <w:r w:rsidRPr="00D03470">
        <w:tab/>
        <w:t>pozdravlja ključnu ulogu Suda u očuvanju vladavine prava diljem EU-a; podržava daljnje inicijative za povećanje resursa i kapaciteta Suda EU-a za učinkovito rješavanje daljnjih izazova u području vladavine prava; ponavlja da se u skladu s člankom 19. UEU-a i člankom 267. UFEU-a nacionalnim sudovima ne može onemogućiti korištenje mogućnosti upućivanja zahtjeva Sudu Europske unije za donošenje prethodne odluke; poziva Komisiju da u tom kontekstu provede sustavnu provjeru u okviru svojeg godišnjeg izvješća o vladavini prava te da pokrene postupke zbog povrede u slučajevima u kojima se nacionalni suci suočavaju s preprekama u tom pogledu;</w:t>
      </w:r>
    </w:p>
    <w:p w14:paraId="684CAF1C" w14:textId="77777777" w:rsidR="000C6AF4" w:rsidRPr="00D03470" w:rsidRDefault="000C6AF4" w:rsidP="000C6AF4">
      <w:pPr>
        <w:pStyle w:val="NormalHanging12a"/>
      </w:pPr>
      <w:r w:rsidRPr="00D03470">
        <w:t>13.</w:t>
      </w:r>
      <w:r w:rsidRPr="00D03470">
        <w:tab/>
        <w:t>izražava žaljenje zbog tendencije nekih država članica da selektivno primjenjuju, odgađaju ili ne provode presude Suda EU-a i Europskog suda za ljudska prava te poziva na njihovu pravodobnu i učinkovitu provedbu; naglašava da države članice i institucije EU-a moraju sustavno integrirati i provoditi najnoviju sudsku praksu Suda EU-a kako bi se poštovala vladavina prava i osigurala ujednačena primjena prava EU-a; poziva na brzu prilagodbu nacionalnog zakonodavstva i institucionalnih okvira kako bi oni bili u skladu sa sudskim presudama;</w:t>
      </w:r>
    </w:p>
    <w:p w14:paraId="60E6BF61" w14:textId="77777777" w:rsidR="000C6AF4" w:rsidRPr="00D03470" w:rsidRDefault="000C6AF4" w:rsidP="000C6AF4">
      <w:pPr>
        <w:pStyle w:val="NormalHanging12a"/>
      </w:pPr>
      <w:r w:rsidRPr="00D03470">
        <w:t>14.</w:t>
      </w:r>
      <w:r w:rsidRPr="00D03470">
        <w:tab/>
        <w:t>ponovno ističe svoju snažnu potporu Međunarodnom sudu i Međunarodnom kaznenom sudu kao neophodnim, neovisnim i nepristranim pravosudnim institucijama u kontekstu posebno zahtjevnog vremena za međunarodnu pravdu; podsjeća da je potrebno u potpunosti provoditi pravno obvezujuće naloge Međunarodnog suda; poziva Uniju, njezine države članice te zemlje kandidatkinje i potencijalne kandidatkinje da nastave podupirati Međunarodni kazneni sud;</w:t>
      </w:r>
    </w:p>
    <w:p w14:paraId="0F48CFE5" w14:textId="77777777" w:rsidR="000C6AF4" w:rsidRPr="00D03470" w:rsidRDefault="000C6AF4" w:rsidP="000C6AF4">
      <w:pPr>
        <w:pStyle w:val="NormalHanging12a"/>
      </w:pPr>
      <w:r w:rsidRPr="00D03470">
        <w:t>15.</w:t>
      </w:r>
      <w:r w:rsidRPr="00D03470">
        <w:tab/>
        <w:t xml:space="preserve">potiče Komisiju, kao čuvaricu Ugovorâ, da ispuni svoju obvezu provedbe temeljnih vrijednosti Unije, među ostalim onih navedenih u članku 2. UEU-a te u primarnom pravu EU-a, i da se ne oslanja na građane koji sami pokretanjem postupaka pred sudovima osiguravaju primjenu prava EU-a; naglašava da se neprovođenjem domaćih i međunarodnih presuda krši vladavina prava i ljude dovodi u rizik od ostanka bez pravnog lijeka, čime se u javnosti može stvoriti dojam da se presude mogu zanemariti, čime se narušava opće povjerenje u pošteno suđenje; ističe temeljnu ulogu Suda EU-a i Europskog suda za ljudska prava u jamčenju poštovanja prava i osiguranju ujednačenosti u njegovoj primjeni; predlaže utvrđivanje jasnih rokova za provedbu sudskih presuda, kao i detaljan plan praćenja provedbe presuda koje su u postupku; potiče Komisiju da po potrebi pokrene postupke zbog povrede, zajedno s prijedlozima za privremene mjere; poziva države članice da brzo provedu neriješene presude Suda EU-a i Europskog suda za ljudska prava te predlaže uspostavu odjela za praćenje </w:t>
      </w:r>
      <w:r w:rsidRPr="00D03470">
        <w:lastRenderedPageBreak/>
        <w:t xml:space="preserve">provedbe presuda Suda EU-a i Europskog suda za ljudska prava u vezi s demokracijom, vladavinom prava i temeljnim pravima u zemljama EU-a, kao i da se zaključci spomenutog odjela za praćenje u potpunosti integriraju u godišnje izvješće o vladavini prava; posebno preporučuje Komisiji da u slučajevima neprovedbe presuda Suda EU-a poduzme mjere u skladu s člankom 260. stavkom 2. UFEU-a te da primijeni Uredbu o uvjetovanosti u pogledu vladavine prava u slučajevima </w:t>
      </w:r>
      <w:proofErr w:type="spellStart"/>
      <w:r w:rsidRPr="00D03470">
        <w:t>nepostupanja</w:t>
      </w:r>
      <w:proofErr w:type="spellEnd"/>
      <w:r w:rsidRPr="00D03470">
        <w:t xml:space="preserve"> u skladu s presudama Suda EU-a i Europskog suda za ljudska prava kada utvrđena povreda utječe na proračun ili financijske interese Unije ili postoji ozbiljan rizik od takvog utjecaja; naglašava da sustavno nepoštovanje prava EU-a mora dovesti do konkretnih financijskih sankcija kako bi se osiguralo istinsko odvraćanje; poziva Komisiju da procijeni opravdavaju li kašnjenja ili nepoštovanje takvih presuda pokretanje postupaka zbog nedjelovanja, u skladu s člankom 258. UFEU-a; poziva Komisiju da sustavno analizira podatke o nepoštovanju stajališta ugovornih tijela UN-a o pojedinačnim zemljama;</w:t>
      </w:r>
    </w:p>
    <w:p w14:paraId="775C4DFE" w14:textId="77777777" w:rsidR="000C6AF4" w:rsidRPr="00D03470" w:rsidRDefault="000C6AF4" w:rsidP="000C6AF4">
      <w:pPr>
        <w:pStyle w:val="NormalHanging12a"/>
      </w:pPr>
      <w:r w:rsidRPr="00D03470">
        <w:t>16.</w:t>
      </w:r>
      <w:r w:rsidRPr="00D03470">
        <w:tab/>
        <w:t>pozdravlja reviziju Direktive o pravima žrtava</w:t>
      </w:r>
      <w:r w:rsidRPr="00D03470">
        <w:rPr>
          <w:rStyle w:val="FootnoteReference"/>
        </w:rPr>
        <w:footnoteReference w:id="46"/>
      </w:r>
      <w:r w:rsidRPr="00D03470">
        <w:t xml:space="preserve"> kako bi se uklonili pravni nedostaci i osiguralo da žrtve mogu pristupiti pravosuđu i dobiti potporu; poziva Vijeće da u najvećoj mogućoj mjeri uključi odredbe iz mandata Parlamenta, uključujući odredbe kojima se žrtvama jamči pravo na preispitivanje odluka u kaznenim postupcima, odredbe o pristupu pravnim lijekovima i pravednoj naknadi te odredbe o sveobuhvatnim uslugama potpore, posebno za one u ranjivom položaju; naglašava važnost učinkovitog prikupljanja podataka, povećanja dodjele sredstava za pomoć žrtvama te zaštite privatnosti žrtava i osobnih podataka kako bi se spriječila sekundarna viktimizacija i osiguralo da žrtve, uključujući migrante bez osobnih dokumenata i tražitelje azila, mogu sigurno prijaviti kaznena djela; očekuje od </w:t>
      </w:r>
      <w:proofErr w:type="spellStart"/>
      <w:r w:rsidRPr="00D03470">
        <w:t>suzakonodavaca</w:t>
      </w:r>
      <w:proofErr w:type="spellEnd"/>
      <w:r w:rsidRPr="00D03470">
        <w:t xml:space="preserve"> da usvoje rješenja koja su usmjerena na žrtve;</w:t>
      </w:r>
    </w:p>
    <w:p w14:paraId="2B290641" w14:textId="77777777" w:rsidR="000C6AF4" w:rsidRPr="00D03470" w:rsidRDefault="000C6AF4" w:rsidP="000C6AF4">
      <w:pPr>
        <w:pStyle w:val="NormalHanging12a"/>
      </w:pPr>
      <w:r w:rsidRPr="00D03470">
        <w:t>17.</w:t>
      </w:r>
      <w:r w:rsidRPr="00D03470">
        <w:tab/>
        <w:t>prepoznaje ključnu ulogu izvršavanja zakonodavstva u poštovanju vladavine prava i zaštiti temeljnih prava; poziva države članice da osiguraju odgovarajuća financijska sredstva, osposobljavanje i resurse za policiju i tijela kaznenog progona; poziva države članice da u tom pogledu uzimaju u obzir Kodeks policijske etike Vijeća Europe; naglašava da svaka upotreba sile mora biti strogo nužna, razmjerna i podložna jasnim zaštitnim mjerama; poziva države članice da uvedu smjernice za transparentan, neovisan i dosljedan postupak odabira, testiranja i isprobavanja oružja koje koriste službenici tijela kaznenog progona, na temelju UN-ovih standarda, preporuka i vodećih načela; napominje da bi prije njihova odabira i uvođenja tom procjenom trebalo utvrditi da su spomenuta oružja u skladu s međunarodnim pravom i standardima u području ljudskih prava; poziva države članice da temeljito istraže svaki slučaj prekomjerne uporabe sile i diskriminirajućeg postupanja tijela kaznenog progona;</w:t>
      </w:r>
    </w:p>
    <w:p w14:paraId="5FE1C48D" w14:textId="77777777" w:rsidR="000C6AF4" w:rsidRPr="00D03470" w:rsidRDefault="000C6AF4" w:rsidP="000C6AF4">
      <w:pPr>
        <w:pStyle w:val="NormalHanging12a"/>
      </w:pPr>
      <w:r w:rsidRPr="00D03470">
        <w:t>18.</w:t>
      </w:r>
      <w:r w:rsidRPr="00D03470">
        <w:tab/>
        <w:t>poziva Komisiju da u buduća izvješća o vladavini prava uvrsti, kao pitanje koje se odnosi na vladavinu prava, uvjete u zatvorima s obzirom na ozbiljnu i rastuću zabrinutost u cijeloj Europi u pogledu prenapučenosti, neprimjerenih životnih uvjeta i zabrinjavajuće stope samoubojstava u zatvorima;</w:t>
      </w:r>
    </w:p>
    <w:p w14:paraId="733E465D" w14:textId="77777777" w:rsidR="000C6AF4" w:rsidRPr="00D03470" w:rsidRDefault="000C6AF4" w:rsidP="000C6AF4">
      <w:pPr>
        <w:pStyle w:val="NormalHanging12a"/>
      </w:pPr>
      <w:r w:rsidRPr="00D03470">
        <w:lastRenderedPageBreak/>
        <w:t>19.</w:t>
      </w:r>
      <w:r w:rsidRPr="00D03470">
        <w:tab/>
        <w:t xml:space="preserve">poziva Komisiju da obrati posebnu pozornost na analizu </w:t>
      </w:r>
      <w:proofErr w:type="spellStart"/>
      <w:r w:rsidRPr="00D03470">
        <w:t>postupovne</w:t>
      </w:r>
      <w:proofErr w:type="spellEnd"/>
      <w:r w:rsidRPr="00D03470">
        <w:t xml:space="preserve"> pravde kako bi se utvrdile prednosti, nedostaci, razlike i najbolje prakse u osiguravanju transparentnosti, učinkovitosti i pravednog postupanja pri jačanju administrativne pravde diljem EU-a kako bi se zajamčila odgovornost javnih tijela;</w:t>
      </w:r>
    </w:p>
    <w:p w14:paraId="371E4244" w14:textId="77777777" w:rsidR="000C6AF4" w:rsidRPr="00D03470" w:rsidRDefault="000C6AF4" w:rsidP="000C6AF4">
      <w:pPr>
        <w:pStyle w:val="Normal12a24b"/>
        <w:rPr>
          <w:i/>
        </w:rPr>
      </w:pPr>
      <w:r w:rsidRPr="00D03470">
        <w:rPr>
          <w:rStyle w:val="Bold"/>
          <w:i/>
        </w:rPr>
        <w:t xml:space="preserve">Okvir za borbu protiv korupcije </w:t>
      </w:r>
    </w:p>
    <w:p w14:paraId="1EE0F483" w14:textId="77777777" w:rsidR="000C6AF4" w:rsidRPr="00D03470" w:rsidRDefault="000C6AF4" w:rsidP="000C6AF4">
      <w:pPr>
        <w:pStyle w:val="NormalHanging12a"/>
      </w:pPr>
      <w:r w:rsidRPr="00D03470">
        <w:t>20.</w:t>
      </w:r>
      <w:r w:rsidRPr="00D03470">
        <w:tab/>
        <w:t>naglašava da vladavina prava zahtijeva da osobe koje obnašaju javne dužnosti ne mogu djelovati proizvoljno ili zloupotrebljavati svoje ovlasti za osobnu korist; ističe da bi vlade trebale donositi zakone u interesu šire javnosti, a ne u interesu određenih pojedinaca;</w:t>
      </w:r>
    </w:p>
    <w:p w14:paraId="3710F5D8" w14:textId="77777777" w:rsidR="000C6AF4" w:rsidRPr="00D03470" w:rsidRDefault="000C6AF4" w:rsidP="000C6AF4">
      <w:pPr>
        <w:pStyle w:val="NormalHanging12a"/>
      </w:pPr>
      <w:r w:rsidRPr="00D03470">
        <w:t>21.</w:t>
      </w:r>
      <w:r w:rsidRPr="00D03470">
        <w:tab/>
        <w:t xml:space="preserve">ponavlja da je korupcija ozbiljna prijetnja demokraciji, temeljnim pravima i vladavini prava u državama članicama, zemljama kandidatkinjama i potencijalnim kandidatkinjama; naglašava da korupcija narušava povjerenje građana u javne institucije; izražava žaljenje zbog činjenice da istraživanje </w:t>
      </w:r>
      <w:proofErr w:type="spellStart"/>
      <w:r w:rsidRPr="00D03470">
        <w:t>Eurobarometra</w:t>
      </w:r>
      <w:proofErr w:type="spellEnd"/>
      <w:r w:rsidRPr="00D03470">
        <w:t xml:space="preserve"> o korupciji iz 2024. pokazuje da je korupcija i dalje ozbiljan problem za građane i poduzeća u EU-u, pri čemu 68 % europskih građana smatra da je korupcija u njihovoj zemlji raširena, 65 % smatra da se slučajevi korupcije na visokoj razini ne rješavaju u dovoljnoj mjeri, a 41 % smatra da se razina korupcije povećala; smatra da je to poziv EU-u da se snažnije bori protiv korupcije;</w:t>
      </w:r>
    </w:p>
    <w:p w14:paraId="20B43869" w14:textId="77777777" w:rsidR="000C6AF4" w:rsidRPr="00D03470" w:rsidRDefault="000C6AF4" w:rsidP="000C6AF4">
      <w:pPr>
        <w:pStyle w:val="NormalHanging12a"/>
      </w:pPr>
      <w:r w:rsidRPr="00D03470">
        <w:t>22.</w:t>
      </w:r>
      <w:r w:rsidRPr="00D03470">
        <w:tab/>
        <w:t>ponavlja svoj poziv Komisiji da smjesta finalizira pregovore o članstvu EU-a u Skupini država protiv korupcije (GRECO) Vijeća Europe; napominje da će se takvim članstvom osigurati veća transparentnost, odgovornost i učinkovitost u upravljanju sredstvima EU-a, zakonodavnom postupku i radu institucija EU-a, te zahtijeva da godišnje izvješće o vladavini prava obuhvaća institucije EU-a;</w:t>
      </w:r>
    </w:p>
    <w:p w14:paraId="3CE4DEEC" w14:textId="77777777" w:rsidR="000C6AF4" w:rsidRPr="00D03470" w:rsidRDefault="000C6AF4" w:rsidP="000C6AF4">
      <w:pPr>
        <w:pStyle w:val="NormalHanging12a"/>
      </w:pPr>
      <w:r w:rsidRPr="00D03470">
        <w:t>23.</w:t>
      </w:r>
      <w:r w:rsidRPr="00D03470">
        <w:tab/>
        <w:t>ponavlja poziv svim državama članicama da donesu kodeks ponašanja za suce u skladu s preporukama GRECO-a, uzimajući kao primjer kodekse koji se primjenjuju na Europskom sudu za ljudska prava i Sudu Europske unije; poziva države članice da uspostave neovisne mehanizme za istragu navodnih povreda kodeksa ponašanja i drugih zakona, da poboljšaju otkrivanje i transparentnost u pogledu sukoba interesa i darova koje primaju predstavnici pravosuđa te da riješe pitanje rotirajućih vrata;</w:t>
      </w:r>
    </w:p>
    <w:p w14:paraId="3348E837" w14:textId="77777777" w:rsidR="000C6AF4" w:rsidRPr="00D03470" w:rsidRDefault="000C6AF4" w:rsidP="000C6AF4">
      <w:pPr>
        <w:pStyle w:val="NormalHanging12a"/>
      </w:pPr>
      <w:r w:rsidRPr="00D03470">
        <w:t>24.</w:t>
      </w:r>
      <w:r w:rsidRPr="00D03470">
        <w:tab/>
        <w:t xml:space="preserve">poziva države članice, zemlje kandidatkinje i potencijalne kandidatkinje te institucije EU-a da povećaju transparentnost i odgovornost u javnim institucijama jačanjem pravnih okvira za borbu protiv korupcije i sukob nadležnosti te postupaka izvješćivanja kako bi se osigurala učinkovita istraga i kazneni progon slučajeva korupcije, uključujući slučajeve korupcije na visokoj razini (među ostalim, slučajeve povezane s postupcima javne nabave te s visokorizičnim područjima kao što su luke ili kopnene granice), osnaživanjem nadzornih mehanizama i tijela te neovisnosti i pravilnog funkcioniranja postojećih agencija, poticanjem zaštite zviždača, poboljšanjem okvira integriteta i lobiranjem za zakonodavstvo; izražava žaljenje zbog nedovoljnog napretka u tom području te naglašava da su pravomoćne presude i </w:t>
      </w:r>
      <w:proofErr w:type="spellStart"/>
      <w:r w:rsidRPr="00D03470">
        <w:t>odvraćajuće</w:t>
      </w:r>
      <w:proofErr w:type="spellEnd"/>
      <w:r w:rsidRPr="00D03470">
        <w:t xml:space="preserve"> kazne potrebne kako bi se pokazala istinska predanost borbi protiv korupcije; poziva države članice da zajamče transparentnost i odgovornost aktivnosti lobiranja, uključujući uspostavu ili poboljšanje obveznih registara lobiranja i mehanizama „zakonodavnog otiska” za praćenje utjecaja lobiranja na postupke donošenja zakonodavstva;</w:t>
      </w:r>
    </w:p>
    <w:p w14:paraId="0F014FB7" w14:textId="77777777" w:rsidR="000C6AF4" w:rsidRPr="00D03470" w:rsidRDefault="000C6AF4" w:rsidP="000C6AF4">
      <w:pPr>
        <w:pStyle w:val="NormalHanging12a"/>
      </w:pPr>
      <w:r w:rsidRPr="00D03470">
        <w:lastRenderedPageBreak/>
        <w:t>25.</w:t>
      </w:r>
      <w:r w:rsidRPr="00D03470">
        <w:tab/>
        <w:t>prepoznaje važnu ulogu Ureda europskog javnog tužitelja (EPPO) u zaštiti vladavine prava i borbi protiv korupcije unutar EU-a; potiče Komisiju da pomno prati razinu suradnje država članica s EPPO-om; podržava širenje nadzornih i koordinacijskih ovlasti EPPO-a u cilju povećanja njegovih sposobnosti u borbi protiv korupcije u državama članicama; poziva Komisiju da u skladu s člankom 86. stavkom 4. UFEU-a predloži proširenje mandata EPPO-a kako bi se izbjeglo zaobilaženje restriktivnih mjera EU-a i prekograničnih kaznenih djela protiv okoliša, kao i ubrzanje revizije Uredbe o EPPO-u</w:t>
      </w:r>
      <w:r w:rsidRPr="00D03470">
        <w:rPr>
          <w:rStyle w:val="FootnoteReference"/>
        </w:rPr>
        <w:footnoteReference w:id="47"/>
      </w:r>
      <w:r w:rsidRPr="00D03470">
        <w:t xml:space="preserve"> i Direktive o suzbijanju prijevara počinjenih protiv financijskih interesa Unije kaznenopravnim sredstvima</w:t>
      </w:r>
      <w:r w:rsidRPr="00D03470">
        <w:rPr>
          <w:rStyle w:val="FootnoteReference"/>
        </w:rPr>
        <w:footnoteReference w:id="48"/>
      </w:r>
      <w:r w:rsidRPr="00D03470">
        <w:t xml:space="preserve"> radi zaštite i pojašnjenja primarne nadležnosti EPPO-a u pogledu kaznenih djela korupcije koja utječu na financijske interese EU-a ili koja počine dužnosnici EU-a;</w:t>
      </w:r>
    </w:p>
    <w:p w14:paraId="405BC8C4" w14:textId="77777777" w:rsidR="000C6AF4" w:rsidRPr="00D03470" w:rsidRDefault="000C6AF4" w:rsidP="000C6AF4">
      <w:pPr>
        <w:pStyle w:val="NormalHanging12a"/>
      </w:pPr>
      <w:r w:rsidRPr="00D03470">
        <w:t>26.</w:t>
      </w:r>
      <w:r w:rsidRPr="00D03470">
        <w:tab/>
        <w:t>potiče sve države članice koje to još nisu učinile da se pridruže EPPO-u kako bi se poboljšala učinkovitost borbe protiv korupcije, posebno u pogledu zaštite sredstava EU-a; poziva sve zemlje kandidatkinje i potencijalne kandidatkinje da uspostave okvir za učinkovitu suradnju s EPPO-om;</w:t>
      </w:r>
    </w:p>
    <w:p w14:paraId="1C31E444" w14:textId="77777777" w:rsidR="000C6AF4" w:rsidRPr="00D03470" w:rsidRDefault="000C6AF4" w:rsidP="000C6AF4">
      <w:pPr>
        <w:pStyle w:val="NormalHanging12a"/>
      </w:pPr>
      <w:r w:rsidRPr="00D03470">
        <w:t>27.</w:t>
      </w:r>
      <w:r w:rsidRPr="00D03470">
        <w:tab/>
        <w:t xml:space="preserve">poziva europska tijela kao što su </w:t>
      </w:r>
      <w:proofErr w:type="spellStart"/>
      <w:r w:rsidRPr="00D03470">
        <w:t>Europol</w:t>
      </w:r>
      <w:proofErr w:type="spellEnd"/>
      <w:r w:rsidRPr="00D03470">
        <w:t xml:space="preserve">, </w:t>
      </w:r>
      <w:proofErr w:type="spellStart"/>
      <w:r w:rsidRPr="00D03470">
        <w:t>Eurojust</w:t>
      </w:r>
      <w:proofErr w:type="spellEnd"/>
      <w:r w:rsidRPr="00D03470">
        <w:t>, Europski revizorski sud, EPPO i Europski ured za borbu protiv prijevara (OLAF) da poboljšaju svoju suradnju u borbi protiv korupcije i prijevara koje se odnose na financijska sredstva EU-a;</w:t>
      </w:r>
    </w:p>
    <w:p w14:paraId="410ECF1B" w14:textId="77777777" w:rsidR="000C6AF4" w:rsidRPr="00D03470" w:rsidRDefault="000C6AF4" w:rsidP="000C6AF4">
      <w:pPr>
        <w:pStyle w:val="NormalHanging12a"/>
      </w:pPr>
      <w:r w:rsidRPr="00D03470">
        <w:t>28.</w:t>
      </w:r>
      <w:r w:rsidRPr="00D03470">
        <w:tab/>
        <w:t>poziva Komisiju da poveća transparentnost i odgovornost u svim svojim komunikacijama, posjetima i sastancima, posebno s nacionalnim akterima na visokoj razini;</w:t>
      </w:r>
    </w:p>
    <w:p w14:paraId="702C26CE" w14:textId="77777777" w:rsidR="000C6AF4" w:rsidRPr="00D03470" w:rsidRDefault="000C6AF4" w:rsidP="000C6AF4">
      <w:pPr>
        <w:pStyle w:val="NormalHanging12a"/>
      </w:pPr>
      <w:r w:rsidRPr="00D03470">
        <w:t>29.</w:t>
      </w:r>
      <w:r w:rsidRPr="00D03470">
        <w:tab/>
        <w:t xml:space="preserve">pozdravlja Komisijin prijedlog direktive o borbi protiv korupcije, kojim se usklađuju definicija kaznenih djela korupcije u javnom i privatnom sektoru i odgovarajuće kazne; pozdravlja uključivanje preventivnih mjera, među ostalim u pogledu nezakonitog političkog financiranja, te osposobljavanja u Direktivu o borbi protiv korupcije, kao što su učinkovita pravila za otkrivanje i upravljanje sukobima interesa, otvoren pristup informacijama i učinkovita pravila kojima se uređuje interakcija između privatnog i javnog sektora; poziva države članice da i one uspostave učinkovita pravila za rješavanje problema rotirajućih vrata, uspostave kodekse ponašanja za javne dužnosnike, uspostave javni zakonodavni otisak, osiguraju transparentnost u financiranju kandidatura za izabrane javne dužnosnike i političke stranke; cijeni činjenicu da skoro sve države članice sada imaju uspostavljene strategije za borbu protiv korupcije; istodobno izražava žaljenje zbog razlika u provedbi i učinkovitosti; poziva države članice koje to još nisu učinile da razviju i provedu snažne i učinkovite strategije za borbu protiv korupcije uz sudjelovanje civilnog društva; naglašava važnost identifikacije, obavješćivanja, zastupanja i koordinacije žrtava korupcije; poziva države članice da zaštite žrtve korupcije i da im omoguće da iznesu svoja stajališta i razloge za zabrinutost te da se ona razmotre u odgovarajućim fazama kaznenog postupka; poziva </w:t>
      </w:r>
      <w:r w:rsidRPr="00D03470">
        <w:lastRenderedPageBreak/>
        <w:t>države članice da žrtvama korupcije osiguraju pravo na primjerenu i razmjernu naknadu;</w:t>
      </w:r>
    </w:p>
    <w:p w14:paraId="68D9B188" w14:textId="77777777" w:rsidR="000C6AF4" w:rsidRPr="00D03470" w:rsidRDefault="000C6AF4" w:rsidP="000C6AF4">
      <w:pPr>
        <w:pStyle w:val="NormalHanging12a"/>
      </w:pPr>
      <w:r w:rsidRPr="00D03470">
        <w:t>30.</w:t>
      </w:r>
      <w:r w:rsidRPr="00D03470">
        <w:tab/>
        <w:t xml:space="preserve">poziva sve institucije, tijela, urede i agencije EU-a da ojačaju svoje mjere borbe protiv korupcije u pogledu otkrivanja slučajeva sukoba interesa i postupanja u tim slučajevima, otvorenog pristupa informacijama, pravila kojima se uređuje interakcija institucija, tijela, ureda i agencija EU-a s privatnim sektorom, rješavanja problema rotirajućih vrata i kodeksa ponašanja za javne dužnosnike; smatra da se zastupnici u Europskom parlamentu tijekom svojeg mandata ne bi smjeli sudjelovati u plaćenim popratnim aktivnostima s profitnim organizacijama ili poduzećima koji žele utjecati na donošenje politika EU-a; </w:t>
      </w:r>
    </w:p>
    <w:p w14:paraId="027CA2A0" w14:textId="77777777" w:rsidR="000C6AF4" w:rsidRPr="00D03470" w:rsidRDefault="000C6AF4" w:rsidP="000C6AF4">
      <w:pPr>
        <w:pStyle w:val="NormalHanging12a"/>
      </w:pPr>
      <w:r w:rsidRPr="00D03470">
        <w:t>31.</w:t>
      </w:r>
      <w:r w:rsidRPr="00D03470">
        <w:tab/>
        <w:t>prepoznaje ključnu ulogu zviždača u otkrivanju korupcije i promicanju transparentnosti u javnom i privatnom sektoru; naglašava da je potrebno zaštititi zviždače od odmazde i uznemiravanja; poziva na daljnje osnaživanje neovisnih i autonomnih tijela za zaštitu zviždača te na njihovu daljnju integraciju u šire nacionalne okvire za borbu protiv korupcije, osiguravajući jedinstven i čvrst pristup borbi protiv korupcije u svim državama članicama;</w:t>
      </w:r>
    </w:p>
    <w:p w14:paraId="02777D0A" w14:textId="77777777" w:rsidR="000C6AF4" w:rsidRPr="00D03470" w:rsidRDefault="000C6AF4" w:rsidP="000C6AF4">
      <w:pPr>
        <w:pStyle w:val="Normal12a24b"/>
      </w:pPr>
      <w:r w:rsidRPr="00D03470">
        <w:rPr>
          <w:rStyle w:val="BoldItalic"/>
        </w:rPr>
        <w:t>Medijski pluralizam i sloboda medija</w:t>
      </w:r>
    </w:p>
    <w:p w14:paraId="3D04A2DB" w14:textId="77777777" w:rsidR="000C6AF4" w:rsidRPr="00D03470" w:rsidRDefault="000C6AF4" w:rsidP="000C6AF4">
      <w:pPr>
        <w:pStyle w:val="NormalHanging12a"/>
      </w:pPr>
      <w:r w:rsidRPr="00D03470">
        <w:t>32.</w:t>
      </w:r>
      <w:r w:rsidRPr="00D03470">
        <w:tab/>
        <w:t>pozdravlja inicijative za promicanje slobodnih, neovisnih i pluralističkih medija te sigurnog i poticajnog okruženja za novinare, kao što je Europski akt o slobodi medija (EMFA)</w:t>
      </w:r>
      <w:r w:rsidRPr="00D03470">
        <w:rPr>
          <w:rStyle w:val="FootnoteReference"/>
        </w:rPr>
        <w:footnoteReference w:id="49"/>
      </w:r>
      <w:r w:rsidRPr="00D03470">
        <w:t>, i poziva na njegovu brzu provedbu; poziva države članice, zemlje kandidatkinje i potencijalne kandidatkinje da poboljšaju transparentnost u raspodjeli sredstava za državno oglašavanje na internetu i izvan njega te da slijede preporuke iz Preporuke Komisije (EU) 2021/1534 od 16. rujna 2021. o jamčenju zaštite, sigurnosti i jačanja položaja novinara i drugih medijskih djelatnika u Europskoj uniji; poziva Komisiju da državama članicama pruži potrebnu pomoć za prenošenje Europskog akta o slobodi medija u nacionalno zakonodavstvo te da prati njegovu provedbu, posebno u određenim državama članicama koje ne kotiraju dobro prema indeksima slobode medija; ističe da je Europski akt o slobodi medija ključna prekretnica u zaštiti neovisnosti, pluralizma i integriteta medijskog okruženja diljem Unije;</w:t>
      </w:r>
    </w:p>
    <w:p w14:paraId="75E87B33" w14:textId="77777777" w:rsidR="000C6AF4" w:rsidRPr="00D03470" w:rsidRDefault="000C6AF4" w:rsidP="000C6AF4">
      <w:pPr>
        <w:pStyle w:val="NormalHanging12a"/>
      </w:pPr>
      <w:r w:rsidRPr="00D03470">
        <w:t>33.</w:t>
      </w:r>
      <w:r w:rsidRPr="00D03470">
        <w:tab/>
        <w:t xml:space="preserve">izražava duboku zabrinutost zbog sve češćih napada na novinare i izdavače, pri čemu su žene nerazmjerno pogođene; poziva Komisiju i države članice te zemlje kandidatkinje i potencijalne kandidatkinje da zajamče sigurnost i zaštitu novinara, uključujući osobito izložene istraživačke novinare i provjeravatelje činjenica; ističe činjenicu da najčešći oblici prijetnji uključuju verbalne napade, uznemiravanje na internetu, zastrašivanje putem društvenih mreža i e-pošte te pravne prijetnje, uključujući slučajeve obuhvaćene </w:t>
      </w:r>
      <w:r w:rsidRPr="00D03470">
        <w:lastRenderedPageBreak/>
        <w:t>Direktivom protiv strateških tužbi usmjerenih protiv javnog djelovanja</w:t>
      </w:r>
      <w:r w:rsidRPr="00D03470">
        <w:rPr>
          <w:rStyle w:val="FootnoteReference"/>
        </w:rPr>
        <w:footnoteReference w:id="50"/>
      </w:r>
      <w:r w:rsidRPr="00D03470">
        <w:t>, kao i slučajeve uhođenja i osobnog uznemiravanja;</w:t>
      </w:r>
    </w:p>
    <w:p w14:paraId="72CB4F4E" w14:textId="77777777" w:rsidR="000C6AF4" w:rsidRPr="00D03470" w:rsidRDefault="000C6AF4" w:rsidP="000C6AF4">
      <w:pPr>
        <w:pStyle w:val="NormalHanging12a"/>
      </w:pPr>
      <w:r w:rsidRPr="00D03470">
        <w:t>34.</w:t>
      </w:r>
      <w:r w:rsidRPr="00D03470">
        <w:tab/>
        <w:t>poziva države članice da u potpunosti provedu Direktivu protiv SLAPP-ova i Preporuku Komisije (EU) 2022/758 od 27. travnja 2022. o zaštiti novinara i boraca za ljudska prava uključenih u javno djelovanje od očito neosnovanih ili zlonamjernih sudskih postupaka</w:t>
      </w:r>
      <w:r w:rsidRPr="00D03470">
        <w:rPr>
          <w:rStyle w:val="FootnoteReference"/>
        </w:rPr>
        <w:footnoteReference w:id="51"/>
      </w:r>
      <w:r w:rsidRPr="00D03470">
        <w:t xml:space="preserve"> te da donesu sveobuhvatne nacionalne mjere protiv strateških tužbi usmjerenih protiv javnog djelovanja kako bi se zaštitili novinari i pružila potpora onima koji su u obavljanju svojega posla izloženi zastrašivanjima, klevetama i ograničenjima; preporučuje da države članice pri prenošenju Direktive prošire njezinu primjenu na nacionalne slučajeve jer se većina strateških tužbi usmjerenih protiv javnog djelovanja odvija na nacionalnoj razini; poziva Komisiju da iznese prijedloge za rješavanje slučajeva strateških tužbi usmjerenih protiv javnog djelovanja koji nisu obuhvaćeni postojećom Direktivom;</w:t>
      </w:r>
    </w:p>
    <w:p w14:paraId="7CAE663B" w14:textId="77777777" w:rsidR="000C6AF4" w:rsidRPr="00D03470" w:rsidRDefault="000C6AF4" w:rsidP="000C6AF4">
      <w:pPr>
        <w:pStyle w:val="NormalHanging12a"/>
      </w:pPr>
      <w:r w:rsidRPr="00D03470">
        <w:t>35.</w:t>
      </w:r>
      <w:r w:rsidRPr="00D03470">
        <w:tab/>
        <w:t>poziva na uvođenje posebnih otegotnih okolnosti u kazneno pravo za kaznena djela počinjena protiv novinara ako su takva djela počinjena zbog njihovih profesionalnih aktivnosti ili su s njima povezana;</w:t>
      </w:r>
    </w:p>
    <w:p w14:paraId="4994F239" w14:textId="77777777" w:rsidR="000C6AF4" w:rsidRPr="00D03470" w:rsidRDefault="000C6AF4" w:rsidP="000C6AF4">
      <w:pPr>
        <w:pStyle w:val="NormalHanging12a"/>
      </w:pPr>
      <w:r w:rsidRPr="00D03470">
        <w:t>36.</w:t>
      </w:r>
      <w:r w:rsidRPr="00D03470">
        <w:tab/>
        <w:t>potiče države članice, zemlje kandidatkinje i potencijalne kandidatkinje da zaštite i promiču slobodu i pluralizam medija, pobrinu se za transparentnu raspodjelu javnih sredstava, spriječe koncentraciju vlasništva nad medijima, zaštite uredničku neovisnost i bore se protiv dezinformacija, osobito putem snažnih zakona, uključujući konkretne odredbe o transparentnosti vlasništva nad medijima, i neovisnih regulatornih tijela; ističe važnu ulogu javnih medija; pozdravlja inicijative na nacionalnoj razini za uspostavu registra medija koji bi sadržavao javne informacije o vlasništvu i ulaganjima u oglašavanje kako bi se osigurala transparentnost, nepristranost i provjerljivost; nadalje, poziva države članice da osiguraju odgovarajuće, održivo i predvidljivo financiranje i proračunsku stabilnost na temelju transparentnih i objektivnih kriterija za javne medije; preporučuje osnivanje namjenskog fonda EU-a za slobodu medija kojim bi se podupirali neovisno novinarstvo i lokalni mediji;</w:t>
      </w:r>
    </w:p>
    <w:p w14:paraId="721D5A3B" w14:textId="77777777" w:rsidR="000C6AF4" w:rsidRPr="00D03470" w:rsidRDefault="000C6AF4" w:rsidP="000C6AF4">
      <w:pPr>
        <w:pStyle w:val="NormalHanging12a"/>
      </w:pPr>
      <w:r w:rsidRPr="00D03470">
        <w:t>37.</w:t>
      </w:r>
      <w:r w:rsidRPr="00D03470">
        <w:tab/>
        <w:t xml:space="preserve">osuđuje širenje govora mržnje, među ostalim u tradicionalnim i društvenim medijima, jer predstavlja ozbiljnu prijetnju demokraciji i vladavini prava; poziva na snažniju provedbu propisa o medijima radi borbe protiv govora mržnje i zaštite raznolikog i </w:t>
      </w:r>
      <w:proofErr w:type="spellStart"/>
      <w:r w:rsidRPr="00D03470">
        <w:t>uključivog</w:t>
      </w:r>
      <w:proofErr w:type="spellEnd"/>
      <w:r w:rsidRPr="00D03470">
        <w:t xml:space="preserve"> medijskog okruženja, u skladu sa svojom Rezolucijom od 18. siječnja 2024. o stanju temeljnih prava u Europskoj uniji; naglašava činjenicu da istaknute javne ličnosti i političari moraju pružati dobar primjer i osigurati rasprave u kojima vlada poštovanje; podsjeća da je sloboda izražavanja temeljna vrijednost demokratskih društava te se ne bi trebala neopravdano ograničavati; nadalje, podsjeća da bi se svako zakonodavstvo o govoru mržnje i zločinima iz mržnje trebalo temeljiti na načelima nužnosti i proporcionalnosti; naglašava da se sloboda izražavanja mora ostvarivati u okviru zakona i u skladu s člankom 11. Povelje te da se ne bi smjela iskorištavati kao paravan za govor mržnje i zločine iz mržnje; </w:t>
      </w:r>
    </w:p>
    <w:p w14:paraId="6B1B8E5B" w14:textId="77777777" w:rsidR="000C6AF4" w:rsidRPr="00D03470" w:rsidRDefault="000C6AF4" w:rsidP="000C6AF4">
      <w:pPr>
        <w:pStyle w:val="NormalHanging12a"/>
      </w:pPr>
      <w:r w:rsidRPr="00D03470">
        <w:lastRenderedPageBreak/>
        <w:t>38.</w:t>
      </w:r>
      <w:r w:rsidRPr="00D03470">
        <w:tab/>
        <w:t>uviđa da građani zapažaju znakove slabljenja demokracije potaknutog pogrešnim informacijama i dezinformacijama te da bi širenje lažnih informacija putem društvenih mreža moglo dovesti do smanjenja općenitog poštovanja vladavine prava; poziva digitalne platforme da poduzmu hitne mjere osiguravanjem usklađenosti s vlastitim standardima zajednice i europskim zakonima, uključujući Akt o digitalnim uslugama</w:t>
      </w:r>
      <w:r w:rsidRPr="00D03470">
        <w:rPr>
          <w:rStyle w:val="FootnoteReference"/>
        </w:rPr>
        <w:footnoteReference w:id="52"/>
      </w:r>
      <w:r w:rsidRPr="00D03470">
        <w:t xml:space="preserve"> i pravila o tržišnom natjecanju; poziva Komisiju da redovito ocjenjuje spomenutu usklađenost i da po potrebi poduzme mjere; preporučuje da države članice, zemlje kandidatkinje i potencijalne kandidatkinje izrade sveobuhvatne strategije za borbu protiv dezinformiranja i vanjskog upletanja u demokratske procese, uz istodobnu zaštitu slobode izražavanja i medijskog pluralizma;</w:t>
      </w:r>
    </w:p>
    <w:p w14:paraId="1B311BE4" w14:textId="77777777" w:rsidR="000C6AF4" w:rsidRPr="00D03470" w:rsidRDefault="000C6AF4" w:rsidP="000C6AF4">
      <w:pPr>
        <w:pStyle w:val="NormalHanging12a"/>
      </w:pPr>
      <w:r w:rsidRPr="00D03470">
        <w:t>39.</w:t>
      </w:r>
      <w:r w:rsidRPr="00D03470">
        <w:tab/>
        <w:t>oštro osuđuje državnu kontrolu i političko upletanje u medijske aktivnosti; ističe činjenicu da regulatorna tijela za medije moraju biti na odgovarajući način zaštićena pravnim mjerama kako bi se osigurala njihova neovisnost i sloboda od političkog pritiska, uz dostatna proračunska sredstva koja su im na raspolaganju; ističe demokratsku važnost neovisnih regulatornih tijela za medije;</w:t>
      </w:r>
    </w:p>
    <w:p w14:paraId="4607C3C8" w14:textId="77777777" w:rsidR="000C6AF4" w:rsidRPr="00D03470" w:rsidRDefault="000C6AF4" w:rsidP="000C6AF4">
      <w:pPr>
        <w:pStyle w:val="NormalHanging12a"/>
      </w:pPr>
      <w:r w:rsidRPr="00D03470">
        <w:t>40.</w:t>
      </w:r>
      <w:r w:rsidRPr="00D03470">
        <w:tab/>
        <w:t>izražava duboku zabrinutost zbog zlouporabe špijunskog softvera i nedostatka dostatnih zaštitnih mjera protiv nezakonitog nadzora novinara; poziva Komisiju da provede preporuke istražnog odbora Parlamenta PEGA u pogledu zabrane politički motiviranog nadzora;</w:t>
      </w:r>
    </w:p>
    <w:p w14:paraId="32EEB436" w14:textId="77777777" w:rsidR="000C6AF4" w:rsidRPr="00D03470" w:rsidRDefault="000C6AF4" w:rsidP="000C6AF4">
      <w:pPr>
        <w:pStyle w:val="NormalHanging12a"/>
      </w:pPr>
      <w:r w:rsidRPr="00D03470">
        <w:t>41.</w:t>
      </w:r>
      <w:r w:rsidRPr="00D03470">
        <w:tab/>
        <w:t>potiče države članice da osiguraju da se prenošenjem Direktive (EU) 2016/343</w:t>
      </w:r>
      <w:r w:rsidRPr="00D03470">
        <w:rPr>
          <w:rStyle w:val="FootnoteReference"/>
        </w:rPr>
        <w:footnoteReference w:id="53"/>
      </w:r>
      <w:r w:rsidRPr="00D03470">
        <w:t xml:space="preserve"> o pretpostavci nedužnosti ne uvedu ograničenja prava na prijavljivanje i informiranje javnosti o pitanjima od javnog interesa, uključujući sudske istrage, koja nisu predviđena Direktivom; poziva države članice da preispitaju i po potrebi izmijene postojeće nacionalne odredbe kojima bi se mogle ograničiti novinarske slobode;</w:t>
      </w:r>
    </w:p>
    <w:p w14:paraId="0A844C52" w14:textId="77777777" w:rsidR="000C6AF4" w:rsidRPr="00D03470" w:rsidRDefault="000C6AF4" w:rsidP="000C6AF4">
      <w:pPr>
        <w:pStyle w:val="NormalHanging12a"/>
      </w:pPr>
      <w:r w:rsidRPr="00D03470">
        <w:t>42.</w:t>
      </w:r>
      <w:r w:rsidRPr="00D03470">
        <w:tab/>
        <w:t>poziva države članice da se pobrinu da nacionalni koordinatori utvrđeni u skladu s Aktom o digitalnim uslugama budu u potpunosti ovlašteni izvršavati svoju ulogu u olakšavanju razmjene informacija i suradnje na europskoj razini;</w:t>
      </w:r>
    </w:p>
    <w:p w14:paraId="10708AF5" w14:textId="77777777" w:rsidR="000C6AF4" w:rsidRPr="00D03470" w:rsidRDefault="000C6AF4" w:rsidP="000C6AF4">
      <w:pPr>
        <w:pStyle w:val="Normal12a24b"/>
      </w:pPr>
      <w:r w:rsidRPr="00D03470">
        <w:rPr>
          <w:rStyle w:val="BoldItalic"/>
        </w:rPr>
        <w:t>Organizacije civilnog društva</w:t>
      </w:r>
    </w:p>
    <w:p w14:paraId="488F9013" w14:textId="77777777" w:rsidR="000C6AF4" w:rsidRPr="00D03470" w:rsidRDefault="000C6AF4" w:rsidP="000C6AF4">
      <w:pPr>
        <w:pStyle w:val="NormalHanging12a"/>
      </w:pPr>
      <w:r w:rsidRPr="00D03470">
        <w:t>43.</w:t>
      </w:r>
      <w:r w:rsidRPr="00D03470">
        <w:tab/>
        <w:t xml:space="preserve">slaže se s procjenom Komisije da su organizacije civilnog društva, uključujući one koje se zalažu za vladavinu prava i demokraciju, zaštitu marginaliziranih skupina, zaštitu okoliša i socijalnu pravdu te borce za ljudska prava, ključne za sustav provjere i ravnoteže te za zaštitu temeljnih vrijednosti i prava Unije koji su temelj EU-a; cijeni činjenicu da organizacije civilnog društva i strukovna udruženja koja predstavljaju skupine kao što su suci, državni odvjetnici ili novinari podržavaju vladavinu prava; posebno naglašava važnost lokalnih i dinamičnih civilnih društava u zemljama kandidatkinjama i potencijalnim kandidatkinjama, koja imaju konstruktivnu ulogu u procesima pristupanja EU-u; prepoznaje njihovu ulogu nadzornika protiv kršenja </w:t>
      </w:r>
      <w:r w:rsidRPr="00D03470">
        <w:lastRenderedPageBreak/>
        <w:t>vladavine prava i njihov doprinos promicanju i zaštiti demokratskih načela; podsjeća na potrebu za sigurnim, poticajnim i povoljnim okruženjem za njihov rad;</w:t>
      </w:r>
    </w:p>
    <w:p w14:paraId="46971626" w14:textId="77777777" w:rsidR="000C6AF4" w:rsidRPr="00D03470" w:rsidRDefault="000C6AF4" w:rsidP="000C6AF4">
      <w:pPr>
        <w:pStyle w:val="NormalHanging12a"/>
      </w:pPr>
      <w:r w:rsidRPr="00D03470">
        <w:t>44.</w:t>
      </w:r>
      <w:r w:rsidRPr="00D03470">
        <w:tab/>
        <w:t>ističe ulogu civilnog društva i neovisnih nadzornih tijela u praćenju, provjeravanju i podupiranju provedbe preporuka iz izvješća o vladavini prava za 2024.; poziva na uspostavu strukturiranog okvira za civilni dijalog kako bi se doprinosi civilnog društva integrirali u godišnji ciklus vladavine prava, u skladu s preporukom Europskog gospodarskog i socijalnog odbora (EGSO)</w:t>
      </w:r>
      <w:r w:rsidRPr="00D03470">
        <w:rPr>
          <w:rStyle w:val="FootnoteReference"/>
        </w:rPr>
        <w:footnoteReference w:id="54"/>
      </w:r>
      <w:r w:rsidRPr="00D03470">
        <w:t xml:space="preserve"> i mreža civilnog društva</w:t>
      </w:r>
      <w:r w:rsidRPr="00D03470">
        <w:rPr>
          <w:rStyle w:val="FootnoteReference"/>
        </w:rPr>
        <w:footnoteReference w:id="55"/>
      </w:r>
      <w:r w:rsidRPr="00D03470">
        <w:t>; ponovno ističe važnost opsežnog savjetovanja pri sastavljanju izvješća; podupire plan Komisije da izradi strategiju za prostor za civilno društvo i borce za ljudska prava te njihovu zaštitu; preporučuje da se Smjernice EU-a o borcima za ljudska prava provedu u potpunosti; poziva Komisiju da, umjesto virtualnih posjeta, u državama članicama u najvećoj mogućoj mjeri provodi posjete na licu mjesta jer bi one mogle dati potpuniju i sveobuhvatniju sliku lokalnog stanja;</w:t>
      </w:r>
    </w:p>
    <w:p w14:paraId="2D398334" w14:textId="77777777" w:rsidR="000C6AF4" w:rsidRPr="00D03470" w:rsidRDefault="000C6AF4" w:rsidP="000C6AF4">
      <w:pPr>
        <w:pStyle w:val="NormalHanging12a"/>
      </w:pPr>
      <w:r w:rsidRPr="00D03470">
        <w:t>45.</w:t>
      </w:r>
      <w:r w:rsidRPr="00D03470">
        <w:tab/>
        <w:t>zabrinut je zbog toga što se organizacije civilnog društva i borci za ljudska prava sve više suočavaju s dodatnim pravnim ograničenjima, nedostatkom financijskih sredstava i napadima, čime se podrivaju sloboda okupljanja, sloboda udruživanja i sloboda izražavanja; sa zabrinutošću primjećuje da je više država članica te zemalja kandidatkinja i potencijalnih kandidatkinja uvelo nerazmjerne mjere, što u nekim državama članicama uključuje i prekomjernu uporabu sile i pritvaranje prosvjednika kako bi se spriječilo sudjelovanje ljudi u prosvjedima, kao i preventivne zabrane javnih okupljanja iz nejasnih sigurnosnih razloga; naglašava da su sudovi u više slučajeva ukinuli takve zabrane; oštro osuđuje primjenu „zakona o stranim agentima” kojima se guši izražavanje neslaganja, uznemiravaju organizacije civilnog društva i ograničava njihovo djelovanje, što ima odvraćajući učinak na civilno društvo i borce za ljudska prava; žali zbog toga što ograničenja slobode okupljanja, izražavanja i udruživanja te upotreba prekomjerne sile često nerazmjerno utječu na određene svrhe djelovanja ili skupine</w:t>
      </w:r>
      <w:r w:rsidRPr="00D03470">
        <w:rPr>
          <w:rStyle w:val="FootnoteReference"/>
        </w:rPr>
        <w:footnoteReference w:id="56"/>
      </w:r>
      <w:r w:rsidRPr="00D03470">
        <w:t>;</w:t>
      </w:r>
    </w:p>
    <w:p w14:paraId="126B1BBD" w14:textId="77777777" w:rsidR="000C6AF4" w:rsidRPr="00D03470" w:rsidRDefault="000C6AF4" w:rsidP="000C6AF4">
      <w:pPr>
        <w:pStyle w:val="NormalHanging12a"/>
      </w:pPr>
      <w:r w:rsidRPr="00D03470">
        <w:t>46.</w:t>
      </w:r>
      <w:r w:rsidRPr="00D03470">
        <w:tab/>
        <w:t>naglašava da su mirno okupljanje i sloboda udruživanja i izražavanja te sloboda umjetnosti i znanosti temeljna prava zaštićena međunarodnim pravom te da su ključni za demokraciju; osuđuje povećani pritisak na ta prava, u slučajevima u kojima je to dokazano, i primjećuje tendenciju njihova ograničavanja; u tom kontekstu također osuđuje slučajeve nasilja nad tijelima kaznenog progona; poziva Komisiju da te slobode uzme u obzir u godišnjem izvješću;</w:t>
      </w:r>
    </w:p>
    <w:p w14:paraId="3213DDD4" w14:textId="77777777" w:rsidR="000C6AF4" w:rsidRPr="00D03470" w:rsidRDefault="000C6AF4" w:rsidP="000C6AF4">
      <w:pPr>
        <w:pStyle w:val="NormalHanging12a"/>
      </w:pPr>
      <w:r w:rsidRPr="00D03470">
        <w:t>47.</w:t>
      </w:r>
      <w:r w:rsidRPr="00D03470">
        <w:tab/>
        <w:t xml:space="preserve">izražava duboku zabrinutost zbog sve manjeg prostora za građansko djelovanje i sve većeg progona organizacija civilnog društva i boraca za ljudska prava u EU-u, posebno onih koji rade na borbi protiv rasizma, klimatskoj pravdi, pravima LGBTIQ osoba, pravima žena i potpori migrantima; napominje da se te skupine suočavaju s nizom prijetnji, uključujući pravna i financijska ograničenja, obustave financiranja, kampanje ocrnjivanja, zastrašivanje i kriminalizaciju; posebno osuđuje sve veću represiju nad klimatskim aktivizmom u nekoliko država članica, što uključuje zlouporabu zakona </w:t>
      </w:r>
      <w:r w:rsidRPr="00D03470">
        <w:lastRenderedPageBreak/>
        <w:t>protiv terorizma i organiziranog kriminala te klasifikaciju mirnih klimatskih aktivista kao članova „zločinačkih organizacija”; poziva države članice da se suzdrže od nerazmjernih pravnih mjera protiv tih aktivista; potiče Komisiju da u svojim izvješćima o vladavini prava sustavno prati stanje tih organizacija i da poveća namjenska financijska sredstva EU-a za aktere civilnog društva koji se bore protiv rasizma i rade na drugim temeljnim pravima;</w:t>
      </w:r>
    </w:p>
    <w:p w14:paraId="3F31E263" w14:textId="77777777" w:rsidR="000C6AF4" w:rsidRPr="00D03470" w:rsidRDefault="000C6AF4" w:rsidP="000C6AF4">
      <w:pPr>
        <w:pStyle w:val="NormalHanging12a"/>
      </w:pPr>
      <w:r w:rsidRPr="00D03470">
        <w:t>48.</w:t>
      </w:r>
      <w:r w:rsidRPr="00D03470">
        <w:tab/>
        <w:t>poziva Komisiju da takve povrede obradi u posebnom stupu godišnjih izvješća o vladavini prava; poziva Komisiju da ojača zaštitu organizacija civilnog društva i boraca za ljudska prava uspostavom mehanizama ranog upozoravanja, povećanjem transparentnosti financiranja za sve aktere obuhvaćene registrom transparentnosti EU-a i proširenjem financiranja radi potpore organizacijama civilnog društva kako bi im se omogućilo slobodno i neovisno djelovanje;</w:t>
      </w:r>
    </w:p>
    <w:p w14:paraId="77C6B7AB" w14:textId="77777777" w:rsidR="000C6AF4" w:rsidRPr="00D03470" w:rsidRDefault="000C6AF4" w:rsidP="000C6AF4">
      <w:pPr>
        <w:pStyle w:val="NormalHanging12a"/>
      </w:pPr>
      <w:r w:rsidRPr="00D03470">
        <w:t>49.</w:t>
      </w:r>
      <w:r w:rsidRPr="00D03470">
        <w:tab/>
        <w:t>potiče države članice da stvore poticajno okruženje za organizacije civilnog društva i borce za ljudska prava, provode Direktivu protiv strateških tužbi protiv javnog sudjelovanja i provedu Preporuku Komisije (EU) 2022/758 radi zaštite organizacija civilnog društva od pravnog uznemiravanja; poziva na veću neovisnost nacionalnih nadzornih tijela, s odgovarajućim resursima i zaštitnim mjerama protiv političkog upletanja; potiče potporu organizacijama civilnog društva u razvoju i širenju obrazovnih inicijativa kako bi se osigurao širok doseg i dostupnost;</w:t>
      </w:r>
    </w:p>
    <w:p w14:paraId="1D8114CF" w14:textId="77777777" w:rsidR="000C6AF4" w:rsidRPr="00D03470" w:rsidRDefault="000C6AF4" w:rsidP="000C6AF4">
      <w:pPr>
        <w:pStyle w:val="NormalHanging12a"/>
      </w:pPr>
      <w:r w:rsidRPr="00D03470">
        <w:t>50.</w:t>
      </w:r>
      <w:r w:rsidRPr="00D03470">
        <w:tab/>
        <w:t>smatra da bi Komisija i države članice trebale poboljšati mehanizme financiranja organizacija civilnog društva i inicijative kojima se jača pravosuđe i podupire neovisnost sudova, posebice putem programa Građani, ravnopravnost, prava i vrijednosti i programa Pravosuđe; pozdravlja činjenicu da Komisija planira izraditi strategiju za zaštitu civilnog društva te istodobno podsjeća da bi poseban naglasak trebao biti na borcima za ljudska prava; poziva Komisiju da uvrsti mehanizam brzog odgovora za potporu ugroženim organizacijama civilnog društva i borcima za ljudska prava u Uniji, inspirirajući se modelom mehanizama za borce za ljudska prava, koji financira EU i koji je trenutačno usmjeren isključivo na područja izvan EU-a; naglašava da bi se takvim mehanizmom mogli osigurati resursi za zagovaranje, pravnu pomoć i kampanje za podizanje razine osviještenosti, istodobno osiguravajući da te organizacije mogu djelovati bez nepotrebnih ograničenja ili uznemiravanja; poziva na potpunu i dosljednu primjenu smjernica EU-a o borcima za ljudska prava u zemljama kandidatkinjama i potencijalnim kandidatkinjama; međutim, zabrinut je zbog toga što se organizacije civilnog društva i borci za ljudska prava sve više suočavaju s izazovima, uz nova pravna ograničenja, nedostatak financijskih sredstava i fizičke ili verbalne napade, sramotno prihvaćanje takvih praksi i njihov odvraćajući učinak, među ostalim na njihovu slobodu govora u državama članicama</w:t>
      </w:r>
      <w:r w:rsidRPr="00D03470">
        <w:rPr>
          <w:rStyle w:val="FootnoteReference"/>
        </w:rPr>
        <w:footnoteReference w:id="57"/>
      </w:r>
      <w:r w:rsidRPr="00D03470">
        <w:t xml:space="preserve"> i institucijama EU-a; smatra da organizacije civilnog društva i borci za ljudska prava imaju ključnu potpornu ulogu u praćenju usklađenosti država članica s vrijednostima sadržanima u članku 2. UEU-a;</w:t>
      </w:r>
    </w:p>
    <w:p w14:paraId="7C07FC12" w14:textId="77777777" w:rsidR="000C6AF4" w:rsidRPr="00D03470" w:rsidRDefault="000C6AF4" w:rsidP="000C6AF4">
      <w:pPr>
        <w:pStyle w:val="Normal12a24b"/>
      </w:pPr>
      <w:r w:rsidRPr="00D03470">
        <w:rPr>
          <w:rStyle w:val="BoldItalic"/>
        </w:rPr>
        <w:t>Jednakost i nediskriminacija pred zakonom</w:t>
      </w:r>
    </w:p>
    <w:p w14:paraId="595E4B8E" w14:textId="77777777" w:rsidR="000C6AF4" w:rsidRPr="00D03470" w:rsidRDefault="000C6AF4" w:rsidP="000C6AF4">
      <w:pPr>
        <w:pStyle w:val="NormalHanging12a"/>
      </w:pPr>
      <w:r w:rsidRPr="00D03470">
        <w:t>51.</w:t>
      </w:r>
      <w:r w:rsidRPr="00D03470">
        <w:tab/>
        <w:t xml:space="preserve">podsjeća da pravni okviri država članica moraju sadržavati jednako pravno postupanje i promicati jednakost i pravo pojedinaca da ne budu diskriminirani u sudskim postupcima; naglašava da su vladavina prava i temeljna prava međusobno povezani i da </w:t>
      </w:r>
      <w:r w:rsidRPr="00D03470">
        <w:lastRenderedPageBreak/>
        <w:t>kršenja vladavine prava imaju neposredan učinak na temeljna prava i nerazmjerno utječu na žene, manjine i ranjive skupine; poziva Komisiju da prati učinak kršenja vladavine prava na temeljna prava i da osigura da su zaštićene jednakost i nediskriminacija pred zakonom za sve osobe upotrebom svih relevantnih instrumenata, uključujući, prema potrebi, postupke zbog povrede prava;</w:t>
      </w:r>
    </w:p>
    <w:p w14:paraId="11855ABC" w14:textId="77777777" w:rsidR="000C6AF4" w:rsidRPr="00D03470" w:rsidRDefault="000C6AF4" w:rsidP="000C6AF4">
      <w:pPr>
        <w:pStyle w:val="NormalHanging12a"/>
      </w:pPr>
      <w:r w:rsidRPr="00D03470">
        <w:t>52.</w:t>
      </w:r>
      <w:r w:rsidRPr="00D03470">
        <w:tab/>
        <w:t>naglašava potrebu za borbom protiv svih vrsta diskriminacije pred zakonom; izražava zabrinutost zbog nedostatka napretka u provedbi zakona o jednakosti i suzbijanju diskriminacije u nekim državama članicama; žali zbog toga što unatoč postojećem zakonodavstvu EU-a, kao što je Direktiva 2000/78/EZ</w:t>
      </w:r>
      <w:r w:rsidRPr="00D03470">
        <w:rPr>
          <w:rStyle w:val="FootnoteReference"/>
        </w:rPr>
        <w:footnoteReference w:id="58"/>
      </w:r>
      <w:r w:rsidRPr="00D03470">
        <w:t xml:space="preserve"> o jednakom postupanju, i dalje postoje nedostaci u pravnom okviru i provedbi, zbog čega žrtve ostaju bez odgovarajuće pravne zaštite; podsjeća da pravni okviri država članica moraju sadržavati jednako pravno postupanje i promicati jednakost i pravo pojedinaca da ne budu diskriminirani u pogledu pravnih lijekova; poziva Komisiju da djeluje u slučajevima nepoštovanja tih načela; žali zbog namjere Komisije da povuče prijedlog horizontalne direktive o jednakom postupanju</w:t>
      </w:r>
      <w:r w:rsidRPr="00D03470">
        <w:rPr>
          <w:rStyle w:val="FootnoteReference"/>
        </w:rPr>
        <w:footnoteReference w:id="59"/>
      </w:r>
      <w:r w:rsidRPr="00D03470">
        <w:t xml:space="preserve"> i potiče Vijeće da tu direktivu donese bez daljnje odgode;</w:t>
      </w:r>
    </w:p>
    <w:p w14:paraId="43F69119" w14:textId="77777777" w:rsidR="000C6AF4" w:rsidRPr="00D03470" w:rsidRDefault="000C6AF4" w:rsidP="000C6AF4">
      <w:pPr>
        <w:pStyle w:val="NormalHanging12a"/>
      </w:pPr>
      <w:r w:rsidRPr="00D03470">
        <w:t>53.</w:t>
      </w:r>
      <w:r w:rsidRPr="00D03470">
        <w:tab/>
        <w:t>zabrinut je zbog toga što je u izvješću Komisije o vladavini prava za 2024. navedeno da neke države članice nisu djelotvorne u kaznenom gonjenju zločina iz mržnje niti pružaju dostatnu potporu žrtvama zločina iz mržnje, čime se potkopava povjerenje u pravosudne sustave i perpetuira nejednakost pred zakonom; poziva Vijeće da postojeći „popis područja kriminaliteta s dimenzijom EU-a” iz članka 83. stavka 1. UFEU-a proširi na zločine iz mržnje i govor mržnje te poziva Komisiju da podnese zakonodavni prijedlog o zločinima iz mržnje i govoru mržnje; traži od Komisije da se u svojim izvješćima o vladavini prava usredotoči na zločine iz mržnje te da, u tom smislu, pomno prati i evidentira zločine iz mržnje;</w:t>
      </w:r>
    </w:p>
    <w:p w14:paraId="65294BC3" w14:textId="77777777" w:rsidR="000C6AF4" w:rsidRPr="00D03470" w:rsidRDefault="000C6AF4" w:rsidP="000C6AF4">
      <w:pPr>
        <w:pStyle w:val="NormalHanging12a"/>
      </w:pPr>
      <w:r w:rsidRPr="00D03470">
        <w:t>54.</w:t>
      </w:r>
      <w:r w:rsidRPr="00D03470">
        <w:tab/>
        <w:t>ističe da je rodno uvjetovano nasilje, na internetu i izvan njega, ozbiljno i rašireno kazneno djelo koje predstavlja radikalno kršenje temeljnih prava i kojim se krši načelo jednakosti pred zakonom; poziva Komisiju i države članice da poduzmu mjere protiv rodno uvjetovanog nasilja, na internetu i izvan njega, što se odnosi i na nasilje počinjeno upotrebom digitalnih platformi; poziva na dodavanje rodno uvjetovanog nasilja na popis područja kriminaliteta s dimenzijom EU-a i na podnošenje zakonodavnog prijedloga EU-a o borbi protiv silovanja definiranog izostankom pristanka, među ostalim i u zemljama kandidatkinjama i potencijalnim zemljama kandidatkinjama;</w:t>
      </w:r>
    </w:p>
    <w:p w14:paraId="7C4C7651" w14:textId="77777777" w:rsidR="000C6AF4" w:rsidRPr="00D03470" w:rsidRDefault="000C6AF4" w:rsidP="000C6AF4">
      <w:pPr>
        <w:pStyle w:val="NormalHanging12a"/>
      </w:pPr>
      <w:r w:rsidRPr="00D03470">
        <w:t>55.</w:t>
      </w:r>
      <w:r w:rsidRPr="00D03470">
        <w:tab/>
        <w:t>podsjeća na potrebu za pristupom seksualnim i reproduktivnim pravima i zdravlju te poziva na to da se pristup sigurnom i zakonitom pobačaju uvrsti u Povelju;</w:t>
      </w:r>
    </w:p>
    <w:p w14:paraId="1C63F2A5" w14:textId="77777777" w:rsidR="000C6AF4" w:rsidRPr="00D03470" w:rsidRDefault="000C6AF4" w:rsidP="000C6AF4">
      <w:pPr>
        <w:pStyle w:val="NormalHanging12a"/>
      </w:pPr>
      <w:r w:rsidRPr="00D03470">
        <w:t>56.</w:t>
      </w:r>
      <w:r w:rsidRPr="00D03470">
        <w:tab/>
        <w:t xml:space="preserve">poziva sve države članice da zaštite prava LGBTIQ osoba u skladu s pravom Unije, Poveljom te sudskom praksom Suda EU-a i Europskog suda za ljudska prava, podsjeća da u nekoliko država članica i dalje postoje pravne prepreke prekograničnom priznavanju istospolnih partnerstava ili roditeljstva; upozorava da takve prakse ne samo </w:t>
      </w:r>
      <w:r w:rsidRPr="00D03470">
        <w:lastRenderedPageBreak/>
        <w:t>da ometaju slobodno kretanje LGBTIQ obitelji unutar EU-a, već i krše načelo vladavine prava o nediskriminaciji pred zakonom, što ističe nedostatak ujednačene zaštite LGBTIQ osoba u svim državama članicama; poziva države članice koje to još nisu učinile da uvedu pravno priznavanje istospolnih partnerstava; poziva Komisiju da preinači Direktivu 2004/38/EZ</w:t>
      </w:r>
      <w:r w:rsidRPr="00D03470">
        <w:rPr>
          <w:rStyle w:val="FootnoteReference"/>
        </w:rPr>
        <w:footnoteReference w:id="60"/>
      </w:r>
      <w:r w:rsidRPr="00D03470">
        <w:t xml:space="preserve"> kako bi se uključilo izričito prekogranično priznavanje prava u pogledu privatnog i obiteljskog života, uključujući roditeljstvo istospolnih roditelja, u svjetlu najnovijih presuda</w:t>
      </w:r>
      <w:r w:rsidRPr="00D03470">
        <w:rPr>
          <w:rStyle w:val="FootnoteReference"/>
        </w:rPr>
        <w:footnoteReference w:id="61"/>
      </w:r>
      <w:r w:rsidRPr="00D03470">
        <w:t xml:space="preserve"> Suda EU-a; naglašava da su sva djeca jednaka pred zakonom i da države članice moraju djelovati u najboljem interesu djeteta, povećati pravnu sigurnost i smanjiti diskriminaciju djece istospolnih roditelja; podsjeća na stajalište Parlamenta kojim se podupire priznavanje roditeljstva diljem EU-a, bez obzira na to kako je dijete začeto, rođeno ili koju vrstu obitelji ima; potiče Komisiju da predstavi novu strategiju za LGBTIQ osobe kojom bi se u potpunosti odgovorilo na izazove diljem Europe; poziva Komisiju i Vijeće da prava LGBTIQ osoba utvrde kao međusektorski prioritet u svim područjima politike; poziva Komisiju da predloži odgovarajuće zakonodavne mjere kako bi se osiguralo poštovanje tih načela te da se osloni na postupke zbog povrede protiv država članica; potiče Komisiju da predstavi zakonodavne prijedloge za borbu protiv zločina iz mržnje i govora mržnje na temelju rodnog identiteta, spolnih obilježja i seksualne orijentacije;</w:t>
      </w:r>
    </w:p>
    <w:p w14:paraId="4160691A" w14:textId="77777777" w:rsidR="000C6AF4" w:rsidRPr="00D03470" w:rsidRDefault="000C6AF4" w:rsidP="000C6AF4">
      <w:pPr>
        <w:pStyle w:val="NormalHanging12a"/>
      </w:pPr>
      <w:r w:rsidRPr="00D03470">
        <w:t>57.</w:t>
      </w:r>
      <w:r w:rsidRPr="00D03470">
        <w:tab/>
        <w:t xml:space="preserve">duboko je zabrinut zbog diskriminirajućih mjera uvedenih u nekim državama članicama pod izlikom borbe protiv „LGBTIQ propagande” i „rodne ideologije”, a koje doprinose zabrinjavajućem porastu zločina iz mržnje i govora mržnje usmjerenog protiv LGBTIQ osoba u više država članica i negativno utječu na djecu, obitelji i radnike; </w:t>
      </w:r>
      <w:r w:rsidR="00127AFC" w:rsidRPr="00D03470">
        <w:t xml:space="preserve">podržava mišljenje Suda od 5. lipnja 2025. u kojem se navodi da smatra da Mađarska krši pravo EU-a time što zabranjuje ili ograničava pristup LGBTIQ+ sadržaju; </w:t>
      </w:r>
      <w:r w:rsidRPr="00D03470">
        <w:t>ističe negativan učinak takvih mjera na slobodu izražavanja i okupljanja za LGBTIQ skupine i šire; naglašava da se tim mjerama potiče diskriminacija LGBTIQ osoba i da su u suprotnosti s pravom Unije; potiče Komisiju da na razini EU-a predloži obvezujuću zabranu praksi konverzije u svim državama članicama; napominje da su 2024. i Komisija i Agencija Europske unije za temeljna prava (FRA) primijetile zabrinjavajući porast zločina iz mržnje i govora mržnje usmjerenih protiv LGBTIQ osoba i drugih manjina u nekoliko država članica, naglašava važnost prava na samoodređenje LGBTIQ osoba i podsjeća države članice da je, u skladu sa sudskom praksom, pravo na samoodređenje temeljno pravo; stoga potiče sve države članice koje to još nisu učinile da osiguraju da LGBTIQ osobe imaju pristup pravnom priznavanju roda;</w:t>
      </w:r>
    </w:p>
    <w:p w14:paraId="2AACD706" w14:textId="77777777" w:rsidR="000C6AF4" w:rsidRPr="00D03470" w:rsidRDefault="000C6AF4" w:rsidP="000C6AF4">
      <w:pPr>
        <w:pStyle w:val="NormalHanging12a"/>
      </w:pPr>
      <w:r w:rsidRPr="00D03470">
        <w:t>58.</w:t>
      </w:r>
      <w:r w:rsidRPr="00D03470">
        <w:tab/>
        <w:t xml:space="preserve">duboko je zabrinut zbog rasta antisemitizma diljem EU-a te ga oštro osuđuje; također je duboko zabrinut i oštro osuđuje rast </w:t>
      </w:r>
      <w:proofErr w:type="spellStart"/>
      <w:r w:rsidRPr="00D03470">
        <w:t>islamofobije</w:t>
      </w:r>
      <w:proofErr w:type="spellEnd"/>
      <w:r w:rsidRPr="00D03470">
        <w:t xml:space="preserve"> i svih drugih oblika diskriminacije diljem EU-a, uključujući nasilje, zastrašivanje, govor mržnje i prikazivanje simbola mržnje na javnim mjestima; poziva države članice i zemlje kandidatkinje i potencijalne kandidatkinje da se pobrinu za to da su sve manjine jednake pred zakonom; poziva države članice da preispitaju zakone i politike kako bi se osiguralo da se njima ne </w:t>
      </w:r>
      <w:r w:rsidRPr="00D03470">
        <w:lastRenderedPageBreak/>
        <w:t xml:space="preserve">diskriminiraju, izravno ili neizravno, manjine te da preispitaju sve </w:t>
      </w:r>
      <w:proofErr w:type="spellStart"/>
      <w:r w:rsidRPr="00D03470">
        <w:t>diskrimnirajuće</w:t>
      </w:r>
      <w:proofErr w:type="spellEnd"/>
      <w:r w:rsidRPr="00D03470">
        <w:t xml:space="preserve"> zakonske odredbe i propise; poziva na stalne napore na razini EU-a i na nacionalnim razinama kako bi se pratili, spriječili i kazneno gonili povezani zločini iz mržnje te kako bi se židovske i muslimanske zajednice zaštitile od uznemiravanja ili nasilja;</w:t>
      </w:r>
    </w:p>
    <w:p w14:paraId="43C1CD15" w14:textId="77777777" w:rsidR="000C6AF4" w:rsidRPr="00D03470" w:rsidRDefault="000C6AF4" w:rsidP="000C6AF4">
      <w:pPr>
        <w:pStyle w:val="NormalHanging12a"/>
      </w:pPr>
      <w:r w:rsidRPr="00D03470">
        <w:t>59.</w:t>
      </w:r>
      <w:r w:rsidRPr="00D03470">
        <w:tab/>
        <w:t>naglašava da nedostatak odgovornosti nerazmjerno utječe na manjinske zajednice, pravednu političku zastupljenost i gospodarske prilike; poziva na veću transparentnost u javnim postupcima donošenja odluka kako bi se osiguralo uključivo i pravedno upravljanje;</w:t>
      </w:r>
    </w:p>
    <w:p w14:paraId="7CE5788A" w14:textId="135B9714" w:rsidR="000C6AF4" w:rsidRPr="00D03470" w:rsidRDefault="000C6AF4" w:rsidP="000C6AF4">
      <w:pPr>
        <w:pStyle w:val="NormalHanging12a"/>
      </w:pPr>
      <w:r w:rsidRPr="00D03470">
        <w:t>60.</w:t>
      </w:r>
      <w:r w:rsidRPr="00D03470">
        <w:tab/>
        <w:t xml:space="preserve">poziva države članice da u potpunosti provedu Direktivu </w:t>
      </w:r>
      <w:r w:rsidR="005D455B">
        <w:t xml:space="preserve">(EU) </w:t>
      </w:r>
      <w:r w:rsidRPr="00D03470">
        <w:t>2024/1500</w:t>
      </w:r>
      <w:r w:rsidRPr="00D03470">
        <w:rPr>
          <w:rStyle w:val="FootnoteReference"/>
        </w:rPr>
        <w:footnoteReference w:id="62"/>
      </w:r>
      <w:r w:rsidRPr="00D03470">
        <w:t xml:space="preserve"> i Direktivu </w:t>
      </w:r>
      <w:r w:rsidR="005D455B">
        <w:t xml:space="preserve">(EU) </w:t>
      </w:r>
      <w:r w:rsidRPr="00D03470">
        <w:t>2024/1499</w:t>
      </w:r>
      <w:r w:rsidRPr="00D03470">
        <w:rPr>
          <w:rStyle w:val="FootnoteReference"/>
        </w:rPr>
        <w:footnoteReference w:id="63"/>
      </w:r>
      <w:r w:rsidRPr="00D03470">
        <w:t>, kojima se uspostavljaju minimalni standardi za tijela za jednakost; poziva na konkretne mjere kojima bi se zajamčila neovisnost tih tijela i osigurala njihova učinkovitost u promicanju ravnopravnosti;</w:t>
      </w:r>
    </w:p>
    <w:p w14:paraId="0A4E4524" w14:textId="77777777" w:rsidR="000C6AF4" w:rsidRPr="00D03470" w:rsidRDefault="000C6AF4" w:rsidP="000C6AF4">
      <w:pPr>
        <w:pStyle w:val="NormalHanging12a"/>
      </w:pPr>
      <w:r w:rsidRPr="00D03470">
        <w:t>61.</w:t>
      </w:r>
      <w:r w:rsidRPr="00D03470">
        <w:tab/>
        <w:t xml:space="preserve">ističe da se prema državljanima trećih zemalja koji zakonito borave u EU-u, bez obzira na njihovo državljanstvo ili mjesto rođenja, mora postupati na </w:t>
      </w:r>
      <w:proofErr w:type="spellStart"/>
      <w:r w:rsidRPr="00D03470">
        <w:t>nediskriminirajući</w:t>
      </w:r>
      <w:proofErr w:type="spellEnd"/>
      <w:r w:rsidRPr="00D03470">
        <w:t xml:space="preserve"> način te da se prema njima mora postupati pravedno i jednako u područjima utvrđenima postojećim zakonodavstvom; ističe da državljani trećih zemalja, bez obzira na njihovo državljanstvo, mjesto rođenja ili boravišni status, imaju pravo podnijeti zahtjev za međunarodnu zaštitu u skladu s međunarodnim pravom i pravom EU-a, čiji je sastavni dio načelo zabrane prisilnog udaljenja ili vraćanja; poziva Komisiju da podrži države članice u poštovanju vladavine prava i temeljnih prava sadržanih u Povelji te u provedbi zakonodavstva koje su donijeli </w:t>
      </w:r>
      <w:proofErr w:type="spellStart"/>
      <w:r w:rsidRPr="00D03470">
        <w:t>suzakonodavci</w:t>
      </w:r>
      <w:proofErr w:type="spellEnd"/>
      <w:r w:rsidRPr="00D03470">
        <w:t>; naglašava obvezujuću prirodu presuda Suda Europske unije i Europskog suda za ljudska prava;</w:t>
      </w:r>
    </w:p>
    <w:p w14:paraId="77BF250E" w14:textId="77777777" w:rsidR="000C6AF4" w:rsidRPr="00D03470" w:rsidRDefault="000C6AF4" w:rsidP="000C6AF4">
      <w:pPr>
        <w:pStyle w:val="NormalHanging12a"/>
      </w:pPr>
      <w:r w:rsidRPr="00D03470">
        <w:t>62.</w:t>
      </w:r>
      <w:r w:rsidRPr="00D03470">
        <w:tab/>
        <w:t>potiče Komisiju da osigura da se slobodno kretanje osoba unutar EU-a, pravo slobodnog boravka i spajanje obitelji u potpunosti poštuju na teritoriju EU-a te da svaki građanin može uživati jednaka prava i u potpunosti ostvarivati svoja prava;</w:t>
      </w:r>
    </w:p>
    <w:p w14:paraId="7AFD8604" w14:textId="77777777" w:rsidR="000C6AF4" w:rsidRPr="00D03470" w:rsidRDefault="000C6AF4" w:rsidP="000C6AF4">
      <w:pPr>
        <w:pStyle w:val="NormalHanging12a"/>
      </w:pPr>
      <w:r w:rsidRPr="00D03470">
        <w:t>63.</w:t>
      </w:r>
      <w:r w:rsidRPr="00D03470">
        <w:tab/>
        <w:t xml:space="preserve">potiče Komisiju da se u godišnjem izvješću o vladavini prava snažnije usmjeri na jačanje borbe protiv svih oblika diskriminacije u pristupu pravosuđu; poziva Komisiju i države članice da se bore protiv diskriminacije na temelju rasnog i etničkog podrijetla, vjere ili uvjerenja, nacionalnosti, političkog mišljenja, jezika, invaliditeta, dobi, roda, uključujući rodni identitet i rodno izražavanje, te seksualne orijentacije; potiče Vijeće </w:t>
      </w:r>
      <w:r w:rsidRPr="00D03470">
        <w:lastRenderedPageBreak/>
        <w:t>da postigne dogovor o Direktivi 2008/0140(CNS)</w:t>
      </w:r>
      <w:r w:rsidRPr="00D03470">
        <w:rPr>
          <w:rStyle w:val="FootnoteReference"/>
        </w:rPr>
        <w:footnoteReference w:id="64"/>
      </w:r>
      <w:r w:rsidRPr="00D03470">
        <w:t>; potiče Komisiju da u godišnje izvješće o vladavini prava uvede nove stupove usmjerene na borbu protiv svih oblika mržnje i diskriminacije, kako je utvrđeno u članku 21. Povelje, posebno zločina koji su usmjereni na manjinske skupine i pripadnike nacionalnih, etničkih, jezičnih i vjerskih manjina, kao i na uvjete u kojima djeluje civilno društvo u državama članicama; poziva Komisiju da od država članica zahtijeva da prikupljaju usporedive i pouzdane raščlanjene podatke o jednakosti kako bi se u potpunosti procijenio učinak strukturne diskriminacije na vladavinu prava; poziva Komisiju da ponovno razmotri svoje stajalište o inicijativi „</w:t>
      </w:r>
      <w:proofErr w:type="spellStart"/>
      <w:r w:rsidRPr="00D03470">
        <w:t>Minority</w:t>
      </w:r>
      <w:proofErr w:type="spellEnd"/>
      <w:r w:rsidRPr="00D03470">
        <w:t xml:space="preserve"> </w:t>
      </w:r>
      <w:proofErr w:type="spellStart"/>
      <w:r w:rsidRPr="00D03470">
        <w:t>SafePack</w:t>
      </w:r>
      <w:proofErr w:type="spellEnd"/>
      <w:r w:rsidRPr="00D03470">
        <w:t>” te da predloži zakonodavne inicijative za zaštitu promicanja prava manjina i jezičnih prava; ponovno upućuje poziv da EU pristupi Okvirnoj konvenciji Vijeća Europe za zaštitu nacionalnih manjina i Europskoj povelji o regionalnim ili manjinskim jezicima; poziva na tješnje veze između EU-a i Vijeća Europe u pogledu prava manjina, među ostalim s obzirom na proces proširenja;</w:t>
      </w:r>
    </w:p>
    <w:p w14:paraId="6B0B3213" w14:textId="77777777" w:rsidR="000C6AF4" w:rsidRPr="00D03470" w:rsidRDefault="000C6AF4" w:rsidP="000C6AF4">
      <w:pPr>
        <w:pStyle w:val="NormalHanging12a"/>
      </w:pPr>
      <w:r w:rsidRPr="00D03470">
        <w:t>64.</w:t>
      </w:r>
      <w:r w:rsidRPr="00D03470">
        <w:tab/>
        <w:t>naglašava potrebu da države članice riješe problem rodnog jaza u pravosuđu i drugim ključnim demokratskim institucijama; preporučuje provedbu ciljanih mjera za povećanje zastupljenosti žena na višim položajima u pravosuđu i javnoj upravi;</w:t>
      </w:r>
    </w:p>
    <w:p w14:paraId="278CEF07" w14:textId="77777777" w:rsidR="000C6AF4" w:rsidRPr="00D03470" w:rsidRDefault="000C6AF4" w:rsidP="000C6AF4">
      <w:pPr>
        <w:pStyle w:val="NormalHanging12a"/>
      </w:pPr>
      <w:r w:rsidRPr="00D03470">
        <w:t>65.</w:t>
      </w:r>
      <w:r w:rsidRPr="00D03470">
        <w:tab/>
        <w:t>poziva države članice da uspostave nacionalne institucije za ljudska prava, u skladu s Pariškim načelima UN-a, kako bi se zajamčila njihova neovisnost i osigurala njihova sposobnost učinkovitog obavljanja svojih zadaća;</w:t>
      </w:r>
    </w:p>
    <w:p w14:paraId="64BA9736" w14:textId="77777777" w:rsidR="000C6AF4" w:rsidRPr="00D03470" w:rsidRDefault="000C6AF4" w:rsidP="000C6AF4">
      <w:pPr>
        <w:pStyle w:val="Normal12a24b"/>
      </w:pPr>
      <w:r w:rsidRPr="00D03470">
        <w:rPr>
          <w:rStyle w:val="BoldItalic"/>
        </w:rPr>
        <w:t>Jedinstveno tržište i vladavina prava</w:t>
      </w:r>
    </w:p>
    <w:p w14:paraId="6547F13E" w14:textId="77777777" w:rsidR="000C6AF4" w:rsidRPr="00D03470" w:rsidRDefault="000C6AF4" w:rsidP="000C6AF4">
      <w:pPr>
        <w:pStyle w:val="NormalHanging12a"/>
      </w:pPr>
      <w:r w:rsidRPr="00D03470">
        <w:t>66.</w:t>
      </w:r>
      <w:r w:rsidRPr="00D03470">
        <w:tab/>
        <w:t>ističe važnost vladavine prava u osiguravanju glatkog i učinkovitog funkcioniranja jedinstvenog tržišta i ponovno potvrđuje da su dobro funkcionirajući neovisni pravosudni sustavi, učinkoviti okviri za borbu protiv korupcije i snažna zaštita slobode medija ključni za održavanje poštenog tržišnog natjecanja, očuvanje pravne sigurnosti i njegovanje povjerenja među gospodarskim subjektima; ističe da neusklađenost i zaobilaženje europskih propisa dovode do golemog narušavanja tržišnog natjecanja na unutarnjem tržištu; naglašava da su pouzdane i stabilne strukture vladavine prava glavni oslonci za ulaganje i trgovinu, koji su ključni za konkurentnost, a time i za kapacitet sustava socijalne skrbi i tržište rada u EU-u;</w:t>
      </w:r>
    </w:p>
    <w:p w14:paraId="13FED6AE" w14:textId="77777777" w:rsidR="000C6AF4" w:rsidRPr="00D03470" w:rsidRDefault="000C6AF4" w:rsidP="000C6AF4">
      <w:pPr>
        <w:pStyle w:val="NormalHanging12a"/>
      </w:pPr>
      <w:r w:rsidRPr="00D03470">
        <w:t>67.</w:t>
      </w:r>
      <w:r w:rsidRPr="00D03470">
        <w:tab/>
        <w:t>naglašava da pravilno funkcioniranje jedinstvenog tržišta ovisi o učinkovitoj primjeni načela uzajamnog povjerenja i priznavanja u pravosudnoj i administrativnoj suradnji; podsjeća da se takvo povjerenje može održati samo ako se u potpunosti poštuje vladavina prava, što je i preporuka Venecijanske komisije u njezinu popisu kriterija za vladavinu prava; navodi da bi načelo uzajamnog priznavanja trebalo suspendirati u slučaju sustavnih kršenja;</w:t>
      </w:r>
    </w:p>
    <w:p w14:paraId="327E8E0E" w14:textId="77777777" w:rsidR="000C6AF4" w:rsidRPr="00D03470" w:rsidRDefault="000C6AF4" w:rsidP="000C6AF4">
      <w:pPr>
        <w:pStyle w:val="NormalHanging12a"/>
      </w:pPr>
      <w:r w:rsidRPr="00D03470">
        <w:t>68.</w:t>
      </w:r>
      <w:r w:rsidRPr="00D03470">
        <w:tab/>
        <w:t xml:space="preserve">ističe negativan gospodarski učinak koji korupcija i slabi pravosudni sustavi imaju na povjerenje ulagača i prekograničnu suradnju; zabrinut je zbog toga što nacionalne vlade i institucije koje ne poštuju vladavinu prava mogu omogućiti procvat </w:t>
      </w:r>
      <w:proofErr w:type="spellStart"/>
      <w:r w:rsidRPr="00D03470">
        <w:t>protutržišnog</w:t>
      </w:r>
      <w:proofErr w:type="spellEnd"/>
      <w:r w:rsidRPr="00D03470">
        <w:t xml:space="preserve"> ponašanja ili ga čak mogu aktivno poticati radi ostvarenja političke ili gospodarske </w:t>
      </w:r>
      <w:r w:rsidRPr="00D03470">
        <w:lastRenderedPageBreak/>
        <w:t>koristi, čime bi se moglo naštetiti gospodarstvu EU-a i ugroziti pravednost njegova unutarnjeg tržišta;</w:t>
      </w:r>
    </w:p>
    <w:p w14:paraId="3C1C7572" w14:textId="77777777" w:rsidR="000C6AF4" w:rsidRPr="00D03470" w:rsidRDefault="000C6AF4" w:rsidP="000C6AF4">
      <w:pPr>
        <w:pStyle w:val="NormalHanging12a"/>
      </w:pPr>
      <w:r w:rsidRPr="00D03470">
        <w:t>69.</w:t>
      </w:r>
      <w:r w:rsidRPr="00D03470">
        <w:tab/>
        <w:t xml:space="preserve">podsjeća da je, u okviru područja primjene Ugovorâ, svaka diskriminacija na temelju državljanstva zabranjena u skladu s Poveljom te da su sloboda poslovnog </w:t>
      </w:r>
      <w:proofErr w:type="spellStart"/>
      <w:r w:rsidRPr="00D03470">
        <w:t>nastana</w:t>
      </w:r>
      <w:proofErr w:type="spellEnd"/>
      <w:r w:rsidRPr="00D03470">
        <w:t>, sloboda pružanja usluga i slobodno kretanje kapitala temeljne slobode jedinstvenog tržišta; ističe da se pravilima o jednakom postupanju zabranjuje očita i prikrivena diskriminacija na temelju nacionalnosti ili, u slučaju trgovačkog društva, njegova sjedišta; podsjeća na svoju osudu prijavljenih sustavnih diskriminirajućih, netransparentnih i nepoštenih praksi protiv poduzeća u nekim državama članicama;</w:t>
      </w:r>
    </w:p>
    <w:p w14:paraId="2AD25F65" w14:textId="77777777" w:rsidR="000C6AF4" w:rsidRPr="00D03470" w:rsidRDefault="000C6AF4" w:rsidP="000C6AF4">
      <w:pPr>
        <w:pStyle w:val="NormalHanging12a"/>
      </w:pPr>
      <w:r w:rsidRPr="00D03470">
        <w:t>70.</w:t>
      </w:r>
      <w:r w:rsidRPr="00D03470">
        <w:tab/>
        <w:t>osuđuje sustavne diskriminirajuće prakse u Mađarskoj, među kojima su zlouporaba sredstava EU-a u korist političkih saveznika, kršenja pravila EU-a o tržišnom natjecanju i koncentracija poduzeća u rukama oligarha povezanih s vladom; žali zbog oslobađanja sredstava EU-a mađarskoj vladi unatoč nedostacima koji su i dalje prisutni u okvirima za neovisnost pravosuđa i borbu protiv korupcije u Mađarskoj; preporučuje obustavu isplata dok se ne ispune svi kriteriji povezani s vladavinom prava; potiče Komisiju da osigura da sredstva EU-a dođu do mađarskog stanovništva, uključujući putem mehanizama izravnog i neizravnog financiranja korisnika neovisnih o mađarskoj vladi;</w:t>
      </w:r>
    </w:p>
    <w:p w14:paraId="63A27C62" w14:textId="77777777" w:rsidR="000C6AF4" w:rsidRPr="00D03470" w:rsidRDefault="000C6AF4" w:rsidP="000C6AF4">
      <w:pPr>
        <w:pStyle w:val="NormalHanging12a"/>
      </w:pPr>
      <w:r w:rsidRPr="00D03470">
        <w:t>71.</w:t>
      </w:r>
      <w:r w:rsidRPr="00D03470">
        <w:tab/>
        <w:t>ističe važnost rješavanja gospodarske nejednakosti i socijalne isključenosti kao prijetnji demokratskoj participaciji i vladavini prava;</w:t>
      </w:r>
    </w:p>
    <w:p w14:paraId="6B8A9B82" w14:textId="77777777" w:rsidR="000C6AF4" w:rsidRPr="00D03470" w:rsidRDefault="000C6AF4" w:rsidP="000C6AF4">
      <w:pPr>
        <w:pStyle w:val="NormalHanging12a"/>
      </w:pPr>
      <w:r w:rsidRPr="00D03470">
        <w:t>72.</w:t>
      </w:r>
      <w:r w:rsidRPr="00D03470">
        <w:tab/>
        <w:t>poziva Komisiju da u svoje mehanizme praćenja jasnije uključi dimenziju vladavine prava u pogledu jedinstvenog tržišta, sa snažnijim naglaskom na ujednačenoj i brzoj primjeni, provedbi i izvršenju postojećeg zakonodavstva, i pritom osigura da se poštovanje načela vladavine prava u državama članicama ocjenjuje ne samo s demokratskog i pravosudnog stajališta, već i u pogledu njezina gospodarskog učinka na jedinstveno tržište i financijsku stabilnost; traži od Komisije da u svoje izvješće o vladavini prava za 2025. uvrsti posebno poglavlje o dimenziji jedinstvenog tržišta; potiče Komisiju da iskoristi sve dostupne pravne alate za rješavanje nedostataka u pogledu vladavine prava, uključujući pokretanje postupaka zbog povrede i korištenje ovlasti u području izvršenja prava tržišnog natjecanja kada je to potrebno, kako bi se očuvalo funkcioniranje unutarnjeg tržišta;</w:t>
      </w:r>
    </w:p>
    <w:p w14:paraId="3F7CB73F" w14:textId="77777777" w:rsidR="000C6AF4" w:rsidRPr="00D03470" w:rsidRDefault="000C6AF4" w:rsidP="000C6AF4">
      <w:pPr>
        <w:pStyle w:val="Normal12a24b"/>
      </w:pPr>
      <w:r w:rsidRPr="00D03470">
        <w:rPr>
          <w:rStyle w:val="BoldItalic"/>
        </w:rPr>
        <w:t>Paket instrumenata za vladavinu prava</w:t>
      </w:r>
    </w:p>
    <w:p w14:paraId="2E8ED0D1" w14:textId="77777777" w:rsidR="000C6AF4" w:rsidRPr="00D03470" w:rsidRDefault="000C6AF4" w:rsidP="000C6AF4">
      <w:pPr>
        <w:pStyle w:val="NormalHanging12a"/>
      </w:pPr>
      <w:r w:rsidRPr="00D03470">
        <w:t>73.</w:t>
      </w:r>
      <w:r w:rsidRPr="00D03470">
        <w:tab/>
        <w:t>naglašava važnost uključivanja ključnih etapa u području vladavine prava u instrumente financiranja kao što je Mehanizam za oporavak i otpornost; žali zbog oslobađanja sredstava EU-a mađarskoj vladi unatoč nedostacima koji su i dalje prisutni u okvirima za neovisnost pravosuđa i borbu protiv korupcije u Mađarskoj; preporučuje obustavu isplata dok se ne ispune svi kriteriji povezani s vladavinom prava; potiče Komisiju da osigura da sredstva EU-a dođu do mađarskog stanovništva, uključujući putem mehanizama izravnog i neizravnog financiranja korisnika neovisnih o mađarskoj vladi, zadržavajući pritom puni učinak poduzetih mjera;</w:t>
      </w:r>
    </w:p>
    <w:p w14:paraId="37EDAF1A" w14:textId="77777777" w:rsidR="000C6AF4" w:rsidRPr="00D03470" w:rsidRDefault="000C6AF4" w:rsidP="000C6AF4">
      <w:pPr>
        <w:pStyle w:val="NormalHanging12a"/>
      </w:pPr>
      <w:r w:rsidRPr="00D03470">
        <w:t>74.</w:t>
      </w:r>
      <w:r w:rsidRPr="00D03470">
        <w:tab/>
        <w:t xml:space="preserve">žali zbog nedjelovanja Vijeća u pogledu napretka tekućih postupaka na temelju članka 7. UEU-a, čime se slabi vjerodostojnost EU-a u pogledu očuvanja vladavine prava; potiče Vijeće da deblokira sljedeće korake u postupku iz članka 7. u pogledu Mađarske, s obzirom na ustrajna kršenja u pogledu neovisnosti pravosuđa, slobode medija i civilnog društva, što zahtijeva hitno i odlučno djelovanje; preporučuje da Vijeće osigura </w:t>
      </w:r>
      <w:r w:rsidRPr="00D03470">
        <w:lastRenderedPageBreak/>
        <w:t>da se tijekom tekućih postupaka na temelju članka 7. UEU-a saslušanja održavaju najmanje jednom za vrijeme svakog predsjedništva te da se dužna pažnja posvetim novim razvojima događaja koji utječu na vladavinu prava, demokraciju i temeljna prava; naglašava da jednoglasnost u Vijeću nije potrebna da bi se utvrdila očita opasnost od teškog kršenja vrijednosti Unije iz članka 7. stavka 1. UEU-a niti da bi se dotičnim državama članicama uputile konkretne preporuke i odredili rokovi za njihovu provedbu; ponavlja svoj poziv Vijeću da djeluje u tom smislu te usto naglašava da bi svako daljnje odgađanje takvog poteza značilo da sâmo Vijeće krši načelo vladavine prava; ustraje u tome da bi Parlament u postupcima povezanima s člankom 7. UEU-a trebao imati aktivniju ulogu, uključujući mogućnost da predstavi svoj obrazloženi prijedlog Vijeću, prisustvuje saslušanjima u Vijeću te bude u potpunosti obaviješten u svakoj fazi postupka;</w:t>
      </w:r>
    </w:p>
    <w:p w14:paraId="346355BB" w14:textId="77777777" w:rsidR="000C6AF4" w:rsidRPr="00D03470" w:rsidRDefault="000C6AF4" w:rsidP="000C6AF4">
      <w:pPr>
        <w:pStyle w:val="NormalHanging12a"/>
      </w:pPr>
      <w:r w:rsidRPr="00D03470">
        <w:t>75.</w:t>
      </w:r>
      <w:r w:rsidRPr="00D03470">
        <w:tab/>
        <w:t>pozdravlja preventivne alate u paketu instrumenata za vladavinu prava, kao što su godišnji ciklus vladavine prava, Pregled stanja u području pravosuđa u EU-u, europski semestar, fondovi EU-a za potporu civilnom društvu, pravosudnim mrežama i slobodi medija te uvođenje ključnih etapa vladavine prava u Mehanizam za oporavak i otpornost; ustraje u tome da se uvođenjem ključnih etapa uspostavi tješnja veza između nalaza iz izvješća o vladavini prava i dodjele financijske potpore u okviru proračuna Unije, čime bi se osiguralo da su sredstva EU-a povezana s postizanjem potrebnih reformi; poziva Komisiju da dodatno razvije izravnu vezu između preventivnih i reaktivnih instrumenata, odnosno da, na temelju nalaza iz godišnjih izvješća o vladavini prava, brzo i koordinirano pokreće postupke zbog povrede prava, utvrdi daljnje korake u primjeni postupka iz članka 7. UEU-a i primjenjuje Uredbu o uvjetovanosti u pogledu vladavine prava i horizontalne uvjete koji omogućuju provedbu povezane s Poveljom, kao i odredbe Financijske uredbe i Uredbe o zajedničkim odredbama; poziva Komisiju da procjenjuje koje potencijalne rizike za proračun Unije predstavljaju nedostaci u režimima vladavine prava i da o njima izvješćuje u godišnjim izvješćima o vladavini prava, počevši od izvješća za 2025.; naglašava da se pokretanje reaktivnih instrumenata i zaključenje relevantnih postupaka moraju temeljiti na objektivnom kriteriju usklađenosti s vladavinom prava te pravom EU-a i međunarodnim pravom kako ga tumače međunarodni sudovi;</w:t>
      </w:r>
    </w:p>
    <w:p w14:paraId="61DCC63E" w14:textId="77777777" w:rsidR="000C6AF4" w:rsidRPr="00D03470" w:rsidRDefault="000C6AF4" w:rsidP="000C6AF4">
      <w:pPr>
        <w:pStyle w:val="NormalHanging12a"/>
      </w:pPr>
      <w:r w:rsidRPr="00D03470">
        <w:t>76.</w:t>
      </w:r>
      <w:r w:rsidRPr="00D03470">
        <w:tab/>
        <w:t>poziva Komisiju da sustavno upotrebljava ubrzane postupke i podnosi zahtjeve za privremene mjere u postupcima zbog povrede prava pred Sudom Europske unije; poziva Komisiju da revidira svoju politiku opisanu u njezinoj komunikaciji o provedbi prava EU-a</w:t>
      </w:r>
      <w:r w:rsidRPr="00D03470">
        <w:rPr>
          <w:rStyle w:val="FootnoteReference"/>
        </w:rPr>
        <w:footnoteReference w:id="65"/>
      </w:r>
      <w:r w:rsidRPr="00D03470">
        <w:t xml:space="preserve"> prema kojoj se postupci zbog povrede obveze ne koriste za „pojedinačne” slučajeve jer su zbog te politike građani diljem EU-a lišeni svojih prava, osobito kada njihove vlade odbijaju poštovati pravo EU-a ili presude Suda Europske unije, među ostalim i s obzirom na to da većina tih slučajeva nije pojedinačna, već se odnose na strateška i temeljna pitanja; traži od Komisije da svake godine izvješćuje o primjeni i djelotvornosti alata koji se upotrebljavaju protiv kršenja načela vladavine prava u državama članicama;</w:t>
      </w:r>
    </w:p>
    <w:p w14:paraId="6DAE1429" w14:textId="77777777" w:rsidR="000C6AF4" w:rsidRPr="00D03470" w:rsidRDefault="000C6AF4" w:rsidP="000C6AF4">
      <w:pPr>
        <w:pStyle w:val="NormalHanging12a"/>
      </w:pPr>
      <w:r w:rsidRPr="00D03470">
        <w:t>77.</w:t>
      </w:r>
      <w:r w:rsidRPr="00D03470">
        <w:tab/>
        <w:t xml:space="preserve">naglašava potrebu za još sveobuhvatnijim paketom instrumenata kojim će se, osim njegove proračunske dimenzije, osigurati usklađenost i s vrijednostima EU-a u cjelokupnom pravu Unije, uključujući financijske instrumente, kako bi se spriječilo nazadovanje; potiče Komisiju da utvrdi nedostatke i predstavi relevantne prijedloge </w:t>
      </w:r>
      <w:r w:rsidRPr="00D03470">
        <w:lastRenderedPageBreak/>
        <w:t xml:space="preserve">kojima se proširuje područje primjene tog paketa instrumenata; podržava snažniju primjenu Uredbe o uvjetovanosti u pogledu vladavine prava, uz međusektorsku uvjetovanost u programima financiranja EU-a; ustraju u stajalištu da bi se zamrznuta sredstva EU-a trebala osloboditi tek nakon što se u potpunosti provedu smislene reforme i provjeri je li u praksi postignuta usklađenost s vladavinom prava; naglašava potrebu za dosljednošću i transparentnošću u primjeni paketa instrumenata za zaštitu vrijednosti Unije, bez utjecaja politike, i primjenom objektivnih kriterija za pokretanje reaktivnih instrumenata; ističe da bi se uvjetovanost trebala također primjenjivati i na zemlje kandidatkinje i na potencijalne kandidatkinje; ustraje u tome da Parlament ima važnu ulogu u nadzoru upotrebe tih alata; potiče Komisiju da provodi sustavne revizije raspodjele sredstava EU-a kako bi se spriječili sukobi interesa, politička </w:t>
      </w:r>
      <w:proofErr w:type="spellStart"/>
      <w:r w:rsidRPr="00D03470">
        <w:t>instrumentalizacija</w:t>
      </w:r>
      <w:proofErr w:type="spellEnd"/>
      <w:r w:rsidRPr="00D03470">
        <w:t xml:space="preserve"> ili netransparentnost dodjele sredstava na nacionalnoj razini;</w:t>
      </w:r>
    </w:p>
    <w:p w14:paraId="4A48485A" w14:textId="77777777" w:rsidR="000C6AF4" w:rsidRPr="00D03470" w:rsidRDefault="000C6AF4" w:rsidP="000C6AF4">
      <w:pPr>
        <w:pStyle w:val="NormalHanging12a"/>
      </w:pPr>
      <w:r w:rsidRPr="00D03470">
        <w:t>78.</w:t>
      </w:r>
      <w:r w:rsidRPr="00D03470">
        <w:tab/>
        <w:t>ustraje u tome da je u višegodišnji financijski okvir (VFO) potrebno uvesti instrument koji se temelji na uspješnosti kako bi se ojačala usklađenost između sredstava EU-a i poštovanja vrijednosti Unije sadržanih u članku 2. UEU-a, kao što su demokracija, temeljna prava i vladavina prava; traži da se u budući VFO uključe snažne mjere zaštite vladavine prava primjenjive na sva sredstva EU-a;</w:t>
      </w:r>
    </w:p>
    <w:p w14:paraId="520C8E6B" w14:textId="77777777" w:rsidR="000C6AF4" w:rsidRPr="00D03470" w:rsidRDefault="000C6AF4" w:rsidP="000C6AF4">
      <w:pPr>
        <w:pStyle w:val="NormalHanging12a"/>
      </w:pPr>
      <w:r w:rsidRPr="00D03470">
        <w:t>79.</w:t>
      </w:r>
      <w:r w:rsidRPr="00D03470">
        <w:tab/>
        <w:t>izražava zabrinutost zbog toga što bi se privremeno ukidanje sredstava EU-a moglo zloupotrijebiti kao političko oružje protiv civilnog društva i lokalnih vlasti; podsjeća da se Uredbom o uvjetovanosti u pogledu vladavine prava osigurava da krajnji primatelji ne budu lišeni sredstava EU-a u slučaju primjene sankcija na njihovu vladu; poziva na „pametnu uvjetovanost” koja bi omogućila zaobilaženje nacionalnih vlada koje podrivaju vladavinu prava izravnom dodjelom opozvanih sredstava EU-a lokalnim i regionalnim vlastima te nevladinim organizacijama i poduzećima koji poštuju pravo EU-a, kao i pojednostavljenjem preraspodjele sredstava namijenjenih predmetnoj državi članici u druge programe EU-a; predlaže uspostavu transparentnog sustava kojim bi lokalne vlasti mogle zatražiti sredstva EU-a kada nacionalne vlade blokiraju ili zloupotrebljavaju sredstva EU-a; naglašava važnost stroge primjene mehanizama uvjetovanosti sadržanih u Instrumentu pretpristupne pomoći i Instrumentu za reforme i rast za zapadni Balkan na transparentan način;</w:t>
      </w:r>
    </w:p>
    <w:p w14:paraId="46C08406" w14:textId="77777777" w:rsidR="000C6AF4" w:rsidRPr="00D03470" w:rsidRDefault="000C6AF4" w:rsidP="000C6AF4">
      <w:pPr>
        <w:pStyle w:val="Normal12a24b"/>
        <w:rPr>
          <w:rStyle w:val="BoldItalic"/>
        </w:rPr>
      </w:pPr>
      <w:r w:rsidRPr="00D03470">
        <w:rPr>
          <w:rStyle w:val="BoldItalic"/>
        </w:rPr>
        <w:t>Provjera i ravnoteža</w:t>
      </w:r>
    </w:p>
    <w:p w14:paraId="6295BC42" w14:textId="77777777" w:rsidR="000C6AF4" w:rsidRPr="00D03470" w:rsidRDefault="000C6AF4" w:rsidP="000C6AF4">
      <w:pPr>
        <w:pStyle w:val="NormalHanging12a"/>
      </w:pPr>
      <w:r w:rsidRPr="00D03470">
        <w:t>80.</w:t>
      </w:r>
      <w:r w:rsidRPr="00D03470">
        <w:tab/>
        <w:t>naglašava važnost očuvanja diobe vlasti i stabilnog institucijskog okvira u svakoj državi članici; poziva države članice da osiguraju da sve ustavne ili zakonodavne reforme koje utječu na diobu vlasti u potpunosti budu u skladu s temeljnim vrijednostima i pravnim načelima EU-a;</w:t>
      </w:r>
    </w:p>
    <w:p w14:paraId="25642744" w14:textId="77777777" w:rsidR="000C6AF4" w:rsidRPr="00D03470" w:rsidRDefault="000C6AF4" w:rsidP="000C6AF4">
      <w:pPr>
        <w:pStyle w:val="NormalHanging12a"/>
      </w:pPr>
      <w:r w:rsidRPr="00D03470">
        <w:t>81.</w:t>
      </w:r>
      <w:r w:rsidRPr="00D03470">
        <w:tab/>
        <w:t>poziva države članice da se suzdrže od prekomjerne primjene ubrzanih postupaka, kojima se zaobilazi savjetovanje s dionicima i civilnim društvom, uključujući parlamentarni nadzor ili izvanredne ovlasti, jer oni negativno utječu na kvalitetu izrade zakonodavstva i demokraciju; poziva države članice da uspostave transparentne zakonodavne postupke nakon sustavnog i javnog savjetovanja s različitim dionicima i savjetodavnim tijelima;</w:t>
      </w:r>
    </w:p>
    <w:p w14:paraId="0E4315C7" w14:textId="77777777" w:rsidR="000C6AF4" w:rsidRPr="00D03470" w:rsidRDefault="000C6AF4" w:rsidP="000C6AF4">
      <w:pPr>
        <w:pStyle w:val="NormalHanging12a"/>
      </w:pPr>
      <w:r w:rsidRPr="00D03470">
        <w:t>82.</w:t>
      </w:r>
      <w:r w:rsidRPr="00D03470">
        <w:tab/>
        <w:t>potiče nacionalne vlade i parlamente da objave javno dostupne procjene učinka i rezultate savjetovanja za svaki veliki zakonodavni prijedlog;</w:t>
      </w:r>
    </w:p>
    <w:p w14:paraId="3EA71E01" w14:textId="77777777" w:rsidR="000C6AF4" w:rsidRPr="00D03470" w:rsidRDefault="000C6AF4" w:rsidP="000C6AF4">
      <w:pPr>
        <w:pStyle w:val="NormalHanging12a"/>
      </w:pPr>
      <w:r w:rsidRPr="00D03470">
        <w:lastRenderedPageBreak/>
        <w:t>83.</w:t>
      </w:r>
      <w:r w:rsidRPr="00D03470">
        <w:tab/>
        <w:t>ističe preporuku Venecijanske komisije da se učinkovito rješavaju pritužbe i žalbe u slučaju izbornih nepravilnosti, posebno u pogledu kupnje glasova, ubacivanja dodatnih listića u glasačke kutije i pogrešnog prebrojavanja glasova; podsjeća na važnost zakonodavstva EU-a donesenog u tom pogledu, odnosno Akta o digitalnim uslugama, Akta o digitalnim tržištima</w:t>
      </w:r>
      <w:r w:rsidRPr="00D03470">
        <w:rPr>
          <w:rStyle w:val="FootnoteReference"/>
        </w:rPr>
        <w:footnoteReference w:id="66"/>
      </w:r>
      <w:r w:rsidRPr="00D03470">
        <w:t>, Akta o umjetnoj inteligenciji</w:t>
      </w:r>
      <w:r w:rsidRPr="00D03470">
        <w:rPr>
          <w:rStyle w:val="FootnoteReference"/>
        </w:rPr>
        <w:footnoteReference w:id="67"/>
      </w:r>
      <w:r w:rsidRPr="00D03470">
        <w:t>, Uredbe (EU) 2024/900 o transparentnosti i ciljanju u političkom oglašavanju</w:t>
      </w:r>
      <w:r w:rsidRPr="00D03470">
        <w:rPr>
          <w:rStyle w:val="FootnoteReference"/>
        </w:rPr>
        <w:footnoteReference w:id="68"/>
      </w:r>
      <w:r w:rsidRPr="00D03470">
        <w:t xml:space="preserve"> i Europskog akta o slobodi medija; poziva Komisiju i države članice da u potpunosti provedu te akte i osiguraju odgovarajuća javna sredstva za mjere u okviru njih;</w:t>
      </w:r>
    </w:p>
    <w:p w14:paraId="2C36D45F" w14:textId="77777777" w:rsidR="000C6AF4" w:rsidRPr="00D03470" w:rsidRDefault="000C6AF4" w:rsidP="000C6AF4">
      <w:pPr>
        <w:pStyle w:val="NormalHanging12a"/>
      </w:pPr>
      <w:r w:rsidRPr="00D03470">
        <w:t>84.</w:t>
      </w:r>
      <w:r w:rsidRPr="00D03470">
        <w:tab/>
        <w:t>poziva države članice da ojačaju neovisnost nacionalnih nadzornih tijela kako bi se osigurali resursi i nepostojanje političkog upletanja; naglašava važnost civilnog društva i boraca za ljudska prava u promicanju odgovornosti i zaštiti temeljnih prava;</w:t>
      </w:r>
    </w:p>
    <w:p w14:paraId="4E7E0957" w14:textId="77777777" w:rsidR="000C6AF4" w:rsidRPr="00D03470" w:rsidRDefault="000C6AF4" w:rsidP="000C6AF4">
      <w:pPr>
        <w:pStyle w:val="NormalHanging12a"/>
      </w:pPr>
      <w:r w:rsidRPr="00D03470">
        <w:t>85.</w:t>
      </w:r>
      <w:r w:rsidRPr="00D03470">
        <w:tab/>
        <w:t>izražava duboku zabrinutost zbog porasta ekstremizma i njegova razornog učinka na demokratske norme i vladavinu prava u nekoliko država članica; sa zabrinutošću primjećuje da ekstremističke skupine aktivno ciljaju manjine i doprinose ozračju straha i diskriminacije; poziva Komisiju da u svojem godišnjem izvješću o vladavini prava izričito identificira takve skupine kao prijetnju demokraciji, ljudskim pravima i temeljnim slobodama, uključujući akademsku neovisnost i neovisnost medija; potiče države članice da poduzmu odlučne mjere kako bi suzbile njihov utjecaj snažnim pravnim okvirima, edukacijama kojima se promiču demokratske vrijednosti i potporom organizacijama civilnog društva koje se bore protiv ekstremizma; poziva na koordinirano djelovanje EU-a za suzbijanje te prijetnje, među ostalim edukacijama, programima socijalne uključenosti i, prema potrebi, pravnim mjerama;</w:t>
      </w:r>
    </w:p>
    <w:p w14:paraId="54393DB9" w14:textId="77777777" w:rsidR="000C6AF4" w:rsidRPr="00D03470" w:rsidRDefault="000C6AF4" w:rsidP="000C6AF4">
      <w:pPr>
        <w:pStyle w:val="NormalHanging12a"/>
      </w:pPr>
      <w:r w:rsidRPr="00D03470">
        <w:t>86.</w:t>
      </w:r>
      <w:r w:rsidRPr="00D03470">
        <w:tab/>
        <w:t>izražava zabrinutost zbog prijava slučajeva u kojima su vlade država članica upotrebljavale tehnologije nadzora nad novinarima, aktivistima, pripadnicima oporbe i članovima osoblja europskih institucija; podsjeća da uporaba špijunskog softvera mora biti strogo razmjerna i nužna te potiče Komisiju da bez nepotrebne odgode predstavi plan mjera za sprečavanje njegove zlouporabe, uz potpuno korištenje svih dostupnih zakonodavnih sredstava predviđenih Ugovorima, kako je preporučio odbor PEGA;</w:t>
      </w:r>
    </w:p>
    <w:p w14:paraId="3301CA5C" w14:textId="77777777" w:rsidR="000C6AF4" w:rsidRPr="00D03470" w:rsidRDefault="000C6AF4" w:rsidP="000C6AF4">
      <w:pPr>
        <w:pStyle w:val="NormalHanging12a"/>
      </w:pPr>
      <w:r w:rsidRPr="00D03470">
        <w:t>87.</w:t>
      </w:r>
      <w:r w:rsidRPr="00D03470">
        <w:tab/>
        <w:t>sa zabrinutošću primjećuje sve veću upotrebu umjetne inteligencije za potrebe nacionalne sigurnosti i kaznenog progona diljem EU-a, što u prvi plan ističe rizike za temeljna prava i slobode</w:t>
      </w:r>
      <w:r w:rsidRPr="00D03470">
        <w:rPr>
          <w:rStyle w:val="FootnoteReference"/>
        </w:rPr>
        <w:footnoteReference w:id="69"/>
      </w:r>
      <w:r w:rsidRPr="00D03470">
        <w:t xml:space="preserve">; podsjeća da je potrebno osigurati čvrste mjere za zaštitu </w:t>
      </w:r>
      <w:r w:rsidRPr="00D03470">
        <w:lastRenderedPageBreak/>
        <w:t>podataka kada države članice ili nacionalna tijela upotrebljavaju softver za nadzor; poziva na jačanje zakonodavstva EU-a kako bi se spriječio masovni nadzor i diskriminacija;</w:t>
      </w:r>
    </w:p>
    <w:p w14:paraId="66BCF154" w14:textId="77777777" w:rsidR="000C6AF4" w:rsidRPr="00D03470" w:rsidRDefault="000C6AF4" w:rsidP="000C6AF4">
      <w:pPr>
        <w:pStyle w:val="NormalHanging12a"/>
      </w:pPr>
      <w:r w:rsidRPr="00D03470">
        <w:t>88.</w:t>
      </w:r>
      <w:r w:rsidRPr="00D03470">
        <w:tab/>
        <w:t>zabrinut je zbog vanjskog upletanja u državama članicama te u zemljama kandidatkinjama i potencijalnim kandidatkinjama, uključujući manipuliranje društvenim medijima i dezinformacije koje snage unutar i izvan Unije provode radi manipuliranja javnim mnijenjem i narušavanja demokratske rasprave; ističe važnost transparentnosti algoritama na platformama, neovisnih revizija i pouzdanih mehanizama za provjeru činjenica radi borbe protiv dezinformacija i zaštite demokracije; poziva velike digitalne platforme da surađuju s nacionalnim tijelima kaznenog progona kako bi se poduprle istrage nezakonitih aktivnosti na internetu; poziva države članice da to prate i da brzo primjene Akt o digitalnim uslugama i Akt o digitalnim tržištima, posebno u pogledu vrlo velikih internetskih platformi; poziva Komisiju da u svoje izvješće o vladavini prava, u okviru trećeg stupa (Pluralizam i sloboda medija), uvrsti pomnije praćenje dezinformacija na internetskim platformama;</w:t>
      </w:r>
    </w:p>
    <w:p w14:paraId="79830F69" w14:textId="77777777" w:rsidR="000C6AF4" w:rsidRPr="00D03470" w:rsidRDefault="000C6AF4" w:rsidP="000C6AF4">
      <w:pPr>
        <w:pStyle w:val="NormalHanging12a"/>
      </w:pPr>
      <w:r w:rsidRPr="00D03470">
        <w:t>89.</w:t>
      </w:r>
      <w:r w:rsidRPr="00D03470">
        <w:tab/>
        <w:t>naglašava važnost akademske slobode kao neizostavnog aspekta vladavine prava te poziva države članice da zaštite sveučilišta od političkog upletanja i osiguraju institucijsku autonomiju; potiče države članice da potiču kulturu vladavine prava provedbom kampanja za podizanje razine osviještenosti, inicijativama u području informiranja i mjerama usmjerenima na promicanje demokratskih vrijednosti i načela;</w:t>
      </w:r>
    </w:p>
    <w:p w14:paraId="33F31E90" w14:textId="77777777" w:rsidR="000C6AF4" w:rsidRPr="00D03470" w:rsidRDefault="000C6AF4" w:rsidP="000C6AF4">
      <w:pPr>
        <w:pStyle w:val="NormalHanging12a"/>
      </w:pPr>
      <w:r w:rsidRPr="00D03470">
        <w:t>90.</w:t>
      </w:r>
      <w:r w:rsidRPr="00D03470">
        <w:tab/>
        <w:t>poziva Komisiju i države članice da razmotre sudjelovanje u postupku usmjerenom na poboljšanje administrativnih postupaka i praksi koje utječu na funkcioniranje ključnih demokratskih procesa i provedbu sustava provjera i ravnoteža u skladu s utvrđenim zajedničkim načelima EU-a;</w:t>
      </w:r>
    </w:p>
    <w:p w14:paraId="10E8580D" w14:textId="77777777" w:rsidR="000C6AF4" w:rsidRPr="00D03470" w:rsidRDefault="000C6AF4" w:rsidP="000C6AF4">
      <w:pPr>
        <w:pStyle w:val="NormalHanging12a"/>
        <w:rPr>
          <w:b/>
          <w:i/>
        </w:rPr>
      </w:pPr>
      <w:r w:rsidRPr="00D03470">
        <w:rPr>
          <w:b/>
          <w:i/>
        </w:rPr>
        <w:t>Horizontalne preporuke</w:t>
      </w:r>
    </w:p>
    <w:p w14:paraId="3C86A71E" w14:textId="77777777" w:rsidR="000C6AF4" w:rsidRPr="00D03470" w:rsidRDefault="000C6AF4" w:rsidP="000C6AF4">
      <w:pPr>
        <w:pStyle w:val="NormalHanging12a"/>
      </w:pPr>
      <w:r w:rsidRPr="00D03470">
        <w:t>91.</w:t>
      </w:r>
      <w:r w:rsidRPr="00D03470">
        <w:tab/>
        <w:t>prepoznaje izvješće Komisije o vladavini prava kao ključni preventivni alat za praćenje stanja u pogledu vladavine prava diljem EU-a, olakšavanje dijaloga među državama članicama i usmjeravanje reformi u područjima kao što su neovisnost pravosuđa, borba protiv korupcije, sloboda medija te drugi sustavi provjere i ravnoteže;</w:t>
      </w:r>
    </w:p>
    <w:p w14:paraId="14C5ECD0" w14:textId="77777777" w:rsidR="000C6AF4" w:rsidRPr="00D03470" w:rsidRDefault="000C6AF4" w:rsidP="000C6AF4">
      <w:pPr>
        <w:pStyle w:val="NormalHanging12a"/>
      </w:pPr>
      <w:r w:rsidRPr="00D03470">
        <w:t>92.</w:t>
      </w:r>
      <w:r w:rsidRPr="00D03470">
        <w:tab/>
        <w:t xml:space="preserve">potvrđuje da je izvješće Komisije o vladavini prava postalo sveobuhvatnije od njegova začetka 2020.; međutim, žali zbog činjenice da ključni elementi iz rezolucije Parlamenta iz 2016. još nisu provedeni i da Komisija nije u potpunosti uzela u obzir preporuke koje je Parlament iznio u svojim prethodnim rezolucijama; smatra da su te preporuke i dalje valjane te ih ponavlja; poziva na to da se u godišnje izvješće uključe važni elementi koji nedostaju s popisa kriterija za vladavinu prava Venecijanske komisije, kao što su sprečavanje zlouporabe ovlasti, jednakost pred zakonom i nediskriminacija; ponavlja svoje stajalište da bi izvješće trebalo obuhvaćati cjelokupni raspon vrijednosti iz članka 2. UEU-a jer se one ne mogu promatrati odvojeno; traži od Komisije da istraži mogućnost da se sva izvješća povezana s vladavinom prava ili temeljnim pravima, kao što su godišnja izvješća o usklađenosti s Poveljom ili izvješće Agencije Europske unije za temeljna prava, objavljuju u otprilike isto vrijeme kako bi se omogućila globalna rasprava o tim pitanjima; međutim, žali zbog toga što, unatoč sve većim prijetnjama dezinformacijama, propagandom i manipulacijom informacijama protiv europske demokracije, još uvijek nije razmotrena praksa </w:t>
      </w:r>
      <w:proofErr w:type="spellStart"/>
      <w:r w:rsidRPr="00D03470">
        <w:t>istorazinskog</w:t>
      </w:r>
      <w:proofErr w:type="spellEnd"/>
      <w:r w:rsidRPr="00D03470">
        <w:t xml:space="preserve"> ocjenjivanja u državama </w:t>
      </w:r>
      <w:r w:rsidRPr="00D03470">
        <w:lastRenderedPageBreak/>
        <w:t>članicama, čime bi se pružila podrška nastojanjima Ureda OESS-a za demokratske institucije i ljudska prava;</w:t>
      </w:r>
    </w:p>
    <w:p w14:paraId="081AA2E9" w14:textId="77777777" w:rsidR="000C6AF4" w:rsidRPr="00D03470" w:rsidRDefault="000C6AF4" w:rsidP="000C6AF4">
      <w:pPr>
        <w:pStyle w:val="NormalHanging12a"/>
      </w:pPr>
      <w:r w:rsidRPr="00D03470">
        <w:t>93.</w:t>
      </w:r>
      <w:r w:rsidRPr="00D03470">
        <w:tab/>
        <w:t>poziva Komisiju da sljedeće godine proširi područje primjene izvješća; ustraje u tome da izvješće Komisije o vladavini prava za 2025. treba obuhvatiti cijelo područje primjene članka 2. UEU-a i da treba uključivati šire pokazatelje, kao što su neovisnost medija, uloga civilnog društva, temeljna prava, akademska i umjetnička sloboda, rodna ravnopravnost, zaštita manjina i ranjivih skupina, poštovanje međunarodnog prava, slobodni i pošteni izbori i funkcioniranje demokratskih institucija, kako bi se pružila potpunija slika standarda u području vladavine prava diljem EU-a te u zemljama kandidatkinjama i potencijalnim kandidatkinjama;</w:t>
      </w:r>
    </w:p>
    <w:p w14:paraId="00E872BB" w14:textId="77777777" w:rsidR="000C6AF4" w:rsidRPr="00D03470" w:rsidRDefault="000C6AF4" w:rsidP="000C6AF4">
      <w:pPr>
        <w:pStyle w:val="NormalHanging12a"/>
      </w:pPr>
      <w:r w:rsidRPr="00D03470">
        <w:t>94.</w:t>
      </w:r>
      <w:r w:rsidRPr="00D03470">
        <w:tab/>
        <w:t>poziva Komisiju da objavi kriterije za odabir podataka civilnog društva, međunarodnih i nacionalnih tijela i drugih dionika kojima se koristi u postupku izvještavanja o vladavini prava; ponovno poziva Komisiju da zatraži od Agencije za temeljna prava da pruži metodološke savjete i provede komparativna istraživanja kako bi se dodale pojedinosti u ključnim područjima godišnjeg izvješća, s obzirom na suštinske veze između temeljnih prava i vladavine prava;</w:t>
      </w:r>
    </w:p>
    <w:p w14:paraId="7086183E" w14:textId="77777777" w:rsidR="000C6AF4" w:rsidRPr="00D03470" w:rsidRDefault="000C6AF4" w:rsidP="000C6AF4">
      <w:pPr>
        <w:pStyle w:val="NormalHanging12a"/>
      </w:pPr>
      <w:r w:rsidRPr="00D03470">
        <w:t>95.</w:t>
      </w:r>
      <w:r w:rsidRPr="00D03470">
        <w:tab/>
        <w:t xml:space="preserve">potiče Komisiju da se koristi jasnijim jezikom i transparentnim pravilima za procjenu kako bi ocijenila usklađenost s vrijednostima iz članka 2. UEU-a; ponavlja svoj poziv Komisiji da jasno razlikuje sustavna od izoliranih kršenja vladavine prava u državama članicama, kako bi se izbjegao rizik od </w:t>
      </w:r>
      <w:proofErr w:type="spellStart"/>
      <w:r w:rsidRPr="00D03470">
        <w:t>trivijalizacije</w:t>
      </w:r>
      <w:proofErr w:type="spellEnd"/>
      <w:r w:rsidRPr="00D03470">
        <w:t xml:space="preserve"> najozbiljnijih povreda vladavine prava, te da jasno navede da bi države članice, ako se vrijednosti iz članka 2. UEU-a sustavno, namjerno i teško krše tijekom određenog razdoblja, mogle ne ispunjavati skup kriterija kojima se definira demokracija; navodi da bi preporuke trebale bolje odražavati negativne nalaze u izvješću i biti detaljnije; smatra da bi procjena ispunjenja prethodnih preporuka trebala biti preciznija i kvalitativnija te se ne bi trebala oslanjati samo na zakonodavne promjene, već i na stvarne i neovisne dokaze o njihovoj provedbi u praksi; poziva Komisiju da provede terenske posjete i procjene izvrši na temelju konkretnih i neovisnih dokaza o provedbi u praksi;</w:t>
      </w:r>
    </w:p>
    <w:p w14:paraId="635CF816" w14:textId="77777777" w:rsidR="000C6AF4" w:rsidRPr="00D03470" w:rsidRDefault="000C6AF4" w:rsidP="000C6AF4">
      <w:pPr>
        <w:pStyle w:val="NormalHanging12a"/>
      </w:pPr>
      <w:r w:rsidRPr="00D03470">
        <w:t>96.</w:t>
      </w:r>
      <w:r w:rsidRPr="00D03470">
        <w:tab/>
        <w:t>upozorava da bi nepovezanost praćenja sa stvarnim posljedicama mogla umanjiti važnost izvješća u državama članicama; poziva da se veći naglasak stavi na provedbu preporuka za pojedine zemlje, s rokovima i mjerljivim referentnim vrijednostima, uključujući, prema potrebi, upućivanje na postojeća mišljenja međunarodnih tijela (npr. Venecijanske komisije Vijeća Europe, posebnih izvjestitelja UN-a) ili relevantne sudske presude (uključujući presude Europskog suda za ljudska prava); poziva Komisiju da detaljno navede moguće posljedice u slučaju neusklađenosti, među ostalim upućivanjem na konkretne instrumente iz paketa instrumenata, koji uključuju proračunske alate i uvjetovanost financiranja; smatra da određeni slučajevi nepoštovanja vrijednosti zaslužuju hitne provedbene mjere, a da drugi oblici kršenja zahtijevaju hitnu provedbu preporuka; potiče države članice da provedu preporuke navedene u prethodnim izvješćima i pohvaljuje one koje su ih ne samo provele, nego su i premašile utvrđene standarde;</w:t>
      </w:r>
    </w:p>
    <w:p w14:paraId="00A64939" w14:textId="77777777" w:rsidR="000C6AF4" w:rsidRPr="00D03470" w:rsidRDefault="000C6AF4" w:rsidP="000C6AF4">
      <w:pPr>
        <w:pStyle w:val="NormalHanging12a"/>
      </w:pPr>
      <w:r w:rsidRPr="00D03470">
        <w:t>97.</w:t>
      </w:r>
      <w:r w:rsidRPr="00D03470">
        <w:tab/>
        <w:t>zabrinut je zbog toga što vrijeme objave godišnjeg izvješća o vladavini prava (srpanj) ne pridonosi stvaranju dostatne vidljivosti te je u suprotnosti s predviđenom svrhom izvješća da se pokrene istinska javna rasprava o njegovim nalazima; potiče Komisiju da ponovno razmotri datum objave i uloži dodatne napore kako bi njegovi nalazi bili široko poznati u svim državama članicama;</w:t>
      </w:r>
    </w:p>
    <w:p w14:paraId="0653D266" w14:textId="77777777" w:rsidR="000C6AF4" w:rsidRPr="00D03470" w:rsidRDefault="000C6AF4" w:rsidP="000C6AF4">
      <w:pPr>
        <w:pStyle w:val="NormalHanging12a"/>
      </w:pPr>
      <w:r w:rsidRPr="00D03470">
        <w:lastRenderedPageBreak/>
        <w:t>98.</w:t>
      </w:r>
      <w:r w:rsidRPr="00D03470">
        <w:tab/>
        <w:t>podsjeća da odluke koje donesu odnosno ne donesu institucije EU-a često utječu na stanje u pogledu vladavine prava u državama članicama; kritizira činjenicu da status vladavine prava na razini EU-a i dalje nije obuhvaćen Izvješćem Komisije o vladavini prava za 2024.; traži da se u Izvješće Komisije o vladavini prava za 2025. uvrsti poglavlje o poštovanju standarda vladavine prava od strane EU-a, na temelju mehanizma neovisne revizije;</w:t>
      </w:r>
    </w:p>
    <w:p w14:paraId="58BB397E" w14:textId="77777777" w:rsidR="000C6AF4" w:rsidRPr="00D03470" w:rsidRDefault="000C6AF4" w:rsidP="000C6AF4">
      <w:pPr>
        <w:pStyle w:val="NormalHanging12a"/>
      </w:pPr>
      <w:r w:rsidRPr="00D03470">
        <w:t>99.</w:t>
      </w:r>
      <w:r w:rsidRPr="00D03470">
        <w:tab/>
        <w:t xml:space="preserve">predlaže sveobuhvatan </w:t>
      </w:r>
      <w:proofErr w:type="spellStart"/>
      <w:r w:rsidRPr="00D03470">
        <w:t>međuinstitucijski</w:t>
      </w:r>
      <w:proofErr w:type="spellEnd"/>
      <w:r w:rsidRPr="00D03470">
        <w:t xml:space="preserve"> mehanizam za demokraciju, vladavinu prava i temeljna prava kojim bi se obuhvatile sve vrijednosti utvrđene u članku 2. UEU-a i koji bi, kako bi se potaknula ujednačenost, uključivao sve institucije EU-a, države članice i zemlje kandidatkinje; naglašava da je potrebno osigurati potpunu neovisnost i objektivnost sastava i funkcioniranja tog tijela, uz prilagodbu njegova mandata kako bi se ciljano odgovorilo na izazove u pogledu vladavine prava;</w:t>
      </w:r>
    </w:p>
    <w:p w14:paraId="21998314" w14:textId="77777777" w:rsidR="000C6AF4" w:rsidRPr="00D03470" w:rsidRDefault="000C6AF4" w:rsidP="000C6AF4">
      <w:pPr>
        <w:pStyle w:val="NormalHanging12a"/>
      </w:pPr>
      <w:r w:rsidRPr="00D03470">
        <w:t>100.</w:t>
      </w:r>
      <w:r w:rsidRPr="00D03470">
        <w:tab/>
        <w:t xml:space="preserve">smatra da bi trebalo ojačati </w:t>
      </w:r>
      <w:proofErr w:type="spellStart"/>
      <w:r w:rsidRPr="00D03470">
        <w:t>međuinstitucijski</w:t>
      </w:r>
      <w:proofErr w:type="spellEnd"/>
      <w:r w:rsidRPr="00D03470">
        <w:t xml:space="preserve"> dijalog i suradnju u području vladavine prava na razini EU-a; žali zbog toga što su Komisija i Vijeće dosad odbijali ponudu Parlamenta da sklope </w:t>
      </w:r>
      <w:proofErr w:type="spellStart"/>
      <w:r w:rsidRPr="00D03470">
        <w:t>međuinstitucijski</w:t>
      </w:r>
      <w:proofErr w:type="spellEnd"/>
      <w:r w:rsidRPr="00D03470">
        <w:t xml:space="preserve"> sporazum o demokraciji, vladavini prava i temeljnim pravima; ponovno potvrđuje svoju spremnost da nastavi pregovore o tom sporazumu; poziva druge institucije da u međuvremenu barem razmotre daljnju suradnju u kontekstu predloženog </w:t>
      </w:r>
      <w:proofErr w:type="spellStart"/>
      <w:r w:rsidRPr="00D03470">
        <w:t>međuinstitucijskog</w:t>
      </w:r>
      <w:proofErr w:type="spellEnd"/>
      <w:r w:rsidRPr="00D03470">
        <w:t xml:space="preserve"> pilot-projekta o demokraciji, vladavini prava i temeljnim pravima, čime bi se doprinijelo izgradnji povjerenja među institucijama na praktičan način, posebno razmjenom praksi praćenja, dijaloga i sastanaka; poziva Vijeće da svoj dijalog o vladavini prava učini </w:t>
      </w:r>
      <w:proofErr w:type="spellStart"/>
      <w:r w:rsidRPr="00D03470">
        <w:t>uključivijim</w:t>
      </w:r>
      <w:proofErr w:type="spellEnd"/>
      <w:r w:rsidRPr="00D03470">
        <w:t xml:space="preserve"> pozivanjem drugih institucija na svoje sjednice, kao što su Venecijanska komisija, Povjerenik za ljudska prava i predstavnici Parlamenta; smatra da bi dijalog Vijeća o vladavini prava trebao postati interaktivniji, uz sustavno pružanje povratnih informacija; poziva sve države članice da se na odgovarajući način pripreme za taj dijalog; naglašava da bi veća transparentnost pojačala dijalog o vladavini prava u Uniji i stoga poziva Vijeće da objavi te detaljne javne zaključke; potiče Vijeće da surađuje s nacionalnim parlamentima kako bi se poboljšao demokratski nadzor usklađenosti država članica sa standardima vladavine prava EU-a; naglašava da bi izvješće o vladavini prava trebalo biti utemeljeno na dokazima i objektivno, usmjereno na države članice i institucije EU-a te da bi trebalo uključivati preventivne i korektivne mjere;</w:t>
      </w:r>
    </w:p>
    <w:p w14:paraId="19466ADD" w14:textId="77777777" w:rsidR="000C6AF4" w:rsidRPr="00D03470" w:rsidRDefault="000C6AF4" w:rsidP="000C6AF4">
      <w:pPr>
        <w:pStyle w:val="NormalHanging12a"/>
      </w:pPr>
      <w:r w:rsidRPr="00D03470">
        <w:t>101.</w:t>
      </w:r>
      <w:r w:rsidRPr="00D03470">
        <w:tab/>
        <w:t>poziva države članice da osiguraju da hitne mjere donesene kao odgovor na krize (kao što su pandemije ili sigurnosne prijetnje) podliježu redovitom parlamentarnom nadzoru i sudskom preispitivanju te da budu strogo vremenski ograničene i razmjerne;</w:t>
      </w:r>
    </w:p>
    <w:p w14:paraId="3D7E5689" w14:textId="77777777" w:rsidR="000C6AF4" w:rsidRPr="00D03470" w:rsidRDefault="000C6AF4" w:rsidP="000C6AF4">
      <w:pPr>
        <w:pStyle w:val="NormalHanging12a"/>
      </w:pPr>
      <w:r w:rsidRPr="00D03470">
        <w:t>102.</w:t>
      </w:r>
      <w:r w:rsidRPr="00D03470">
        <w:tab/>
        <w:t>smatra da bi trebalo dodatno ojačati suradnju između EU-a i međunarodnih organizacija kao što su Vijeće Europe, OESS i Ujedinjeni narodi u promicanju i obrani demokracije, vladavine prava, temeljnih sloboda i ljudskih prava, uključujući prava manjina;</w:t>
      </w:r>
    </w:p>
    <w:p w14:paraId="32CA8CBA" w14:textId="77777777" w:rsidR="000C6AF4" w:rsidRPr="00D03470" w:rsidRDefault="000C6AF4" w:rsidP="000C6AF4">
      <w:pPr>
        <w:pStyle w:val="NormalHanging12a"/>
      </w:pPr>
      <w:r w:rsidRPr="00D03470">
        <w:t>103.</w:t>
      </w:r>
      <w:r w:rsidRPr="00D03470">
        <w:tab/>
        <w:t>potiče države članice da izrade i provode sveobuhvatne programe građanskog obrazovanja kojima se potiče razumijevanje demokratskih institucija, vladavine prava i temeljnih prava među građanima svih dobnih skupina;</w:t>
      </w:r>
    </w:p>
    <w:p w14:paraId="1F8595F0" w14:textId="77777777" w:rsidR="000C6AF4" w:rsidRPr="00D03470" w:rsidRDefault="000C6AF4" w:rsidP="000C6AF4">
      <w:pPr>
        <w:pStyle w:val="NormalHanging12a"/>
      </w:pPr>
      <w:r w:rsidRPr="00D03470">
        <w:t>104.</w:t>
      </w:r>
      <w:r w:rsidRPr="00D03470">
        <w:tab/>
        <w:t>žali zbog toga što Komisija nije uključila mnoge opetovane zahtjeve Parlamenta u vezi s izvješćima Komisije o vladavini prava; zahtijeva da Komisija do 31. prosinca 2025. objavi komunikaciju u kojoj se detaljno navode zahtjevi koje je Parlament usvojio u vezi s izvješćima Komisije o vladavini prava od 2021. i koje će Komisija provesti, zahtjevi koje neće provesti te zašto ne;</w:t>
      </w:r>
    </w:p>
    <w:p w14:paraId="62D5CDE9" w14:textId="77777777" w:rsidR="003B3B47" w:rsidRPr="00D03470" w:rsidRDefault="000C6AF4" w:rsidP="000C6AF4">
      <w:pPr>
        <w:pStyle w:val="NormalHanging12a"/>
      </w:pPr>
      <w:r w:rsidRPr="00D03470">
        <w:lastRenderedPageBreak/>
        <w:t>105.</w:t>
      </w:r>
      <w:r w:rsidRPr="00D03470">
        <w:tab/>
        <w:t>pozdravlja proširenje izvješća Komisije o vladavini prava na zemlje kandidatkinje, konkretno Albaniju, Crnu Goru, Sjevernu Makedoniju i Srbiju, čime se potvrđuje da temeljne vrijednosti EU-a moraju poštovati ne samo sadašnje države članice nego i buduće članice tijekom procesa pristupanja; potiče pomnu evaluaciju vladavine prava u svim zemljama u procesu pristupanja; potiče Komisiju da zemljama pristupnicama pruži konkretne preporuke o stanju vladavine prava i da osigura usklađenost s izvješćem o proširenju; očekuje od Komisije da u svoje izvješće o vladavini prava za 2025. uključi sve zemlje kandidatkinje;</w:t>
      </w:r>
    </w:p>
    <w:p w14:paraId="3F49468D" w14:textId="77777777" w:rsidR="003B3B47" w:rsidRPr="00D03470" w:rsidRDefault="003B3B47" w:rsidP="003B3B47">
      <w:pPr>
        <w:pStyle w:val="NormalHanging12a"/>
        <w:ind w:left="0" w:firstLine="0"/>
        <w:jc w:val="center"/>
      </w:pPr>
      <w:r w:rsidRPr="00D03470">
        <w:t>°</w:t>
      </w:r>
    </w:p>
    <w:p w14:paraId="79246011" w14:textId="77777777" w:rsidR="003B3B47" w:rsidRPr="00D03470" w:rsidRDefault="003B3B47" w:rsidP="003B3B47">
      <w:pPr>
        <w:pStyle w:val="NormalHanging12a"/>
        <w:ind w:left="0" w:firstLine="0"/>
        <w:jc w:val="center"/>
      </w:pPr>
      <w:r w:rsidRPr="00D03470">
        <w:t>°     °</w:t>
      </w:r>
    </w:p>
    <w:p w14:paraId="03866C02" w14:textId="77777777" w:rsidR="00A008B3" w:rsidRPr="00D03470" w:rsidRDefault="000C6AF4" w:rsidP="00A008B3">
      <w:pPr>
        <w:pStyle w:val="NormalHanging12a"/>
      </w:pPr>
      <w:r w:rsidRPr="00D03470">
        <w:t>106.</w:t>
      </w:r>
      <w:r w:rsidRPr="00D03470">
        <w:tab/>
        <w:t>nalaže svojoj predsjednici da ovu Rezoluciju proslijedi Vijeću, Komisiji, Agenciji Europske unije za temeljna prava, Vijeću Europe te vladama i parlamentima država članica.</w:t>
      </w:r>
    </w:p>
    <w:p w14:paraId="56EA37B5" w14:textId="77777777" w:rsidR="00E365E1" w:rsidRPr="00D03470" w:rsidRDefault="00E365E1" w:rsidP="00F238DC"/>
    <w:sectPr w:rsidR="00E365E1" w:rsidRPr="00D03470" w:rsidSect="00A008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0A7E9" w14:textId="77777777" w:rsidR="00F238DC" w:rsidRPr="00A008B3" w:rsidRDefault="00F238DC">
      <w:r w:rsidRPr="00A008B3">
        <w:separator/>
      </w:r>
    </w:p>
  </w:endnote>
  <w:endnote w:type="continuationSeparator" w:id="0">
    <w:p w14:paraId="665AC91F" w14:textId="77777777" w:rsidR="00F238DC" w:rsidRPr="00A008B3" w:rsidRDefault="00F238DC">
      <w:r w:rsidRPr="00A008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5D7DE" w14:textId="77777777" w:rsidR="00064002" w:rsidRPr="00A008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26236" w14:textId="77777777" w:rsidR="00064002" w:rsidRPr="00A008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3B6D2" w14:textId="77777777" w:rsidR="00064002" w:rsidRPr="00A008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8C6E2" w14:textId="77777777" w:rsidR="00F238DC" w:rsidRPr="00A008B3" w:rsidRDefault="00F238DC">
      <w:r w:rsidRPr="00A008B3">
        <w:separator/>
      </w:r>
    </w:p>
  </w:footnote>
  <w:footnote w:type="continuationSeparator" w:id="0">
    <w:p w14:paraId="5B107042" w14:textId="77777777" w:rsidR="00F238DC" w:rsidRPr="00A008B3" w:rsidRDefault="00F238DC">
      <w:r w:rsidRPr="00A008B3">
        <w:continuationSeparator/>
      </w:r>
    </w:p>
  </w:footnote>
  <w:footnote w:id="1">
    <w:p w14:paraId="172F7E3E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 L 433, 22.12.2020., str. 1., ELI: </w:t>
      </w:r>
      <w:hyperlink r:id="rId1" w:history="1">
        <w:r w:rsidRPr="003B3B47">
          <w:rPr>
            <w:rStyle w:val="Hyperlink"/>
            <w:sz w:val="24"/>
            <w:lang w:val="hr-HR"/>
          </w:rPr>
          <w:t>http://data.europa.eu/eli/reg/2020/2092/oj</w:t>
        </w:r>
      </w:hyperlink>
      <w:r w:rsidRPr="00A008B3">
        <w:rPr>
          <w:sz w:val="24"/>
          <w:lang w:val="hr-HR"/>
        </w:rPr>
        <w:t>.</w:t>
      </w:r>
    </w:p>
  </w:footnote>
  <w:footnote w:id="2">
    <w:p w14:paraId="140AD23D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 L 231, 30.6.2021., str. </w:t>
      </w:r>
      <w:r w:rsidRPr="00A008B3">
        <w:rPr>
          <w:sz w:val="24"/>
          <w:lang w:val="hr-HR"/>
        </w:rPr>
        <w:t xml:space="preserve">159., ELI: </w:t>
      </w:r>
      <w:hyperlink r:id="rId2" w:history="1">
        <w:r w:rsidRPr="003B3B47">
          <w:rPr>
            <w:rStyle w:val="Hyperlink"/>
            <w:sz w:val="24"/>
            <w:lang w:val="hr-HR"/>
          </w:rPr>
          <w:t>http://data.europa.eu/eli/reg/2021/1060/oj</w:t>
        </w:r>
      </w:hyperlink>
      <w:r w:rsidRPr="00A008B3">
        <w:rPr>
          <w:sz w:val="24"/>
          <w:lang w:val="hr-HR"/>
        </w:rPr>
        <w:t>.</w:t>
      </w:r>
    </w:p>
  </w:footnote>
  <w:footnote w:id="3">
    <w:p w14:paraId="7E302D19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 L, 2024/2509, 26.9.2024., ELI: </w:t>
      </w:r>
      <w:hyperlink r:id="rId3" w:history="1">
        <w:r w:rsidRPr="003B3B47">
          <w:rPr>
            <w:rStyle w:val="Hyperlink"/>
            <w:sz w:val="24"/>
            <w:lang w:val="hr-HR"/>
          </w:rPr>
          <w:t>http://data.europa.eu/eli/reg/2024/2509/oj</w:t>
        </w:r>
      </w:hyperlink>
      <w:r w:rsidRPr="00A008B3">
        <w:rPr>
          <w:sz w:val="24"/>
          <w:lang w:val="hr-HR"/>
        </w:rPr>
        <w:t>.</w:t>
      </w:r>
    </w:p>
  </w:footnote>
  <w:footnote w:id="4">
    <w:p w14:paraId="193F081A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 L 156, 5.5.2021., str. </w:t>
      </w:r>
      <w:r w:rsidRPr="00A008B3">
        <w:rPr>
          <w:sz w:val="24"/>
          <w:lang w:val="hr-HR"/>
        </w:rPr>
        <w:t xml:space="preserve">1., ELI: </w:t>
      </w:r>
      <w:hyperlink r:id="rId4" w:history="1">
        <w:r w:rsidRPr="003B3B47">
          <w:rPr>
            <w:rStyle w:val="Hyperlink"/>
            <w:sz w:val="24"/>
            <w:lang w:val="hr-HR"/>
          </w:rPr>
          <w:t>http://data.europa.eu/eli/reg/2021/692/oj</w:t>
        </w:r>
      </w:hyperlink>
      <w:r w:rsidRPr="00A008B3">
        <w:rPr>
          <w:sz w:val="24"/>
          <w:lang w:val="hr-HR"/>
        </w:rPr>
        <w:t>.</w:t>
      </w:r>
    </w:p>
  </w:footnote>
  <w:footnote w:id="5">
    <w:p w14:paraId="22269634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3B3B47">
        <w:rPr>
          <w:sz w:val="24"/>
          <w:lang w:val="hr-HR"/>
        </w:rPr>
        <w:t>SL C 215, 19.6.2018., str. 162.</w:t>
      </w:r>
    </w:p>
  </w:footnote>
  <w:footnote w:id="6">
    <w:p w14:paraId="3D5D0AAE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 C 463, 21.12.2018., str. 21.</w:t>
      </w:r>
    </w:p>
  </w:footnote>
  <w:footnote w:id="7">
    <w:p w14:paraId="356F7B1F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 C 129, 5.4.2019., str. 13.</w:t>
      </w:r>
    </w:p>
  </w:footnote>
  <w:footnote w:id="8">
    <w:p w14:paraId="10D319CC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390, 18.11.2019., str. 117.</w:t>
      </w:r>
    </w:p>
  </w:footnote>
  <w:footnote w:id="9">
    <w:p w14:paraId="0D91702B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 C 433, 23.12.2019., str. 66.</w:t>
      </w:r>
    </w:p>
  </w:footnote>
  <w:footnote w:id="10">
    <w:p w14:paraId="1F88D8EC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363, 28.10.2020., str. 13.</w:t>
      </w:r>
    </w:p>
  </w:footnote>
  <w:footnote w:id="11">
    <w:p w14:paraId="5FF68B28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363, 28.10.2020., str. 45.</w:t>
      </w:r>
    </w:p>
  </w:footnote>
  <w:footnote w:id="12">
    <w:p w14:paraId="10456AEE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395, 29.9.2021., str. 2.</w:t>
      </w:r>
    </w:p>
  </w:footnote>
  <w:footnote w:id="13">
    <w:p w14:paraId="5223E76E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415, 13.10.2021., str. 36.</w:t>
      </w:r>
    </w:p>
  </w:footnote>
  <w:footnote w:id="14">
    <w:p w14:paraId="46723EED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445, 29.10.2021., str. 70.</w:t>
      </w:r>
    </w:p>
  </w:footnote>
  <w:footnote w:id="15">
    <w:p w14:paraId="27E4ED61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 C 67, 8.2.2022., str. 86.</w:t>
      </w:r>
    </w:p>
  </w:footnote>
  <w:footnote w:id="16">
    <w:p w14:paraId="14736F91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81, 18.2.2022., str. 27.</w:t>
      </w:r>
    </w:p>
  </w:footnote>
  <w:footnote w:id="17">
    <w:p w14:paraId="2B8BD289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99, 1.3.2022., str. 146.</w:t>
      </w:r>
    </w:p>
  </w:footnote>
  <w:footnote w:id="18">
    <w:p w14:paraId="2E18A8D6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 C 117, 11.3.2022., str. 88.</w:t>
      </w:r>
    </w:p>
  </w:footnote>
  <w:footnote w:id="19">
    <w:p w14:paraId="0311F622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205, 20.5.2022., str. 2.</w:t>
      </w:r>
    </w:p>
  </w:footnote>
  <w:footnote w:id="20">
    <w:p w14:paraId="631C2867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251, 30.6.2022., str. 48.</w:t>
      </w:r>
    </w:p>
  </w:footnote>
  <w:footnote w:id="21">
    <w:p w14:paraId="4A46DE26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 C 347, 9.9.2022., str. 2.</w:t>
      </w:r>
    </w:p>
  </w:footnote>
  <w:footnote w:id="22">
    <w:p w14:paraId="1BC52369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 C 347, 9.9.2022., str. 168.</w:t>
      </w:r>
    </w:p>
  </w:footnote>
  <w:footnote w:id="23">
    <w:p w14:paraId="74EC312F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479, 16.12.2022., str. 18.</w:t>
      </w:r>
    </w:p>
  </w:footnote>
  <w:footnote w:id="24">
    <w:p w14:paraId="2427C133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493, 27.12.2022., str. 108.</w:t>
      </w:r>
    </w:p>
  </w:footnote>
  <w:footnote w:id="25">
    <w:p w14:paraId="242B9560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 C 125, 5.4.2023., str. 80.</w:t>
      </w:r>
    </w:p>
  </w:footnote>
  <w:footnote w:id="26">
    <w:p w14:paraId="370E412B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SL C 125, 5.4.2023., str. 463.</w:t>
      </w:r>
    </w:p>
  </w:footnote>
  <w:footnote w:id="27">
    <w:p w14:paraId="38E6D86D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3B3B47">
        <w:rPr>
          <w:sz w:val="24"/>
          <w:lang w:val="hr-HR"/>
        </w:rPr>
        <w:t>SL C 149, 28.4.2023., str. 15.</w:t>
      </w:r>
    </w:p>
  </w:footnote>
  <w:footnote w:id="28">
    <w:p w14:paraId="0B09A438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3B3B47">
        <w:rPr>
          <w:sz w:val="24"/>
          <w:lang w:val="hr-HR"/>
        </w:rPr>
        <w:t>SL C 149, 28.4.2023., str. 22.</w:t>
      </w:r>
    </w:p>
  </w:footnote>
  <w:footnote w:id="29">
    <w:p w14:paraId="0BEDAAED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3B3B47">
        <w:rPr>
          <w:sz w:val="24"/>
          <w:lang w:val="hr-HR"/>
        </w:rPr>
        <w:t>SL C 161, 5.5.2023., str. 10.</w:t>
      </w:r>
    </w:p>
  </w:footnote>
  <w:footnote w:id="30">
    <w:p w14:paraId="37C2EA83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3B3B47">
        <w:rPr>
          <w:sz w:val="24"/>
          <w:lang w:val="hr-HR"/>
        </w:rPr>
        <w:t>SL C 167, 11.5.2023., str. 74.</w:t>
      </w:r>
    </w:p>
  </w:footnote>
  <w:footnote w:id="31">
    <w:p w14:paraId="4BAB8811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3B3B47">
        <w:rPr>
          <w:sz w:val="24"/>
          <w:lang w:val="hr-HR"/>
        </w:rPr>
        <w:t>SL C 341, 27.9.2023., str. 2.</w:t>
      </w:r>
    </w:p>
  </w:footnote>
  <w:footnote w:id="32">
    <w:p w14:paraId="0E8FE446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 C, C/2023/442, 1.12.2023., ELI: </w:t>
      </w:r>
      <w:hyperlink r:id="rId5" w:history="1">
        <w:r w:rsidRPr="003B3B47">
          <w:rPr>
            <w:rStyle w:val="Hyperlink"/>
            <w:sz w:val="24"/>
            <w:lang w:val="hr-HR"/>
          </w:rPr>
          <w:t>http://data.europa.eu/eli/C/2023/442/oj</w:t>
        </w:r>
      </w:hyperlink>
      <w:r w:rsidRPr="00A008B3">
        <w:rPr>
          <w:sz w:val="24"/>
          <w:lang w:val="hr-HR"/>
        </w:rPr>
        <w:t>.</w:t>
      </w:r>
    </w:p>
  </w:footnote>
  <w:footnote w:id="33">
    <w:p w14:paraId="4134FAB7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 C, C/2024/6743, 26.11.2024., ELI: </w:t>
      </w:r>
      <w:hyperlink r:id="rId6" w:history="1">
        <w:r w:rsidRPr="003B3B47">
          <w:rPr>
            <w:rStyle w:val="Hyperlink"/>
            <w:sz w:val="24"/>
            <w:lang w:val="hr-HR"/>
          </w:rPr>
          <w:t>http://data.europa.eu/eli/C/2024/6743/oj</w:t>
        </w:r>
      </w:hyperlink>
      <w:r w:rsidRPr="00A008B3">
        <w:rPr>
          <w:sz w:val="24"/>
          <w:lang w:val="hr-HR"/>
        </w:rPr>
        <w:t>.</w:t>
      </w:r>
    </w:p>
  </w:footnote>
  <w:footnote w:id="34">
    <w:p w14:paraId="28831B8B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 C, C/2024/6746, 26.11.2024., ELI: </w:t>
      </w:r>
      <w:hyperlink r:id="rId7" w:history="1">
        <w:r w:rsidRPr="003B3B47">
          <w:rPr>
            <w:rStyle w:val="Hyperlink"/>
            <w:sz w:val="24"/>
            <w:lang w:val="hr-HR"/>
          </w:rPr>
          <w:t>http://data.europa.eu/eli/C/2024/6746/oj</w:t>
        </w:r>
      </w:hyperlink>
      <w:r w:rsidRPr="00A008B3">
        <w:rPr>
          <w:sz w:val="24"/>
          <w:lang w:val="hr-HR"/>
        </w:rPr>
        <w:t>.</w:t>
      </w:r>
    </w:p>
  </w:footnote>
  <w:footnote w:id="35">
    <w:p w14:paraId="48C46DE6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 C, C/2023/1223, 21.12.2023., ELI: </w:t>
      </w:r>
      <w:hyperlink r:id="rId8" w:history="1">
        <w:r w:rsidRPr="003B3B47">
          <w:rPr>
            <w:rStyle w:val="Hyperlink"/>
            <w:sz w:val="24"/>
            <w:lang w:val="hr-HR"/>
          </w:rPr>
          <w:t>http://data.europa.eu/eli/C/2023/1223/oj</w:t>
        </w:r>
      </w:hyperlink>
      <w:r w:rsidRPr="00A008B3">
        <w:rPr>
          <w:sz w:val="24"/>
          <w:lang w:val="hr-HR"/>
        </w:rPr>
        <w:t>.</w:t>
      </w:r>
    </w:p>
  </w:footnote>
  <w:footnote w:id="36">
    <w:p w14:paraId="32B8F88E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 C, C/2024/494, 23.1.2024., ELI: </w:t>
      </w:r>
      <w:hyperlink r:id="rId9" w:history="1">
        <w:r w:rsidRPr="003B3B47">
          <w:rPr>
            <w:rStyle w:val="Hyperlink"/>
            <w:sz w:val="24"/>
            <w:lang w:val="hr-HR"/>
          </w:rPr>
          <w:t>http://data.europa.eu/eli/C/2024/494/oj</w:t>
        </w:r>
      </w:hyperlink>
      <w:r w:rsidRPr="00A008B3">
        <w:rPr>
          <w:sz w:val="24"/>
          <w:lang w:val="hr-HR"/>
        </w:rPr>
        <w:t>.</w:t>
      </w:r>
    </w:p>
  </w:footnote>
  <w:footnote w:id="37">
    <w:p w14:paraId="7D243DEB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 C, C/2024/3995, 17.7.2024., ELI: </w:t>
      </w:r>
      <w:hyperlink r:id="rId10" w:history="1">
        <w:r w:rsidRPr="003B3B47">
          <w:rPr>
            <w:rStyle w:val="Hyperlink"/>
            <w:sz w:val="24"/>
            <w:lang w:val="hr-HR"/>
          </w:rPr>
          <w:t>http://data.europa.eu/eli/C/2024/3995/oj</w:t>
        </w:r>
      </w:hyperlink>
      <w:r w:rsidRPr="00A008B3">
        <w:rPr>
          <w:sz w:val="24"/>
          <w:lang w:val="hr-HR"/>
        </w:rPr>
        <w:t>.</w:t>
      </w:r>
    </w:p>
  </w:footnote>
  <w:footnote w:id="38">
    <w:p w14:paraId="72685482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 C, C/2024/2656, 29.4.2024., ELI: </w:t>
      </w:r>
      <w:hyperlink r:id="rId11" w:history="1">
        <w:r w:rsidRPr="003B3B47">
          <w:rPr>
            <w:rStyle w:val="Hyperlink"/>
            <w:sz w:val="24"/>
            <w:lang w:val="hr-HR"/>
          </w:rPr>
          <w:t>http://data.europa.eu/eli/C/2024/2656/oj</w:t>
        </w:r>
      </w:hyperlink>
      <w:r w:rsidRPr="00A008B3">
        <w:rPr>
          <w:sz w:val="24"/>
          <w:lang w:val="hr-HR"/>
        </w:rPr>
        <w:t>.</w:t>
      </w:r>
    </w:p>
  </w:footnote>
  <w:footnote w:id="39">
    <w:p w14:paraId="277EEE0C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 C, C/2024/5739, 17.10.2024., ELI: </w:t>
      </w:r>
      <w:hyperlink r:id="rId12" w:history="1">
        <w:r w:rsidRPr="003B3B47">
          <w:rPr>
            <w:rStyle w:val="Hyperlink"/>
            <w:sz w:val="24"/>
            <w:lang w:val="hr-HR"/>
          </w:rPr>
          <w:t>http://data.europa.eu/eli/C/2024/5739/oj</w:t>
        </w:r>
      </w:hyperlink>
      <w:r w:rsidRPr="00A008B3">
        <w:rPr>
          <w:sz w:val="24"/>
          <w:lang w:val="hr-HR"/>
        </w:rPr>
        <w:t>.</w:t>
      </w:r>
    </w:p>
  </w:footnote>
  <w:footnote w:id="40">
    <w:p w14:paraId="4B7F0EB6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 C, C/2024/5733, 17.10.2024., ELI: </w:t>
      </w:r>
      <w:hyperlink r:id="rId13" w:history="1">
        <w:r w:rsidRPr="003B3B47">
          <w:rPr>
            <w:rStyle w:val="Hyperlink"/>
            <w:sz w:val="24"/>
            <w:lang w:val="hr-HR"/>
          </w:rPr>
          <w:t>http://data.europa.eu/eli/C/2024/5733/oj</w:t>
        </w:r>
      </w:hyperlink>
      <w:r w:rsidRPr="00A008B3">
        <w:rPr>
          <w:sz w:val="24"/>
          <w:lang w:val="hr-HR"/>
        </w:rPr>
        <w:t>.</w:t>
      </w:r>
    </w:p>
  </w:footnote>
  <w:footnote w:id="41">
    <w:p w14:paraId="6464397A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Usvojeni tekstovi, P9_TA(2024)0367.</w:t>
      </w:r>
    </w:p>
  </w:footnote>
  <w:footnote w:id="42">
    <w:p w14:paraId="73FDE398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Za sve aktivnosti praćenja DRFMG-a vidjeti: </w:t>
      </w:r>
      <w:hyperlink r:id="rId14" w:history="1">
        <w:r w:rsidRPr="003B3B47">
          <w:rPr>
            <w:rStyle w:val="Hyperlink"/>
            <w:sz w:val="24"/>
            <w:lang w:val="hr-HR"/>
          </w:rPr>
          <w:t>https://www.europarl.europa.eu/committees/en/libe-democracy-rule-of-law-and-fundament/product-details/20190103CDT02662</w:t>
        </w:r>
      </w:hyperlink>
      <w:r w:rsidRPr="00A008B3">
        <w:rPr>
          <w:sz w:val="24"/>
          <w:lang w:val="hr-HR"/>
        </w:rPr>
        <w:t>.</w:t>
      </w:r>
    </w:p>
  </w:footnote>
  <w:footnote w:id="43">
    <w:p w14:paraId="6E113C19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Mišljenje Suda od 18. prosinca 2014., 2/13, ECLI:EU:C:2014:2454, točka 168.</w:t>
      </w:r>
    </w:p>
  </w:footnote>
  <w:footnote w:id="44">
    <w:p w14:paraId="263B6AEB" w14:textId="77777777" w:rsidR="000C6AF4" w:rsidRPr="0039246B" w:rsidRDefault="000C6AF4" w:rsidP="00A008B3">
      <w:pPr>
        <w:pStyle w:val="FootnoteText"/>
        <w:ind w:left="567" w:hanging="567"/>
        <w:rPr>
          <w:rStyle w:val="FootnoteReference"/>
          <w:sz w:val="24"/>
          <w:vertAlign w:val="baseline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Presuda Suda Europske unije od 24. </w:t>
      </w:r>
      <w:r w:rsidRPr="00A008B3">
        <w:rPr>
          <w:sz w:val="24"/>
          <w:lang w:val="hr-HR"/>
        </w:rPr>
        <w:t xml:space="preserve">lipnja 2019., </w:t>
      </w:r>
      <w:r w:rsidRPr="00A008B3">
        <w:rPr>
          <w:i/>
          <w:iCs/>
          <w:sz w:val="24"/>
          <w:lang w:val="hr-HR"/>
        </w:rPr>
        <w:t>Komisija / Poljska</w:t>
      </w:r>
      <w:r w:rsidRPr="00A008B3">
        <w:rPr>
          <w:sz w:val="24"/>
          <w:lang w:val="hr-HR"/>
        </w:rPr>
        <w:t>, C-619/18, ECLI:EU:C:2019:531, točka 42.</w:t>
      </w:r>
    </w:p>
  </w:footnote>
  <w:footnote w:id="45">
    <w:p w14:paraId="50817922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COM(2024)0800, Prilog s preporukama, str. 1., 9., 11., 19. i 24.</w:t>
      </w:r>
    </w:p>
  </w:footnote>
  <w:footnote w:id="46">
    <w:p w14:paraId="1210FD4C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Direktiva 2012/29/EU Europskog parlamenta i Vijeća od 25. listopada 2012. o uspostavi minimalnih standarda za prava, potporu i zaštitu žrtava kaznenih djela te o zamjeni Okvirne odluke Vijeća 2001/220/PUP (SL L 315, 14.11.2012., str. </w:t>
      </w:r>
      <w:r w:rsidRPr="00A008B3">
        <w:rPr>
          <w:sz w:val="24"/>
          <w:lang w:val="hr-HR"/>
        </w:rPr>
        <w:t xml:space="preserve">57., ELI: </w:t>
      </w:r>
      <w:hyperlink r:id="rId15" w:history="1">
        <w:r w:rsidRPr="003B3B47">
          <w:rPr>
            <w:rStyle w:val="Hyperlink"/>
            <w:sz w:val="24"/>
            <w:lang w:val="hr-HR"/>
          </w:rPr>
          <w:t>http://data.europa.eu/eli/dir/2012/29/oj</w:t>
        </w:r>
      </w:hyperlink>
      <w:r w:rsidRPr="00A008B3">
        <w:rPr>
          <w:sz w:val="24"/>
          <w:lang w:val="hr-HR"/>
        </w:rPr>
        <w:t>).</w:t>
      </w:r>
    </w:p>
  </w:footnote>
  <w:footnote w:id="47">
    <w:p w14:paraId="30D20E53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Uredba Vijeća (EU) 2017/1939 od 12. listopada 2017. o provedbi pojačane suradnje u vezi s osnivanjem Ureda europskog javnog tužitelja („EPPO”) ( SL L 283, 31.10.2017., str. </w:t>
      </w:r>
      <w:r w:rsidRPr="00A008B3">
        <w:rPr>
          <w:sz w:val="24"/>
          <w:lang w:val="hr-HR"/>
        </w:rPr>
        <w:t xml:space="preserve">1., ELI: </w:t>
      </w:r>
      <w:hyperlink r:id="rId16" w:history="1">
        <w:r w:rsidRPr="003B3B47">
          <w:rPr>
            <w:rStyle w:val="Hyperlink"/>
            <w:sz w:val="24"/>
            <w:lang w:val="hr-HR"/>
          </w:rPr>
          <w:t>http://data.europa.eu/eli/reg/2017/1939/oj</w:t>
        </w:r>
      </w:hyperlink>
      <w:r w:rsidRPr="00A008B3">
        <w:rPr>
          <w:sz w:val="24"/>
          <w:lang w:val="hr-HR"/>
        </w:rPr>
        <w:t xml:space="preserve">). </w:t>
      </w:r>
    </w:p>
  </w:footnote>
  <w:footnote w:id="48">
    <w:p w14:paraId="057C4519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Direktiva (EU) 2017/1371 Europskog parlamenta i Vijeća od 5. srpnja 2017. o suzbijanju prijevara počinjenih protiv financijskih interesa Unije kaznenopravnim sredstvima (SL L 198, 28.7.2017., str. </w:t>
      </w:r>
      <w:r w:rsidRPr="00A008B3">
        <w:rPr>
          <w:sz w:val="24"/>
          <w:lang w:val="hr-HR"/>
        </w:rPr>
        <w:t xml:space="preserve">29., ELI: </w:t>
      </w:r>
      <w:hyperlink r:id="rId17" w:history="1">
        <w:r w:rsidRPr="003B3B47">
          <w:rPr>
            <w:rStyle w:val="Hyperlink"/>
            <w:sz w:val="24"/>
            <w:lang w:val="hr-HR"/>
          </w:rPr>
          <w:t>http://data.europa.eu/eli/dir/2017/1371/oj</w:t>
        </w:r>
      </w:hyperlink>
      <w:r w:rsidRPr="00A008B3">
        <w:rPr>
          <w:sz w:val="24"/>
          <w:lang w:val="hr-HR"/>
        </w:rPr>
        <w:t>).</w:t>
      </w:r>
    </w:p>
  </w:footnote>
  <w:footnote w:id="49">
    <w:p w14:paraId="0B737360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Uredba (EU) 2024/1083 Europskog parlamenta i Vijeća od 11. travnja 2024. </w:t>
      </w:r>
      <w:r w:rsidRPr="00A008B3">
        <w:rPr>
          <w:sz w:val="24"/>
          <w:lang w:val="hr-HR"/>
        </w:rPr>
        <w:t xml:space="preserve">o uspostavi zajedničkog okvira za medijske usluge na unutarnjem tržištu i izmjeni Direktive 2010/13/EU (Europski akt o slobodi medija) (SL L, 2024/1083, 17.4.2024., ELI: </w:t>
      </w:r>
      <w:hyperlink r:id="rId18" w:history="1">
        <w:r w:rsidRPr="003B3B47">
          <w:rPr>
            <w:rStyle w:val="Hyperlink"/>
            <w:sz w:val="24"/>
            <w:lang w:val="hr-HR"/>
          </w:rPr>
          <w:t>http://data.europa.eu/eli/reg/2024/1083/oj</w:t>
        </w:r>
      </w:hyperlink>
      <w:r w:rsidRPr="00A008B3">
        <w:rPr>
          <w:sz w:val="24"/>
          <w:lang w:val="hr-HR"/>
        </w:rPr>
        <w:t>).</w:t>
      </w:r>
    </w:p>
  </w:footnote>
  <w:footnote w:id="50">
    <w:p w14:paraId="671DF28E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Direktiva (EU) 2024/1069 Europskog parlamenta i Vijeća od 11. travnja 2024. </w:t>
      </w:r>
      <w:r w:rsidRPr="00A008B3">
        <w:rPr>
          <w:sz w:val="24"/>
          <w:lang w:val="hr-HR"/>
        </w:rPr>
        <w:t xml:space="preserve">o zaštiti osoba uključenih u javno djelovanje od očito neosnovanih tužbi ili zlonamjernih sudskih postupaka („strateške tužbe usmjerene protiv javnog djelovanja”) (SL L, 2024/1069, 16.4.2024., ELI: </w:t>
      </w:r>
      <w:hyperlink r:id="rId19" w:history="1">
        <w:r w:rsidRPr="003B3B47">
          <w:rPr>
            <w:rStyle w:val="Hyperlink"/>
            <w:sz w:val="24"/>
            <w:lang w:val="hr-HR"/>
          </w:rPr>
          <w:t>http://data.europa.eu/eli/dir/2024/1069/oj</w:t>
        </w:r>
      </w:hyperlink>
      <w:r w:rsidRPr="00A008B3">
        <w:rPr>
          <w:sz w:val="24"/>
          <w:lang w:val="hr-HR"/>
        </w:rPr>
        <w:t>).</w:t>
      </w:r>
    </w:p>
  </w:footnote>
  <w:footnote w:id="51">
    <w:p w14:paraId="02EF12C6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SL L 138, 17.5.2022., str. </w:t>
      </w:r>
      <w:r w:rsidRPr="00A008B3">
        <w:rPr>
          <w:sz w:val="24"/>
          <w:lang w:val="hr-HR"/>
        </w:rPr>
        <w:t xml:space="preserve">30., ELI: </w:t>
      </w:r>
      <w:hyperlink r:id="rId20" w:history="1">
        <w:r w:rsidRPr="003B3B47">
          <w:rPr>
            <w:rStyle w:val="Hyperlink"/>
            <w:sz w:val="24"/>
            <w:lang w:val="hr-HR"/>
          </w:rPr>
          <w:t>http://data.europa.eu/eli/reco/2022/758/oj</w:t>
        </w:r>
      </w:hyperlink>
      <w:r w:rsidRPr="00A008B3">
        <w:rPr>
          <w:sz w:val="24"/>
          <w:lang w:val="hr-HR"/>
        </w:rPr>
        <w:t>.</w:t>
      </w:r>
    </w:p>
  </w:footnote>
  <w:footnote w:id="52">
    <w:p w14:paraId="28AFD999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Uredba (EU) 2022/2065 Europskog parlamenta i Vijeća od 19. listopada 2022. o jedinstvenom tržištu digitalnih usluga i izmjeni Direktive 2000/31/EZ (Akt o digitalnim uslugama) (SL L 277, 27.10.2022., str. </w:t>
      </w:r>
      <w:r w:rsidRPr="00A008B3">
        <w:rPr>
          <w:sz w:val="24"/>
          <w:lang w:val="hr-HR"/>
        </w:rPr>
        <w:t xml:space="preserve">1., ELI: </w:t>
      </w:r>
      <w:hyperlink r:id="rId21" w:history="1">
        <w:r w:rsidRPr="003B3B47">
          <w:rPr>
            <w:rStyle w:val="Hyperlink"/>
            <w:sz w:val="24"/>
            <w:lang w:val="hr-HR"/>
          </w:rPr>
          <w:t>http://data.europa.eu/eli/reg/2022/2065/oj</w:t>
        </w:r>
      </w:hyperlink>
      <w:r w:rsidRPr="00A008B3">
        <w:rPr>
          <w:sz w:val="24"/>
          <w:lang w:val="hr-HR"/>
        </w:rPr>
        <w:t>).</w:t>
      </w:r>
    </w:p>
  </w:footnote>
  <w:footnote w:id="53">
    <w:p w14:paraId="7D3B87BD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Direktiva (EU) 2016/343 Europskog parlamenta i Vijeća od 9. ožujka 2016. o jačanju određenih vidova pretpostavke nedužnosti i prava sudjelovati na raspravi u kaznenom postupku (SL L 65, 11.3.2016., str. </w:t>
      </w:r>
      <w:r w:rsidRPr="00A008B3">
        <w:rPr>
          <w:sz w:val="24"/>
          <w:lang w:val="hr-HR"/>
        </w:rPr>
        <w:t xml:space="preserve">1., ELI: </w:t>
      </w:r>
      <w:hyperlink r:id="rId22" w:history="1">
        <w:r w:rsidRPr="003B3B47">
          <w:rPr>
            <w:rStyle w:val="Hyperlink"/>
            <w:sz w:val="24"/>
            <w:lang w:val="hr-HR"/>
          </w:rPr>
          <w:t>http://data.europa.eu/eli/dir/2016/343/oj</w:t>
        </w:r>
      </w:hyperlink>
      <w:r w:rsidRPr="00A008B3">
        <w:rPr>
          <w:sz w:val="24"/>
          <w:lang w:val="hr-HR"/>
        </w:rPr>
        <w:t>).</w:t>
      </w:r>
    </w:p>
  </w:footnote>
  <w:footnote w:id="54">
    <w:p w14:paraId="6FD3679A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Mišljenje EGSO-a od 14. veljače 2024. naslovljeno „Jačanje civilnog dijaloga i participativne demokracije u EU-u: smjer za budućnost”.</w:t>
      </w:r>
    </w:p>
  </w:footnote>
  <w:footnote w:id="55">
    <w:p w14:paraId="1C3A6839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Civilno društvo Europe, „Zajednički doprinos civilnog društva o građanskom prostoru godišnjem izvješću o vladavini prava za 2024.”, lipanj 2024.</w:t>
      </w:r>
    </w:p>
  </w:footnote>
  <w:footnote w:id="56">
    <w:p w14:paraId="07BD0E21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Agencija Europske unije za temeljna prava, „Suzbijanje rasizma u radu policije“, Ured za publikacije Europske unije, 2024.</w:t>
      </w:r>
    </w:p>
  </w:footnote>
  <w:footnote w:id="57">
    <w:p w14:paraId="7AD3BD09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Presude Europskog suda za ljudska prava, </w:t>
      </w:r>
      <w:r w:rsidRPr="00A008B3">
        <w:rPr>
          <w:i/>
          <w:iCs/>
          <w:sz w:val="24"/>
          <w:lang w:val="hr-HR"/>
        </w:rPr>
        <w:t>Drozd / Poljska</w:t>
      </w:r>
      <w:r w:rsidRPr="00A008B3">
        <w:rPr>
          <w:sz w:val="24"/>
          <w:lang w:val="hr-HR"/>
        </w:rPr>
        <w:t xml:space="preserve">, 15158/19 od 6. travnja 2023. i </w:t>
      </w:r>
      <w:proofErr w:type="spellStart"/>
      <w:r w:rsidRPr="00A008B3">
        <w:rPr>
          <w:i/>
          <w:iCs/>
          <w:sz w:val="24"/>
          <w:lang w:val="hr-HR"/>
        </w:rPr>
        <w:t>Mándli</w:t>
      </w:r>
      <w:proofErr w:type="spellEnd"/>
      <w:r w:rsidRPr="00A008B3">
        <w:rPr>
          <w:i/>
          <w:iCs/>
          <w:sz w:val="24"/>
          <w:lang w:val="hr-HR"/>
        </w:rPr>
        <w:t xml:space="preserve"> i drugi / Mađarska</w:t>
      </w:r>
      <w:r w:rsidRPr="00A008B3">
        <w:rPr>
          <w:sz w:val="24"/>
          <w:lang w:val="hr-HR"/>
        </w:rPr>
        <w:t>, 63164/16 od 26. svibnja 2020.</w:t>
      </w:r>
    </w:p>
  </w:footnote>
  <w:footnote w:id="58">
    <w:p w14:paraId="2807F330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Direktiva Vijeća 2000/78/EZ od 27. studenoga 2000. o uspostavi općeg okvira za jednako postupanje pri zapošljavanju i obavljanju zanimanja (SL L 303, 2.12.2000., str. </w:t>
      </w:r>
      <w:r w:rsidRPr="00A008B3">
        <w:rPr>
          <w:sz w:val="24"/>
          <w:lang w:val="hr-HR"/>
        </w:rPr>
        <w:t xml:space="preserve">16., </w:t>
      </w:r>
      <w:hyperlink r:id="rId23" w:history="1">
        <w:r w:rsidRPr="00A008B3">
          <w:rPr>
            <w:rStyle w:val="Hyperlink"/>
            <w:sz w:val="24"/>
            <w:lang w:val="hr-HR"/>
          </w:rPr>
          <w:t>http://data.europa.eu/eli/dir/2000/78/oj</w:t>
        </w:r>
      </w:hyperlink>
      <w:r w:rsidRPr="00A008B3">
        <w:rPr>
          <w:sz w:val="24"/>
          <w:lang w:val="hr-HR"/>
        </w:rPr>
        <w:t xml:space="preserve">). </w:t>
      </w:r>
    </w:p>
  </w:footnote>
  <w:footnote w:id="59">
    <w:p w14:paraId="54094816" w14:textId="3A281EC5" w:rsidR="000C6AF4" w:rsidRPr="0039246B" w:rsidRDefault="000C6AF4" w:rsidP="00A008B3">
      <w:pPr>
        <w:pStyle w:val="FootnoteText"/>
        <w:ind w:left="567" w:hanging="567"/>
        <w:rPr>
          <w:rStyle w:val="FootnoteReference"/>
          <w:sz w:val="24"/>
          <w:vertAlign w:val="baseline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Prijedlog direktive Vijeća o provedbi načela jednakog postupanja prema osobama bez obzira na njihovu vjeru ili uvjerenje, invaliditet, dob ili spolnu opredijeljenost (COM(2008)</w:t>
      </w:r>
      <w:r w:rsidR="00C007D2">
        <w:rPr>
          <w:sz w:val="24"/>
          <w:lang w:val="hr-HR"/>
        </w:rPr>
        <w:t>0</w:t>
      </w:r>
      <w:r w:rsidRPr="00A008B3">
        <w:rPr>
          <w:sz w:val="24"/>
          <w:lang w:val="hr-HR"/>
        </w:rPr>
        <w:t>426).</w:t>
      </w:r>
    </w:p>
  </w:footnote>
  <w:footnote w:id="60">
    <w:p w14:paraId="031F510F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Direktiva 2004/38/EZ Europskog parlamenta i Vijeća od 29. travnja 2004. o pravu građana Unije i članova njihovih obitelji slobodno se kretati i boraviti na državnom području država članica, o izmjeni Uredbe (EEZ) br. 1612/68 i stavljanju izvan snage direktiva 64/221/EEZ, 68/360/EEZ, 72/194/EEZ, 73/148/EEZ, 75/34/EEZ, 75/35/EEZ, 90/364/EEZ, 90/365/EEZ i 93/96/EEZ (SL L 158, 30.4.2004., str. 77., ELI: </w:t>
      </w:r>
      <w:hyperlink r:id="rId24" w:history="1">
        <w:r w:rsidRPr="00A008B3">
          <w:rPr>
            <w:rStyle w:val="Hyperlink"/>
            <w:sz w:val="24"/>
            <w:lang w:val="hr-HR"/>
          </w:rPr>
          <w:t>http://data.europa.eu/eli/dir/2004/38/oj</w:t>
        </w:r>
      </w:hyperlink>
      <w:r w:rsidRPr="00A008B3">
        <w:rPr>
          <w:sz w:val="24"/>
          <w:lang w:val="hr-HR"/>
        </w:rPr>
        <w:t>).</w:t>
      </w:r>
    </w:p>
  </w:footnote>
  <w:footnote w:id="61">
    <w:p w14:paraId="6375507D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Presuda Suda od 5. lipnja 2018., </w:t>
      </w:r>
      <w:proofErr w:type="spellStart"/>
      <w:r w:rsidRPr="00A008B3">
        <w:rPr>
          <w:sz w:val="24"/>
          <w:lang w:val="hr-HR"/>
        </w:rPr>
        <w:t>Relu</w:t>
      </w:r>
      <w:proofErr w:type="spellEnd"/>
      <w:r w:rsidRPr="00A008B3">
        <w:rPr>
          <w:sz w:val="24"/>
          <w:lang w:val="hr-HR"/>
        </w:rPr>
        <w:t xml:space="preserve"> Adrian </w:t>
      </w:r>
      <w:proofErr w:type="spellStart"/>
      <w:r w:rsidRPr="00A008B3">
        <w:rPr>
          <w:sz w:val="24"/>
          <w:lang w:val="hr-HR"/>
        </w:rPr>
        <w:t>Coman</w:t>
      </w:r>
      <w:proofErr w:type="spellEnd"/>
      <w:r w:rsidRPr="00A008B3">
        <w:rPr>
          <w:sz w:val="24"/>
          <w:lang w:val="hr-HR"/>
        </w:rPr>
        <w:t xml:space="preserve"> i dr. / </w:t>
      </w:r>
      <w:proofErr w:type="spellStart"/>
      <w:r w:rsidRPr="00A008B3">
        <w:rPr>
          <w:i/>
          <w:iCs/>
          <w:sz w:val="24"/>
          <w:lang w:val="hr-HR"/>
        </w:rPr>
        <w:t>Inspectoratul</w:t>
      </w:r>
      <w:proofErr w:type="spellEnd"/>
      <w:r w:rsidRPr="00A008B3">
        <w:rPr>
          <w:i/>
          <w:iCs/>
          <w:sz w:val="24"/>
          <w:lang w:val="hr-HR"/>
        </w:rPr>
        <w:t xml:space="preserve"> General </w:t>
      </w:r>
      <w:proofErr w:type="spellStart"/>
      <w:r w:rsidRPr="00A008B3">
        <w:rPr>
          <w:i/>
          <w:iCs/>
          <w:sz w:val="24"/>
          <w:lang w:val="hr-HR"/>
        </w:rPr>
        <w:t>pentru</w:t>
      </w:r>
      <w:proofErr w:type="spellEnd"/>
      <w:r w:rsidRPr="00A008B3">
        <w:rPr>
          <w:i/>
          <w:iCs/>
          <w:sz w:val="24"/>
          <w:lang w:val="hr-HR"/>
        </w:rPr>
        <w:t xml:space="preserve"> </w:t>
      </w:r>
      <w:proofErr w:type="spellStart"/>
      <w:r w:rsidRPr="00A008B3">
        <w:rPr>
          <w:i/>
          <w:iCs/>
          <w:sz w:val="24"/>
          <w:lang w:val="hr-HR"/>
        </w:rPr>
        <w:t>Imigrări</w:t>
      </w:r>
      <w:proofErr w:type="spellEnd"/>
      <w:r w:rsidRPr="00A008B3">
        <w:rPr>
          <w:i/>
          <w:iCs/>
          <w:sz w:val="24"/>
          <w:lang w:val="hr-HR"/>
        </w:rPr>
        <w:t xml:space="preserve"> i </w:t>
      </w:r>
      <w:proofErr w:type="spellStart"/>
      <w:r w:rsidRPr="00A008B3">
        <w:rPr>
          <w:i/>
          <w:iCs/>
          <w:sz w:val="24"/>
          <w:lang w:val="hr-HR"/>
        </w:rPr>
        <w:t>Ministerul</w:t>
      </w:r>
      <w:proofErr w:type="spellEnd"/>
      <w:r w:rsidRPr="00A008B3">
        <w:rPr>
          <w:i/>
          <w:iCs/>
          <w:sz w:val="24"/>
          <w:lang w:val="hr-HR"/>
        </w:rPr>
        <w:t xml:space="preserve"> </w:t>
      </w:r>
      <w:proofErr w:type="spellStart"/>
      <w:r w:rsidRPr="00A008B3">
        <w:rPr>
          <w:i/>
          <w:iCs/>
          <w:sz w:val="24"/>
          <w:lang w:val="hr-HR"/>
        </w:rPr>
        <w:t>Afacerilor</w:t>
      </w:r>
      <w:proofErr w:type="spellEnd"/>
      <w:r w:rsidRPr="00A008B3">
        <w:rPr>
          <w:i/>
          <w:iCs/>
          <w:sz w:val="24"/>
          <w:lang w:val="hr-HR"/>
        </w:rPr>
        <w:t xml:space="preserve"> Interne</w:t>
      </w:r>
      <w:r w:rsidRPr="00A008B3">
        <w:rPr>
          <w:sz w:val="24"/>
          <w:lang w:val="hr-HR"/>
        </w:rPr>
        <w:t>, C‑673/16, ECLI:EU:C:2018:385.</w:t>
      </w:r>
    </w:p>
  </w:footnote>
  <w:footnote w:id="62">
    <w:p w14:paraId="269DB36A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Direktiva (EU) 2024/1500 Europskog parlamenta i Vijeća od 14. svibnja 2024. </w:t>
      </w:r>
      <w:r w:rsidRPr="00A008B3">
        <w:rPr>
          <w:sz w:val="24"/>
          <w:lang w:val="hr-HR"/>
        </w:rPr>
        <w:t xml:space="preserve">o standardima za tijela za jednakost u području jednakog postupanja prema ženama i muškarcima te njihovih jednakih mogućnosti u pitanjima zapošljavanja i rada te o izmjeni direktiva 2006/54/EZ i 2010/41/EU (SL L, 2024/1500, 29.5.2024., ELI: </w:t>
      </w:r>
      <w:hyperlink r:id="rId25" w:history="1">
        <w:r w:rsidRPr="003B3B47">
          <w:rPr>
            <w:rStyle w:val="Hyperlink"/>
            <w:sz w:val="24"/>
            <w:lang w:val="hr-HR"/>
          </w:rPr>
          <w:t>http://data.europa.eu/eli/dir/2024/1500/oj</w:t>
        </w:r>
      </w:hyperlink>
      <w:r w:rsidRPr="00A008B3">
        <w:rPr>
          <w:sz w:val="24"/>
          <w:lang w:val="hr-HR"/>
        </w:rPr>
        <w:t>).</w:t>
      </w:r>
    </w:p>
  </w:footnote>
  <w:footnote w:id="63">
    <w:p w14:paraId="0AF8B87C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Direktiva Vijeća (EU) 2024/1499 od 7. svibnja 2024. </w:t>
      </w:r>
      <w:r w:rsidRPr="00A008B3">
        <w:rPr>
          <w:sz w:val="24"/>
          <w:lang w:val="hr-HR"/>
        </w:rPr>
        <w:t xml:space="preserve">o standardima za tijela za jednakost u području jednakog postupanja prema osobama bez obzira na njihovo rasno ili etničko podrijetlo, jednakog postupanja u pitanjima zapošljavanja i rada prema osobama bez obzira na njihovu vjeru ili uvjerenje, invaliditet, dob ili seksualnu orijentaciju, jednakog postupanja prema ženama i muškarcima u pitanjima socijalne sigurnosti te u pristupu i nabavi robe, odnosno pružanju usluga, te o izmjeni direktiva 2000/43/EZ i 2004/113/EZ (SL L, 2024/1499, 29.5.2024., ELI: </w:t>
      </w:r>
      <w:hyperlink r:id="rId26" w:history="1">
        <w:r w:rsidRPr="003B3B47">
          <w:rPr>
            <w:rStyle w:val="Hyperlink"/>
            <w:sz w:val="24"/>
            <w:lang w:val="hr-HR"/>
          </w:rPr>
          <w:t>http://data.europa.eu/eli/dir/2024/1499/oj</w:t>
        </w:r>
      </w:hyperlink>
      <w:r w:rsidRPr="00A008B3">
        <w:rPr>
          <w:sz w:val="24"/>
          <w:lang w:val="hr-HR"/>
        </w:rPr>
        <w:t xml:space="preserve">). </w:t>
      </w:r>
    </w:p>
  </w:footnote>
  <w:footnote w:id="64">
    <w:p w14:paraId="02CA31C3" w14:textId="34374F14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>Prijedlog direktive Vijeća o provedbi načela jednakog postupanja prema osobama bez obzira na njihovu vjeru ili uvjerenje, invaliditet, dob ili spolnu opredijeljenost (COM(2008)</w:t>
      </w:r>
      <w:r w:rsidR="00D33624">
        <w:rPr>
          <w:sz w:val="24"/>
          <w:lang w:val="hr-HR"/>
        </w:rPr>
        <w:t>0</w:t>
      </w:r>
      <w:r w:rsidRPr="00A008B3">
        <w:rPr>
          <w:sz w:val="24"/>
          <w:lang w:val="hr-HR"/>
        </w:rPr>
        <w:t>426).</w:t>
      </w:r>
    </w:p>
  </w:footnote>
  <w:footnote w:id="65">
    <w:p w14:paraId="21E3A89C" w14:textId="596A2D64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Komunikacija Komisije od 13. listopada 2022. </w:t>
      </w:r>
      <w:r w:rsidRPr="00A008B3">
        <w:rPr>
          <w:sz w:val="24"/>
          <w:lang w:val="hr-HR"/>
        </w:rPr>
        <w:t>naslovljena „Izvršenje prava Unije za Europu koja donosi koristi” (COM(2022)0518)</w:t>
      </w:r>
      <w:r w:rsidR="0039246B">
        <w:rPr>
          <w:sz w:val="24"/>
          <w:lang w:val="hr-HR"/>
        </w:rPr>
        <w:t>.</w:t>
      </w:r>
    </w:p>
  </w:footnote>
  <w:footnote w:id="66">
    <w:p w14:paraId="35C826F1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Uredba (EU) 2022/1925 Europskog parlamenta i Vijeća od 14. rujna 2022. o pravednim tržištima s mogućnošću neograničenog tržišnog natjecanja u digitalnom sektoru i izmjeni direktiva (EU) 2019/1937 i (EU) 2020/1828 (Akt o digitalnim tržištima) (SL L 265, 12.10.2022., str. 1., ELI: </w:t>
      </w:r>
      <w:hyperlink r:id="rId27" w:history="1">
        <w:r w:rsidRPr="00A008B3">
          <w:rPr>
            <w:rStyle w:val="Hyperlink"/>
            <w:sz w:val="24"/>
            <w:lang w:val="hr-HR"/>
          </w:rPr>
          <w:t>http://data.europa.eu/eli/reg/2022/1925/oj</w:t>
        </w:r>
      </w:hyperlink>
      <w:r w:rsidRPr="00A008B3">
        <w:rPr>
          <w:sz w:val="24"/>
          <w:lang w:val="hr-HR"/>
        </w:rPr>
        <w:t xml:space="preserve">). </w:t>
      </w:r>
    </w:p>
  </w:footnote>
  <w:footnote w:id="67">
    <w:p w14:paraId="5A8AB3DB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Uredba (EU) 2024/1689 Europskog parlamenta i Vijeća od 13. lipnja 2024. o utvrđivanju usklađenih pravila o umjetnoj inteligenciji i o izmjeni uredaba (EZ) br. 300/2008, (EU) br. 167/2013, (EU) br. </w:t>
      </w:r>
      <w:r w:rsidRPr="00A008B3">
        <w:rPr>
          <w:sz w:val="24"/>
          <w:lang w:val="hr-HR"/>
        </w:rPr>
        <w:t xml:space="preserve">168/2013, (EU) 2018/858, (EU) 2018/1139 i (EU) 2019/2144 te direktiva 2014/90/EU, (EU) 2016/797 i (EU) 2020/1828 (Akt o umjetnoj inteligenciji), (SL L, 2024/1689, 12.7.2024., ELI: </w:t>
      </w:r>
      <w:hyperlink r:id="rId28" w:history="1">
        <w:r w:rsidRPr="003B3B47">
          <w:rPr>
            <w:rStyle w:val="Hyperlink"/>
            <w:sz w:val="24"/>
            <w:lang w:val="hr-HR"/>
          </w:rPr>
          <w:t>http://data.europa.eu/eli/reg/2024/1689/oj</w:t>
        </w:r>
      </w:hyperlink>
      <w:r w:rsidRPr="00A008B3">
        <w:rPr>
          <w:sz w:val="24"/>
          <w:lang w:val="hr-HR"/>
        </w:rPr>
        <w:t>).</w:t>
      </w:r>
    </w:p>
  </w:footnote>
  <w:footnote w:id="68">
    <w:p w14:paraId="1622BD44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r w:rsidRPr="00A008B3">
        <w:rPr>
          <w:sz w:val="24"/>
          <w:lang w:val="hr-HR"/>
        </w:rPr>
        <w:t xml:space="preserve">Uredba (EU) 2024/900 Europskog parlamenta i Vijeća od 13. ožujka 2024. </w:t>
      </w:r>
      <w:r w:rsidRPr="00A008B3">
        <w:rPr>
          <w:sz w:val="24"/>
          <w:lang w:val="hr-HR"/>
        </w:rPr>
        <w:t xml:space="preserve">o transparentnosti i ciljanju u političkom oglašavanju (SL L, 2024/900, 20.3.2024., ELI: </w:t>
      </w:r>
      <w:hyperlink r:id="rId29" w:history="1">
        <w:r w:rsidRPr="00A008B3">
          <w:rPr>
            <w:rStyle w:val="Hyperlink"/>
            <w:sz w:val="24"/>
            <w:lang w:val="hr-HR"/>
          </w:rPr>
          <w:t>http://data.europa.eu/eli/reg/2024/900/oj</w:t>
        </w:r>
      </w:hyperlink>
      <w:r w:rsidRPr="00A008B3">
        <w:rPr>
          <w:sz w:val="24"/>
          <w:lang w:val="hr-HR"/>
        </w:rPr>
        <w:t xml:space="preserve">). </w:t>
      </w:r>
    </w:p>
  </w:footnote>
  <w:footnote w:id="69">
    <w:p w14:paraId="4DC391F9" w14:textId="77777777" w:rsidR="000C6AF4" w:rsidRPr="00A008B3" w:rsidRDefault="000C6AF4" w:rsidP="00A008B3">
      <w:pPr>
        <w:pStyle w:val="FootnoteText"/>
        <w:ind w:left="567" w:hanging="567"/>
        <w:rPr>
          <w:sz w:val="24"/>
          <w:lang w:val="hr-HR"/>
        </w:rPr>
      </w:pPr>
      <w:r w:rsidRPr="00A008B3">
        <w:rPr>
          <w:rStyle w:val="FootnoteReference"/>
          <w:sz w:val="24"/>
          <w:lang w:val="hr-HR"/>
        </w:rPr>
        <w:footnoteRef/>
      </w:r>
      <w:r w:rsidR="00A008B3" w:rsidRPr="00A008B3">
        <w:rPr>
          <w:sz w:val="24"/>
          <w:lang w:val="hr-HR"/>
        </w:rPr>
        <w:t xml:space="preserve"> </w:t>
      </w:r>
      <w:r w:rsidR="00A008B3" w:rsidRPr="00A008B3">
        <w:rPr>
          <w:sz w:val="24"/>
          <w:lang w:val="hr-HR"/>
        </w:rPr>
        <w:tab/>
      </w:r>
      <w:proofErr w:type="spellStart"/>
      <w:r w:rsidRPr="00A008B3">
        <w:rPr>
          <w:sz w:val="24"/>
          <w:lang w:val="hr-HR"/>
        </w:rPr>
        <w:t>Europol</w:t>
      </w:r>
      <w:proofErr w:type="spellEnd"/>
      <w:r w:rsidRPr="00A008B3">
        <w:rPr>
          <w:sz w:val="24"/>
          <w:lang w:val="hr-HR"/>
        </w:rPr>
        <w:t xml:space="preserve">, „AI </w:t>
      </w:r>
      <w:proofErr w:type="spellStart"/>
      <w:r w:rsidRPr="00A008B3">
        <w:rPr>
          <w:sz w:val="24"/>
          <w:lang w:val="hr-HR"/>
        </w:rPr>
        <w:t>and</w:t>
      </w:r>
      <w:proofErr w:type="spellEnd"/>
      <w:r w:rsidRPr="00A008B3">
        <w:rPr>
          <w:sz w:val="24"/>
          <w:lang w:val="hr-HR"/>
        </w:rPr>
        <w:t xml:space="preserve"> </w:t>
      </w:r>
      <w:proofErr w:type="spellStart"/>
      <w:r w:rsidRPr="00A008B3">
        <w:rPr>
          <w:sz w:val="24"/>
          <w:lang w:val="hr-HR"/>
        </w:rPr>
        <w:t>policeing</w:t>
      </w:r>
      <w:proofErr w:type="spellEnd"/>
      <w:r w:rsidRPr="00A008B3">
        <w:rPr>
          <w:sz w:val="24"/>
          <w:lang w:val="hr-HR"/>
        </w:rPr>
        <w:t xml:space="preserve"> – </w:t>
      </w:r>
      <w:proofErr w:type="spellStart"/>
      <w:r w:rsidRPr="00A008B3">
        <w:rPr>
          <w:sz w:val="24"/>
          <w:lang w:val="hr-HR"/>
        </w:rPr>
        <w:t>The</w:t>
      </w:r>
      <w:proofErr w:type="spellEnd"/>
      <w:r w:rsidRPr="00A008B3">
        <w:rPr>
          <w:sz w:val="24"/>
          <w:lang w:val="hr-HR"/>
        </w:rPr>
        <w:t xml:space="preserve"> </w:t>
      </w:r>
      <w:proofErr w:type="spellStart"/>
      <w:r w:rsidRPr="00A008B3">
        <w:rPr>
          <w:sz w:val="24"/>
          <w:lang w:val="hr-HR"/>
        </w:rPr>
        <w:t>benefits</w:t>
      </w:r>
      <w:proofErr w:type="spellEnd"/>
      <w:r w:rsidRPr="00A008B3">
        <w:rPr>
          <w:sz w:val="24"/>
          <w:lang w:val="hr-HR"/>
        </w:rPr>
        <w:t xml:space="preserve"> </w:t>
      </w:r>
      <w:proofErr w:type="spellStart"/>
      <w:r w:rsidRPr="00A008B3">
        <w:rPr>
          <w:sz w:val="24"/>
          <w:lang w:val="hr-HR"/>
        </w:rPr>
        <w:t>and</w:t>
      </w:r>
      <w:proofErr w:type="spellEnd"/>
      <w:r w:rsidRPr="00A008B3">
        <w:rPr>
          <w:sz w:val="24"/>
          <w:lang w:val="hr-HR"/>
        </w:rPr>
        <w:t xml:space="preserve"> </w:t>
      </w:r>
      <w:proofErr w:type="spellStart"/>
      <w:r w:rsidRPr="00A008B3">
        <w:rPr>
          <w:sz w:val="24"/>
          <w:lang w:val="hr-HR"/>
        </w:rPr>
        <w:t>challenges</w:t>
      </w:r>
      <w:proofErr w:type="spellEnd"/>
      <w:r w:rsidRPr="00A008B3">
        <w:rPr>
          <w:sz w:val="24"/>
          <w:lang w:val="hr-HR"/>
        </w:rPr>
        <w:t xml:space="preserve"> </w:t>
      </w:r>
      <w:proofErr w:type="spellStart"/>
      <w:r w:rsidRPr="00A008B3">
        <w:rPr>
          <w:sz w:val="24"/>
          <w:lang w:val="hr-HR"/>
        </w:rPr>
        <w:t>of</w:t>
      </w:r>
      <w:proofErr w:type="spellEnd"/>
      <w:r w:rsidRPr="00A008B3">
        <w:rPr>
          <w:sz w:val="24"/>
          <w:lang w:val="hr-HR"/>
        </w:rPr>
        <w:t xml:space="preserve"> </w:t>
      </w:r>
      <w:proofErr w:type="spellStart"/>
      <w:r w:rsidRPr="00A008B3">
        <w:rPr>
          <w:sz w:val="24"/>
          <w:lang w:val="hr-HR"/>
        </w:rPr>
        <w:t>artificial</w:t>
      </w:r>
      <w:proofErr w:type="spellEnd"/>
      <w:r w:rsidRPr="00A008B3">
        <w:rPr>
          <w:sz w:val="24"/>
          <w:lang w:val="hr-HR"/>
        </w:rPr>
        <w:t xml:space="preserve"> </w:t>
      </w:r>
      <w:proofErr w:type="spellStart"/>
      <w:r w:rsidRPr="00A008B3">
        <w:rPr>
          <w:sz w:val="24"/>
          <w:lang w:val="hr-HR"/>
        </w:rPr>
        <w:t>intelligence</w:t>
      </w:r>
      <w:proofErr w:type="spellEnd"/>
      <w:r w:rsidRPr="00A008B3">
        <w:rPr>
          <w:sz w:val="24"/>
          <w:lang w:val="hr-HR"/>
        </w:rPr>
        <w:t xml:space="preserve"> for </w:t>
      </w:r>
      <w:proofErr w:type="spellStart"/>
      <w:r w:rsidRPr="00A008B3">
        <w:rPr>
          <w:sz w:val="24"/>
          <w:lang w:val="hr-HR"/>
        </w:rPr>
        <w:t>law</w:t>
      </w:r>
      <w:proofErr w:type="spellEnd"/>
      <w:r w:rsidRPr="00A008B3">
        <w:rPr>
          <w:sz w:val="24"/>
          <w:lang w:val="hr-HR"/>
        </w:rPr>
        <w:t xml:space="preserve"> </w:t>
      </w:r>
      <w:proofErr w:type="spellStart"/>
      <w:r w:rsidRPr="00A008B3">
        <w:rPr>
          <w:sz w:val="24"/>
          <w:lang w:val="hr-HR"/>
        </w:rPr>
        <w:t>enforcement</w:t>
      </w:r>
      <w:proofErr w:type="spellEnd"/>
      <w:r w:rsidRPr="00A008B3">
        <w:rPr>
          <w:sz w:val="24"/>
          <w:lang w:val="hr-HR"/>
        </w:rPr>
        <w:t>” (</w:t>
      </w:r>
      <w:r w:rsidRPr="00A008B3">
        <w:rPr>
          <w:i/>
          <w:iCs/>
          <w:sz w:val="24"/>
          <w:lang w:val="hr-HR"/>
        </w:rPr>
        <w:t>Umjetna inteligencija i policija – koristi i izazovi umjetne inteligencije za izvršavanje zakonodavstva</w:t>
      </w:r>
      <w:r w:rsidRPr="00A008B3">
        <w:rPr>
          <w:sz w:val="24"/>
          <w:lang w:val="hr-HR"/>
        </w:rPr>
        <w:t xml:space="preserve">), Ured za publikacije Europske unije, 2024.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1EC85" w14:textId="77777777" w:rsidR="00064002" w:rsidRPr="00A008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C23E" w14:textId="77777777" w:rsidR="00064002" w:rsidRPr="00A008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5B2D7" w14:textId="77777777" w:rsidR="00064002" w:rsidRPr="00A008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6928914">
    <w:abstractNumId w:val="9"/>
  </w:num>
  <w:num w:numId="2" w16cid:durableId="1189105052">
    <w:abstractNumId w:val="9"/>
  </w:num>
  <w:num w:numId="3" w16cid:durableId="1549803485">
    <w:abstractNumId w:val="7"/>
  </w:num>
  <w:num w:numId="4" w16cid:durableId="425613018">
    <w:abstractNumId w:val="7"/>
  </w:num>
  <w:num w:numId="5" w16cid:durableId="1368988289">
    <w:abstractNumId w:val="6"/>
  </w:num>
  <w:num w:numId="6" w16cid:durableId="1932277300">
    <w:abstractNumId w:val="6"/>
  </w:num>
  <w:num w:numId="7" w16cid:durableId="179439781">
    <w:abstractNumId w:val="5"/>
  </w:num>
  <w:num w:numId="8" w16cid:durableId="1740715679">
    <w:abstractNumId w:val="5"/>
  </w:num>
  <w:num w:numId="9" w16cid:durableId="176702538">
    <w:abstractNumId w:val="4"/>
  </w:num>
  <w:num w:numId="10" w16cid:durableId="108791308">
    <w:abstractNumId w:val="4"/>
  </w:num>
  <w:num w:numId="11" w16cid:durableId="1351833882">
    <w:abstractNumId w:val="8"/>
  </w:num>
  <w:num w:numId="12" w16cid:durableId="355544772">
    <w:abstractNumId w:val="8"/>
  </w:num>
  <w:num w:numId="13" w16cid:durableId="1856115177">
    <w:abstractNumId w:val="3"/>
  </w:num>
  <w:num w:numId="14" w16cid:durableId="1089891520">
    <w:abstractNumId w:val="3"/>
  </w:num>
  <w:num w:numId="15" w16cid:durableId="594948282">
    <w:abstractNumId w:val="2"/>
  </w:num>
  <w:num w:numId="16" w16cid:durableId="589120315">
    <w:abstractNumId w:val="2"/>
  </w:num>
  <w:num w:numId="17" w16cid:durableId="2078436093">
    <w:abstractNumId w:val="1"/>
  </w:num>
  <w:num w:numId="18" w16cid:durableId="1295988273">
    <w:abstractNumId w:val="1"/>
  </w:num>
  <w:num w:numId="19" w16cid:durableId="549076366">
    <w:abstractNumId w:val="0"/>
  </w:num>
  <w:num w:numId="20" w16cid:durableId="589001704">
    <w:abstractNumId w:val="0"/>
  </w:num>
  <w:num w:numId="21" w16cid:durableId="214658564">
    <w:abstractNumId w:val="9"/>
  </w:num>
  <w:num w:numId="22" w16cid:durableId="1733651184">
    <w:abstractNumId w:val="7"/>
  </w:num>
  <w:num w:numId="23" w16cid:durableId="1094328220">
    <w:abstractNumId w:val="6"/>
  </w:num>
  <w:num w:numId="24" w16cid:durableId="2037660387">
    <w:abstractNumId w:val="5"/>
  </w:num>
  <w:num w:numId="25" w16cid:durableId="1660183671">
    <w:abstractNumId w:val="4"/>
  </w:num>
  <w:num w:numId="26" w16cid:durableId="484398751">
    <w:abstractNumId w:val="8"/>
  </w:num>
  <w:num w:numId="27" w16cid:durableId="2042047585">
    <w:abstractNumId w:val="3"/>
  </w:num>
  <w:num w:numId="28" w16cid:durableId="2033260841">
    <w:abstractNumId w:val="2"/>
  </w:num>
  <w:num w:numId="29" w16cid:durableId="1953897927">
    <w:abstractNumId w:val="1"/>
  </w:num>
  <w:num w:numId="30" w16cid:durableId="584656865">
    <w:abstractNumId w:val="0"/>
  </w:num>
  <w:num w:numId="31" w16cid:durableId="1360165014">
    <w:abstractNumId w:val="9"/>
  </w:num>
  <w:num w:numId="32" w16cid:durableId="1158617112">
    <w:abstractNumId w:val="7"/>
  </w:num>
  <w:num w:numId="33" w16cid:durableId="1093748366">
    <w:abstractNumId w:val="6"/>
  </w:num>
  <w:num w:numId="34" w16cid:durableId="542255459">
    <w:abstractNumId w:val="5"/>
  </w:num>
  <w:num w:numId="35" w16cid:durableId="1445072090">
    <w:abstractNumId w:val="4"/>
  </w:num>
  <w:num w:numId="36" w16cid:durableId="1277785615">
    <w:abstractNumId w:val="8"/>
  </w:num>
  <w:num w:numId="37" w16cid:durableId="1239628535">
    <w:abstractNumId w:val="3"/>
  </w:num>
  <w:num w:numId="38" w16cid:durableId="1710521212">
    <w:abstractNumId w:val="2"/>
  </w:num>
  <w:num w:numId="39" w16cid:durableId="1727027591">
    <w:abstractNumId w:val="1"/>
  </w:num>
  <w:num w:numId="40" w16cid:durableId="1892954964">
    <w:abstractNumId w:val="0"/>
  </w:num>
  <w:num w:numId="41" w16cid:durableId="1432895917">
    <w:abstractNumId w:val="10"/>
  </w:num>
  <w:num w:numId="42" w16cid:durableId="1355232528">
    <w:abstractNumId w:val="10"/>
  </w:num>
  <w:num w:numId="43" w16cid:durableId="1453864956">
    <w:abstractNumId w:val="10"/>
  </w:num>
  <w:num w:numId="44" w16cid:durableId="8590042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0/2025"/>
    <w:docVar w:name="dvlangue" w:val="HR"/>
    <w:docVar w:name="dvnumam" w:val="121"/>
    <w:docVar w:name="dvpe" w:val="767.867"/>
    <w:docVar w:name="dvrapporteur" w:val="Izvjestiteljica: "/>
    <w:docVar w:name="dvtitre" w:val="Rezolucija Europskog parlamenta od .... 2025. Komisijino Izvješće o vladavini prava za 2024.(2024/2078(INI))"/>
  </w:docVars>
  <w:rsids>
    <w:rsidRoot w:val="00F238DC"/>
    <w:rsid w:val="00002272"/>
    <w:rsid w:val="00025929"/>
    <w:rsid w:val="00064002"/>
    <w:rsid w:val="000677B9"/>
    <w:rsid w:val="000831BA"/>
    <w:rsid w:val="000A42CC"/>
    <w:rsid w:val="000C6AF4"/>
    <w:rsid w:val="000E7DD9"/>
    <w:rsid w:val="0010095E"/>
    <w:rsid w:val="00125B37"/>
    <w:rsid w:val="00127AFC"/>
    <w:rsid w:val="00187494"/>
    <w:rsid w:val="001F32AE"/>
    <w:rsid w:val="002767FF"/>
    <w:rsid w:val="0028387F"/>
    <w:rsid w:val="002B18FE"/>
    <w:rsid w:val="002B5493"/>
    <w:rsid w:val="00343214"/>
    <w:rsid w:val="00361C00"/>
    <w:rsid w:val="0039246B"/>
    <w:rsid w:val="00395FA1"/>
    <w:rsid w:val="003B3B4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455B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58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8B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7D2"/>
    <w:rsid w:val="00C05BFE"/>
    <w:rsid w:val="00C23CD4"/>
    <w:rsid w:val="00C61C0C"/>
    <w:rsid w:val="00C941CB"/>
    <w:rsid w:val="00CC2357"/>
    <w:rsid w:val="00CF071A"/>
    <w:rsid w:val="00D03470"/>
    <w:rsid w:val="00D058B8"/>
    <w:rsid w:val="00D3362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8D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8FA79"/>
  <w15:chartTrackingRefBased/>
  <w15:docId w15:val="{B59A7349-32F1-43C5-ABAA-F4CEA2A5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C6AF4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0C6AF4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0C6AF4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customStyle="1" w:styleId="NormalCenter12a">
    <w:name w:val="NormalCenter12a"/>
    <w:basedOn w:val="Normal"/>
    <w:rsid w:val="000C6AF4"/>
    <w:pPr>
      <w:spacing w:after="240"/>
      <w:jc w:val="center"/>
    </w:pPr>
  </w:style>
  <w:style w:type="character" w:customStyle="1" w:styleId="Bold">
    <w:name w:val="Bold"/>
    <w:uiPriority w:val="1"/>
    <w:rsid w:val="000C6AF4"/>
    <w:rPr>
      <w:b/>
    </w:rPr>
  </w:style>
  <w:style w:type="character" w:customStyle="1" w:styleId="BoldItalic">
    <w:name w:val="BoldItalic"/>
    <w:uiPriority w:val="1"/>
    <w:rsid w:val="000C6AF4"/>
    <w:rPr>
      <w:b/>
      <w:i/>
      <w:u w:val="none"/>
    </w:rPr>
  </w:style>
  <w:style w:type="character" w:customStyle="1" w:styleId="Italic">
    <w:name w:val="Italic"/>
    <w:uiPriority w:val="1"/>
    <w:rsid w:val="000C6AF4"/>
    <w:rPr>
      <w:i/>
    </w:rPr>
  </w:style>
  <w:style w:type="paragraph" w:customStyle="1" w:styleId="Normal12a24b">
    <w:name w:val="Normal12a24b"/>
    <w:basedOn w:val="Normal"/>
    <w:rsid w:val="000C6AF4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0C6AF4"/>
    <w:rPr>
      <w:color w:val="0000FF"/>
      <w:u w:val="single"/>
    </w:rPr>
  </w:style>
  <w:style w:type="character" w:styleId="FollowedHyperlink">
    <w:name w:val="FollowedHyperlink"/>
    <w:basedOn w:val="DefaultParagraphFont"/>
    <w:rsid w:val="003B3B4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127A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7AFC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3/1223/oj" TargetMode="External"/><Relationship Id="rId13" Type="http://schemas.openxmlformats.org/officeDocument/2006/relationships/hyperlink" Target="http://data.europa.eu/eli/C/2024/5733/oj" TargetMode="External"/><Relationship Id="rId18" Type="http://schemas.openxmlformats.org/officeDocument/2006/relationships/hyperlink" Target="http://data.europa.eu/eli/reg/2024/1083/oj" TargetMode="External"/><Relationship Id="rId26" Type="http://schemas.openxmlformats.org/officeDocument/2006/relationships/hyperlink" Target="http://data.europa.eu/eli/dir/2024/1499/oj" TargetMode="External"/><Relationship Id="rId3" Type="http://schemas.openxmlformats.org/officeDocument/2006/relationships/hyperlink" Target="http://data.europa.eu/eli/reg/2024/2509/oj" TargetMode="External"/><Relationship Id="rId21" Type="http://schemas.openxmlformats.org/officeDocument/2006/relationships/hyperlink" Target="http://data.europa.eu/eli/reg/2022/2065/oj" TargetMode="External"/><Relationship Id="rId7" Type="http://schemas.openxmlformats.org/officeDocument/2006/relationships/hyperlink" Target="http://data.europa.eu/eli/C/2024/6746/oj" TargetMode="External"/><Relationship Id="rId12" Type="http://schemas.openxmlformats.org/officeDocument/2006/relationships/hyperlink" Target="http://data.europa.eu/eli/C/2024/5739/oj" TargetMode="External"/><Relationship Id="rId17" Type="http://schemas.openxmlformats.org/officeDocument/2006/relationships/hyperlink" Target="http://data.europa.eu/eli/dir/2017/1371/oj" TargetMode="External"/><Relationship Id="rId25" Type="http://schemas.openxmlformats.org/officeDocument/2006/relationships/hyperlink" Target="http://data.europa.eu/eli/dir/2024/1500/oj" TargetMode="External"/><Relationship Id="rId2" Type="http://schemas.openxmlformats.org/officeDocument/2006/relationships/hyperlink" Target="http://data.europa.eu/eli/reg/2021/1060/oj" TargetMode="External"/><Relationship Id="rId16" Type="http://schemas.openxmlformats.org/officeDocument/2006/relationships/hyperlink" Target="http://data.europa.eu/eli/reg/2017/1939/oj" TargetMode="External"/><Relationship Id="rId20" Type="http://schemas.openxmlformats.org/officeDocument/2006/relationships/hyperlink" Target="http://data.europa.eu/eli/reco/2022/758/oj" TargetMode="External"/><Relationship Id="rId29" Type="http://schemas.openxmlformats.org/officeDocument/2006/relationships/hyperlink" Target="http://data.europa.eu/eli/reg/2024/900/oj" TargetMode="External"/><Relationship Id="rId1" Type="http://schemas.openxmlformats.org/officeDocument/2006/relationships/hyperlink" Target="http://data.europa.eu/eli/reg/2020/2092/oj" TargetMode="External"/><Relationship Id="rId6" Type="http://schemas.openxmlformats.org/officeDocument/2006/relationships/hyperlink" Target="http://data.europa.eu/eli/C/2024/6743/oj" TargetMode="External"/><Relationship Id="rId11" Type="http://schemas.openxmlformats.org/officeDocument/2006/relationships/hyperlink" Target="http://data.europa.eu/eli/C/2024/2656/oj" TargetMode="External"/><Relationship Id="rId24" Type="http://schemas.openxmlformats.org/officeDocument/2006/relationships/hyperlink" Target="http://data.europa.eu/eli/dir/2004/38/oj" TargetMode="External"/><Relationship Id="rId5" Type="http://schemas.openxmlformats.org/officeDocument/2006/relationships/hyperlink" Target="http://data.europa.eu/eli/C/2023/442/oj" TargetMode="External"/><Relationship Id="rId15" Type="http://schemas.openxmlformats.org/officeDocument/2006/relationships/hyperlink" Target="http://data.europa.eu/eli/dir/2012/29/oj" TargetMode="External"/><Relationship Id="rId23" Type="http://schemas.openxmlformats.org/officeDocument/2006/relationships/hyperlink" Target="http://data.europa.eu/eli/dir/2000/78/oj" TargetMode="External"/><Relationship Id="rId28" Type="http://schemas.openxmlformats.org/officeDocument/2006/relationships/hyperlink" Target="http://data.europa.eu/eli/reg/2024/1689/oj" TargetMode="External"/><Relationship Id="rId10" Type="http://schemas.openxmlformats.org/officeDocument/2006/relationships/hyperlink" Target="http://data.europa.eu/eli/C/2024/3995/oj" TargetMode="External"/><Relationship Id="rId19" Type="http://schemas.openxmlformats.org/officeDocument/2006/relationships/hyperlink" Target="http://data.europa.eu/eli/dir/2024/1069/oj" TargetMode="External"/><Relationship Id="rId4" Type="http://schemas.openxmlformats.org/officeDocument/2006/relationships/hyperlink" Target="http://data.europa.eu/eli/reg/2021/692/oj" TargetMode="External"/><Relationship Id="rId9" Type="http://schemas.openxmlformats.org/officeDocument/2006/relationships/hyperlink" Target="http://data.europa.eu/eli/C/2024/494/oj" TargetMode="External"/><Relationship Id="rId14" Type="http://schemas.openxmlformats.org/officeDocument/2006/relationships/hyperlink" Target="https://www.europarl.europa.eu/committees/en/libe-democracy-rule-of-law-and-fundament/product-details/20190103CDT02662" TargetMode="External"/><Relationship Id="rId22" Type="http://schemas.openxmlformats.org/officeDocument/2006/relationships/hyperlink" Target="http://data.europa.eu/eli/dir/2016/343/oj" TargetMode="External"/><Relationship Id="rId27" Type="http://schemas.openxmlformats.org/officeDocument/2006/relationships/hyperlink" Target="http://data.europa.eu/eli/reg/2022/19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9530E-9043-486E-9693-2E2BF5327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30</Pages>
  <Words>12304</Words>
  <Characters>75065</Characters>
  <Application>Microsoft Office Word</Application>
  <DocSecurity>0</DocSecurity>
  <Lines>625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2025-09-25T14:12:00Z</dcterms:created>
  <dcterms:modified xsi:type="dcterms:W3CDTF">2025-09-25T14:12:00Z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P10_TA(2025)0129_</vt:lpwstr>
  </property>
  <property fmtid="{D5CDD505-2E9C-101B-9397-08002B2CF9AE}" pid="4" name="&lt;Type&gt;">
    <vt:lpwstr>RR</vt:lpwstr>
  </property>
</Properties>
</file>