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34CF" w14:paraId="337D49F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933D0A" w14:textId="77777777" w:rsidR="00751A4A" w:rsidRPr="005B34CF" w:rsidRDefault="00D03A2D" w:rsidP="0010095E">
            <w:pPr>
              <w:pStyle w:val="EPName"/>
            </w:pPr>
            <w:r w:rsidRPr="005B34CF">
              <w:t>Европейски</w:t>
            </w:r>
            <w:r w:rsidR="009653AA" w:rsidRPr="005B34CF">
              <w:t xml:space="preserve"> парламент</w:t>
            </w:r>
          </w:p>
          <w:p w14:paraId="209998F4" w14:textId="77777777" w:rsidR="00751A4A" w:rsidRPr="005B34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34CF">
              <w:t>2024</w:t>
            </w:r>
            <w:r w:rsidR="00D03A2D">
              <w:t> – </w:t>
            </w:r>
            <w:r w:rsidR="00817416" w:rsidRPr="005B34CF">
              <w:t>202</w:t>
            </w:r>
            <w:r w:rsidRPr="005B34CF">
              <w:t>9</w:t>
            </w:r>
          </w:p>
        </w:tc>
        <w:tc>
          <w:tcPr>
            <w:tcW w:w="2268" w:type="dxa"/>
            <w:shd w:val="clear" w:color="auto" w:fill="auto"/>
          </w:tcPr>
          <w:p w14:paraId="3F8D86E8" w14:textId="77777777" w:rsidR="00751A4A" w:rsidRPr="005B34CF" w:rsidRDefault="00187494" w:rsidP="0010095E">
            <w:pPr>
              <w:pStyle w:val="EPLogo"/>
            </w:pPr>
            <w:r w:rsidRPr="005B34CF">
              <w:rPr>
                <w:noProof/>
                <w:lang w:val="en-GB"/>
              </w:rPr>
              <w:drawing>
                <wp:inline distT="0" distB="0" distL="0" distR="0" wp14:anchorId="3023C272" wp14:editId="66E7652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8AB6AF" w14:textId="77777777" w:rsidR="00D058B8" w:rsidRPr="005B34CF" w:rsidRDefault="00D058B8" w:rsidP="004C5D52">
      <w:pPr>
        <w:pStyle w:val="LineTop"/>
      </w:pPr>
    </w:p>
    <w:p w14:paraId="2C8F3563" w14:textId="77777777" w:rsidR="00680577" w:rsidRPr="005B34CF" w:rsidRDefault="009653AA" w:rsidP="00680577">
      <w:pPr>
        <w:pStyle w:val="EPBodyTA1"/>
      </w:pPr>
      <w:r w:rsidRPr="005B34CF">
        <w:t>ПРИЕТИ ТЕКСТОВЕ</w:t>
      </w:r>
    </w:p>
    <w:p w14:paraId="0CFFDA54" w14:textId="77777777" w:rsidR="00D058B8" w:rsidRPr="005B34CF" w:rsidRDefault="00D058B8" w:rsidP="00D058B8">
      <w:pPr>
        <w:pStyle w:val="LineBottom"/>
      </w:pPr>
    </w:p>
    <w:p w14:paraId="4E67874E" w14:textId="77777777" w:rsidR="009653AA" w:rsidRPr="005B34CF" w:rsidRDefault="009653AA" w:rsidP="009653AA">
      <w:pPr>
        <w:pStyle w:val="ATHeading1"/>
      </w:pPr>
      <w:bookmarkStart w:id="0" w:name="TANumber"/>
      <w:r w:rsidRPr="005B34CF">
        <w:t>P10_TA(2025)0</w:t>
      </w:r>
      <w:r w:rsidR="00024189" w:rsidRPr="00BC6114">
        <w:rPr>
          <w:lang w:val="ru-RU"/>
        </w:rPr>
        <w:t>13</w:t>
      </w:r>
      <w:r w:rsidRPr="005B34CF">
        <w:t>0</w:t>
      </w:r>
      <w:bookmarkEnd w:id="0"/>
    </w:p>
    <w:p w14:paraId="74BE9D6A" w14:textId="77777777" w:rsidR="009653AA" w:rsidRPr="005B34CF" w:rsidRDefault="009653AA" w:rsidP="009653AA">
      <w:pPr>
        <w:pStyle w:val="ATHeading2"/>
      </w:pPr>
      <w:bookmarkStart w:id="1" w:name="title"/>
      <w:r w:rsidRPr="005B34CF">
        <w:t>Доклади за Черна гора за 2023 и 2024 г.</w:t>
      </w:r>
      <w:bookmarkEnd w:id="1"/>
    </w:p>
    <w:p w14:paraId="4FA9E2CB" w14:textId="77777777" w:rsidR="009653AA" w:rsidRPr="005B34CF" w:rsidRDefault="009653AA" w:rsidP="009653AA">
      <w:pPr>
        <w:rPr>
          <w:i/>
          <w:vanish/>
        </w:rPr>
      </w:pPr>
      <w:r w:rsidRPr="005B34CF">
        <w:rPr>
          <w:i/>
        </w:rPr>
        <w:fldChar w:fldCharType="begin"/>
      </w:r>
      <w:r w:rsidRPr="005B34CF">
        <w:rPr>
          <w:i/>
        </w:rPr>
        <w:instrText xml:space="preserve"> TC"(</w:instrText>
      </w:r>
      <w:bookmarkStart w:id="2" w:name="DocNumber"/>
      <w:r w:rsidRPr="005B34CF">
        <w:rPr>
          <w:i/>
        </w:rPr>
        <w:instrText>A10-0093/2025</w:instrText>
      </w:r>
      <w:bookmarkEnd w:id="2"/>
      <w:r w:rsidRPr="005B34CF">
        <w:rPr>
          <w:i/>
        </w:rPr>
        <w:instrText xml:space="preserve"> - Докладчик: Марян Шарец)"\l3 \n&gt; \* MERGEFORMAT </w:instrText>
      </w:r>
      <w:r w:rsidRPr="005B34CF">
        <w:rPr>
          <w:i/>
        </w:rPr>
        <w:fldChar w:fldCharType="end"/>
      </w:r>
    </w:p>
    <w:p w14:paraId="436E662E" w14:textId="77777777" w:rsidR="009653AA" w:rsidRPr="005B34CF" w:rsidRDefault="009653AA" w:rsidP="009653AA">
      <w:pPr>
        <w:rPr>
          <w:vanish/>
        </w:rPr>
      </w:pPr>
      <w:bookmarkStart w:id="3" w:name="Commission"/>
      <w:r w:rsidRPr="005B34CF">
        <w:rPr>
          <w:vanish/>
        </w:rPr>
        <w:t>Комисия по външни работи</w:t>
      </w:r>
      <w:bookmarkEnd w:id="3"/>
    </w:p>
    <w:p w14:paraId="7D52C3C8" w14:textId="77777777" w:rsidR="009653AA" w:rsidRPr="005B34CF" w:rsidRDefault="009653AA" w:rsidP="009653AA">
      <w:pPr>
        <w:rPr>
          <w:vanish/>
        </w:rPr>
      </w:pPr>
      <w:bookmarkStart w:id="4" w:name="PE"/>
      <w:r w:rsidRPr="005B34CF">
        <w:rPr>
          <w:vanish/>
        </w:rPr>
        <w:t>PE769.896</w:t>
      </w:r>
      <w:bookmarkEnd w:id="4"/>
    </w:p>
    <w:p w14:paraId="6B2DBE06" w14:textId="77777777" w:rsidR="009653AA" w:rsidRPr="005B34CF" w:rsidRDefault="009653AA" w:rsidP="009653AA">
      <w:pPr>
        <w:pStyle w:val="ATHeading3"/>
      </w:pPr>
      <w:bookmarkStart w:id="5" w:name="Sujet"/>
      <w:r w:rsidRPr="005B34CF">
        <w:t xml:space="preserve">Резолюция на Европейския парламент от </w:t>
      </w:r>
      <w:r w:rsidR="00BD35B0">
        <w:t>18 юни</w:t>
      </w:r>
      <w:r w:rsidR="00BD35B0" w:rsidRPr="005B34CF">
        <w:t xml:space="preserve"> </w:t>
      </w:r>
      <w:r w:rsidRPr="005B34CF">
        <w:t>2025 г. относно докладите на Комисията за Черна гора за 2023 и 2024 г.</w:t>
      </w:r>
      <w:bookmarkEnd w:id="5"/>
      <w:r w:rsidRPr="005B34CF">
        <w:t xml:space="preserve"> </w:t>
      </w:r>
      <w:bookmarkStart w:id="6" w:name="References"/>
      <w:r w:rsidRPr="005B34CF">
        <w:t>(2025/2020(INI))</w:t>
      </w:r>
      <w:bookmarkEnd w:id="6"/>
    </w:p>
    <w:p w14:paraId="54DFDB72" w14:textId="77777777" w:rsidR="00984DC0" w:rsidRPr="005B34CF" w:rsidRDefault="00984DC0" w:rsidP="00984DC0">
      <w:pPr>
        <w:pStyle w:val="EPComma"/>
      </w:pPr>
      <w:r w:rsidRPr="005B34CF">
        <w:rPr>
          <w:rStyle w:val="Italic"/>
        </w:rPr>
        <w:t>Европейският парламент</w:t>
      </w:r>
      <w:r w:rsidRPr="005B34CF">
        <w:t>,</w:t>
      </w:r>
    </w:p>
    <w:p w14:paraId="2AF29A94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Споразумението за стабилизиране и асоцииране между Европейските общности и техните държави членки, от една страна, и Република Черна гора, от друга страна</w:t>
      </w:r>
      <w:r w:rsidRPr="005B34CF">
        <w:rPr>
          <w:rStyle w:val="FootnoteReference"/>
        </w:rPr>
        <w:footnoteReference w:id="1"/>
      </w:r>
      <w:r w:rsidRPr="005B34CF">
        <w:t>, което влезе в сила на 1 май 2010 г.,</w:t>
      </w:r>
    </w:p>
    <w:p w14:paraId="3820E467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кандидатурата на Черна гора за членство в Европейския съюз, подадена на 15 декември 2008 г.,</w:t>
      </w:r>
    </w:p>
    <w:p w14:paraId="60E70594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становището на Комисията от 9 ноември 2010 г. относно кандидатурата на Черна гора за членство в Европейския съюз (</w:t>
      </w:r>
      <w:r w:rsidRPr="00BD35B0">
        <w:t>COM(2010)0670</w:t>
      </w:r>
      <w:r w:rsidRPr="005B34CF">
        <w:t>), решението на Европейския съвет от 16 – 17 декември 2010 г. да предостави на Черна гора статут на държава кандидатка, както и решението на Европейския съвет от 29 юни 2012 г. да започне преговори с Черна гора за присъединяване към ЕС,</w:t>
      </w:r>
    </w:p>
    <w:p w14:paraId="19CDE785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Регламент (ЕС) 2021/1529 на Европейския парламент и на Съвета от 15 септември 2021 г. за създаване на Инструмент за предприсъединителна помощ (ИПП III)</w:t>
      </w:r>
      <w:r w:rsidRPr="005B34CF">
        <w:rPr>
          <w:rStyle w:val="FootnoteReference"/>
        </w:rPr>
        <w:footnoteReference w:id="2"/>
      </w:r>
      <w:r w:rsidRPr="005B34CF">
        <w:t>,</w:t>
      </w:r>
    </w:p>
    <w:p w14:paraId="0B378A40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Регламент (ЕС) 2024/1449 на Европейския парламент и на Съвета от 14 май 2024 г. за създаване на Инструмента за реформи и растеж за Западните Балкани</w:t>
      </w:r>
      <w:r w:rsidRPr="005B34CF">
        <w:rPr>
          <w:rStyle w:val="FootnoteReference"/>
        </w:rPr>
        <w:footnoteReference w:id="3"/>
      </w:r>
      <w:r w:rsidRPr="005B34CF">
        <w:t>,</w:t>
      </w:r>
    </w:p>
    <w:p w14:paraId="6CBF5DD0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заключенията на председателството от заседанието на Европейския съвет в Солун, проведено на 19 – 20 юни 2003 г.,</w:t>
      </w:r>
    </w:p>
    <w:p w14:paraId="047EE6FB" w14:textId="77777777" w:rsidR="00984DC0" w:rsidRPr="005B34CF" w:rsidRDefault="00984DC0" w:rsidP="00984DC0">
      <w:pPr>
        <w:pStyle w:val="NormalHanging12a"/>
      </w:pPr>
      <w:r w:rsidRPr="005B34CF">
        <w:lastRenderedPageBreak/>
        <w:t>–</w:t>
      </w:r>
      <w:r w:rsidRPr="005B34CF">
        <w:tab/>
        <w:t>като взе предвид декларацията от София от срещата на високо равнище ЕС – Западни Балкани, състояла се на 17 май 2018 г., и приложената към нея Приоритетна програма от София,</w:t>
      </w:r>
    </w:p>
    <w:p w14:paraId="136FECC0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декларациите от проведените в Брюксел срещи на високо равнище ЕС – Западни Балкани от 13 декември 2023 г. и от 18 декември 2024 г.,</w:t>
      </w:r>
    </w:p>
    <w:p w14:paraId="47DA32C1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Берлинския процес, стартиран на 28 август 2014 г.,</w:t>
      </w:r>
    </w:p>
    <w:p w14:paraId="18D9E803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съобщението на Комисията от 6 октомври 2020 г., озаглавено „Икономически и инвестиционен план за Западните Балкани“ (</w:t>
      </w:r>
      <w:r w:rsidRPr="00BD35B0">
        <w:t>COM(2020)0641</w:t>
      </w:r>
      <w:r w:rsidRPr="005B34CF">
        <w:t>),</w:t>
      </w:r>
    </w:p>
    <w:p w14:paraId="7AA68305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съобщението на Комисията от 8 ноември 2023 г., озаглавено „Съобщение относно политиката на ЕС за разширяване за 2023 г.“ (</w:t>
      </w:r>
      <w:r w:rsidRPr="00BD35B0">
        <w:t>COM(2023)0690</w:t>
      </w:r>
      <w:r w:rsidRPr="005B34CF">
        <w:t>), придружено от работния документ на службите на Комисията, озаглавен „Доклад за Черна гора за 2023 г.“ (</w:t>
      </w:r>
      <w:r w:rsidRPr="00BD35B0">
        <w:t>SWD(2023)0694</w:t>
      </w:r>
      <w:r w:rsidRPr="005B34CF">
        <w:t>),</w:t>
      </w:r>
    </w:p>
    <w:p w14:paraId="60FD3F0A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съобщението на Комисията от 8 ноември 2023 г., озаглавено „Нов план за растеж на Западните Балкани“ (</w:t>
      </w:r>
      <w:r w:rsidRPr="00BD35B0">
        <w:t>COM(2023)0691</w:t>
      </w:r>
      <w:r w:rsidRPr="005B34CF">
        <w:t>),</w:t>
      </w:r>
    </w:p>
    <w:p w14:paraId="6E6855F2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съобщението на Комисията от 20 март 2024 г. относно реформите и прегледите на политиките преди разширяването (</w:t>
      </w:r>
      <w:r w:rsidRPr="00BD35B0">
        <w:t>COM(2024)0146</w:t>
      </w:r>
      <w:r w:rsidRPr="005B34CF">
        <w:t>),</w:t>
      </w:r>
    </w:p>
    <w:p w14:paraId="33B613A9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съобщението на Комисията от 24 юли 2024 г., озаглавено „Доклад относно върховенството на закона за 2024 г.“ (</w:t>
      </w:r>
      <w:r w:rsidRPr="00BD35B0">
        <w:t>COM(2024)0800</w:t>
      </w:r>
      <w:r w:rsidRPr="005B34CF">
        <w:t>), придружено от работния документ на службите на Комисията, озаглавен „Доклад относно върховенството на закона за 2024 г. – Положението с върховенството на закона в Европейския съюз. Глави по държави: ситуацията в областта на върховенството на закона в Черна гора“ (</w:t>
      </w:r>
      <w:r w:rsidRPr="00BD35B0">
        <w:t>SWD(2024)0829</w:t>
      </w:r>
      <w:r w:rsidRPr="005B34CF">
        <w:t>),</w:t>
      </w:r>
    </w:p>
    <w:p w14:paraId="6B1CFFDA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съобщението на Комисията от 30 октомври 2024 г., озаглавено „Съобщение относно политиката на ЕС за разширяване за 2024 г.“ (</w:t>
      </w:r>
      <w:r w:rsidRPr="00BD35B0">
        <w:t>COM(2024)0690</w:t>
      </w:r>
      <w:r w:rsidRPr="005B34CF">
        <w:t>), придружено от работния документ на службите на Комисията, озаглавен „Доклад за Черна гора за 2024 г.“ (</w:t>
      </w:r>
      <w:r w:rsidRPr="00BD35B0">
        <w:t>SWD(2024)0694</w:t>
      </w:r>
      <w:r w:rsidRPr="005B34CF">
        <w:t>),</w:t>
      </w:r>
    </w:p>
    <w:p w14:paraId="529036A5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прегледа и оценките по държави на Комисията от 31 май 2023 г. и 13 юни 2024 г. относно програмата за икономически реформи на Черна гора и съвместните заключения от икономическия и финансов диалог между ЕС и Западните Балкани и Турция, приети от Съвета на 16 май 2023 г., и съвместните заключения от икономическия и финансов диалог между ЕС и партньорите от Западните Балкани, Турция, Грузия, Република Молдова и Украйна, приети от Съвета на 14 май 2024 г.,</w:t>
      </w:r>
    </w:p>
    <w:p w14:paraId="018D39E0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междуправителствените конференции по въпросите на присъединяването с участието на ЕС и Черна гора от 22 юни 2021 г., 13 декември 2021 г., 29 януари 2024 г., 26 юни 2024 г. и 16 декември 2024 г.,</w:t>
      </w:r>
    </w:p>
    <w:p w14:paraId="21F2095D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11-ото заседание на Съвета за стабилизиране и асоцииране ЕС – Черна гора, проведено на 14 юли 2022 г.,</w:t>
      </w:r>
    </w:p>
    <w:p w14:paraId="5D5DF719" w14:textId="77777777" w:rsidR="00984DC0" w:rsidRPr="005B34CF" w:rsidRDefault="00984DC0" w:rsidP="00984DC0">
      <w:pPr>
        <w:pStyle w:val="NormalHanging12a"/>
      </w:pPr>
      <w:r w:rsidRPr="005B34CF">
        <w:lastRenderedPageBreak/>
        <w:t>–</w:t>
      </w:r>
      <w:r w:rsidRPr="005B34CF">
        <w:tab/>
        <w:t>като взе предвид декларацията и препоръките, приети на 22-ото заседание на Парламентарния комитет по стабилизиране и асоцииране ЕС – Черна гора, проведено на 31 октомври и 1 ноември 2024 г.,</w:t>
      </w:r>
    </w:p>
    <w:p w14:paraId="78DD55E7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присъединяването на Черна гора към НАТО на 5 юни 2017 г.,</w:t>
      </w:r>
    </w:p>
    <w:p w14:paraId="5E3582F1" w14:textId="79E19526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Специален доклад 01/2022 на Европейската сметна палата от 10 януари 2022 г., озаглавен „Подкрепа от ЕС за върховенството на закона в Западните Балкани –  въпреки положените усилия, основните проблеми продължават да съществуват“,</w:t>
      </w:r>
    </w:p>
    <w:p w14:paraId="45ED337D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Конвенцията на Съвета на Европа за превенция и борба с насилието над жени и домашното насилие (Истанбулската конвенция), ратифицирана от Черна гора през 2013 г., и препоръките на Европейската комисия относно равенството между половете и борбата с насилието, основано на пола,</w:t>
      </w:r>
    </w:p>
    <w:p w14:paraId="37DD1761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доклада относно световния индекс за свобода на печата, който се публикува всяка година от организацията „Репортери без граници“,</w:t>
      </w:r>
    </w:p>
    <w:p w14:paraId="37D6BD54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данните на Агенцията на ООН за бежанците (ВКБООН) относно положението с бежанците от Украйна към април 2025 г.,</w:t>
      </w:r>
    </w:p>
    <w:p w14:paraId="442A183B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своята препоръка от 23 ноември 2022 г. до Съвета, Комисията и заместник-председателя на Комисията / върховен представител на Съюза по въпросите на външните работи и политиката на сигурност относно новата стратегия на ЕС за разширяване</w:t>
      </w:r>
      <w:r w:rsidRPr="005B34CF">
        <w:rPr>
          <w:rStyle w:val="FootnoteReference"/>
        </w:rPr>
        <w:footnoteReference w:id="4"/>
      </w:r>
      <w:r w:rsidRPr="005B34CF">
        <w:t>,</w:t>
      </w:r>
    </w:p>
    <w:p w14:paraId="1DF06BAC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предходните си резолюции относно Черна гора,</w:t>
      </w:r>
    </w:p>
    <w:p w14:paraId="2B5F6FF7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своята резолюция от 29 февруари 2024 г. относно задълбочаване на интеграцията на ЕС с оглед на бъдещо разширяване</w:t>
      </w:r>
      <w:r w:rsidRPr="005B34CF">
        <w:rPr>
          <w:vertAlign w:val="superscript"/>
        </w:rPr>
        <w:footnoteReference w:id="5"/>
      </w:r>
      <w:r w:rsidRPr="005B34CF">
        <w:t>,</w:t>
      </w:r>
    </w:p>
    <w:p w14:paraId="07571F57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член 55 от своя Правилник за дейността,</w:t>
      </w:r>
    </w:p>
    <w:p w14:paraId="345A0075" w14:textId="77777777" w:rsidR="00984DC0" w:rsidRPr="005B34CF" w:rsidRDefault="00984DC0" w:rsidP="00984DC0">
      <w:pPr>
        <w:pStyle w:val="NormalHanging12a"/>
      </w:pPr>
      <w:r w:rsidRPr="005B34CF">
        <w:t>–</w:t>
      </w:r>
      <w:r w:rsidRPr="005B34CF">
        <w:tab/>
        <w:t>като взе предвид доклада на комисията по външни работи (A10-0093/2025),</w:t>
      </w:r>
    </w:p>
    <w:p w14:paraId="7BD056A7" w14:textId="77777777" w:rsidR="00984DC0" w:rsidRPr="005B34CF" w:rsidRDefault="00984DC0" w:rsidP="00984DC0">
      <w:pPr>
        <w:pStyle w:val="NormalHanging12a"/>
      </w:pPr>
      <w:r w:rsidRPr="005B34CF">
        <w:t>А.</w:t>
      </w:r>
      <w:r w:rsidRPr="005B34CF">
        <w:tab/>
        <w:t>като има предвид, че разширяването е ключов инструмент на външната политика на ЕС и стратегическа геополитическа инвестиция в мира, стабилността, сигурността и просперитета;</w:t>
      </w:r>
    </w:p>
    <w:p w14:paraId="02992FD2" w14:textId="77777777" w:rsidR="00984DC0" w:rsidRPr="005B34CF" w:rsidRDefault="00984DC0" w:rsidP="00984DC0">
      <w:pPr>
        <w:pStyle w:val="NormalHanging12a"/>
      </w:pPr>
      <w:r w:rsidRPr="005B34CF">
        <w:t>Б.</w:t>
      </w:r>
      <w:r w:rsidRPr="005B34CF">
        <w:tab/>
        <w:t>като има предвид, че новият тласък в процеса на разширяване, предизвикан от променящата се геополитическа обстановка и от кандидатурите за членство в ЕС на редица страни от Източното партньорство, подтикнаха ЕС да ускори своите усилия за изпълнение на отдавна поетите ангажименти към Западните Балкани; като има предвид, че бъдещето на страните от Западните Балкани е в рамките на ЕС;</w:t>
      </w:r>
    </w:p>
    <w:p w14:paraId="49CC352C" w14:textId="77777777" w:rsidR="00984DC0" w:rsidRPr="005B34CF" w:rsidRDefault="00984DC0" w:rsidP="00984DC0">
      <w:pPr>
        <w:pStyle w:val="NormalHanging12a"/>
      </w:pPr>
      <w:r w:rsidRPr="005B34CF">
        <w:t>В.</w:t>
      </w:r>
      <w:r w:rsidRPr="005B34CF">
        <w:tab/>
        <w:t xml:space="preserve">като има предвид, че всяка държава се оценява въз основа на собствените си заслуги при изпълнението на критериите от Копенхаген, включително пълното </w:t>
      </w:r>
      <w:r w:rsidRPr="005B34CF">
        <w:lastRenderedPageBreak/>
        <w:t>зачитане на демокрацията, върховенството на закона, доброто управление, основните ценности на ЕС и наличието на съответствие с външната политика и политиката на сигурност на ЕС; като има предвид, че изпълнението на необходимите реформи в областта на „основните принципи“ определя графика и напредъка в процеса на присъединяване;</w:t>
      </w:r>
    </w:p>
    <w:p w14:paraId="3A20C76F" w14:textId="77777777" w:rsidR="00984DC0" w:rsidRPr="005B34CF" w:rsidRDefault="00984DC0" w:rsidP="00984DC0">
      <w:pPr>
        <w:pStyle w:val="NormalHanging12a"/>
      </w:pPr>
      <w:r w:rsidRPr="005B34CF">
        <w:t>Г.</w:t>
      </w:r>
      <w:r w:rsidRPr="005B34CF">
        <w:tab/>
        <w:t>като има предвид, че Черна гора е постигнала най-голям напредък в процеса на присъединяване, като е започнала преговори по всичките 33 глави от достиженията на правото на ЕС и временно са затворени шест от тях, и разполага със значителна обществена подкрепа за този процес;</w:t>
      </w:r>
    </w:p>
    <w:p w14:paraId="168FADC4" w14:textId="77777777" w:rsidR="00984DC0" w:rsidRPr="005B34CF" w:rsidRDefault="00984DC0" w:rsidP="00984DC0">
      <w:pPr>
        <w:pStyle w:val="NormalHanging12a"/>
      </w:pPr>
      <w:r w:rsidRPr="005B34CF">
        <w:t>Д.</w:t>
      </w:r>
      <w:r w:rsidRPr="005B34CF">
        <w:tab/>
        <w:t xml:space="preserve">като има предвид, че ЕС е най-големият търговски партньор, инвеститор и доставчик на финансова помощ за Черна гора; </w:t>
      </w:r>
    </w:p>
    <w:p w14:paraId="2109F3C6" w14:textId="77777777" w:rsidR="00984DC0" w:rsidRPr="005B34CF" w:rsidRDefault="00984DC0" w:rsidP="00984DC0">
      <w:pPr>
        <w:pStyle w:val="NormalHanging12a"/>
      </w:pPr>
      <w:r w:rsidRPr="005B34CF">
        <w:t>Е.</w:t>
      </w:r>
      <w:r w:rsidRPr="005B34CF">
        <w:tab/>
        <w:t>като има предвид, че Черна гора е изложена на злонамерено чуждестранно влияние, кампании за дезинформация и други форми на влияние, включително намеса в избори, стратегии за хибридна война и неблагоприятни инвестиции от участници извън ЕС, по-специално Русия и Китай, които се опитват да влияят на политическата, икономическата и стратегическата траектория на Черна гора и застрашават демократичните процеси и почтеността на медиите, като застрашават перспективите на страната за присъединяване към ЕС;</w:t>
      </w:r>
    </w:p>
    <w:p w14:paraId="15D9B5EB" w14:textId="77777777" w:rsidR="00984DC0" w:rsidRPr="005B34CF" w:rsidRDefault="00984DC0" w:rsidP="00984DC0">
      <w:pPr>
        <w:pStyle w:val="NormalHanging12a"/>
      </w:pPr>
      <w:r w:rsidRPr="005B34CF">
        <w:t>Ж.</w:t>
      </w:r>
      <w:r w:rsidRPr="005B34CF">
        <w:tab/>
        <w:t>като има предвид, че на 8 юни 2024 г. в Белград се проведе „Общосръбско събрание“ с участието на високопоставени парламентаристи под мотото „Един народ, едно събрание“;</w:t>
      </w:r>
    </w:p>
    <w:p w14:paraId="5C24BAAE" w14:textId="77777777" w:rsidR="00984DC0" w:rsidRPr="005B34CF" w:rsidRDefault="00984DC0" w:rsidP="00984DC0">
      <w:pPr>
        <w:pStyle w:val="Normal12a24b"/>
      </w:pPr>
      <w:r w:rsidRPr="005B34CF">
        <w:rPr>
          <w:rStyle w:val="BoldItalic"/>
        </w:rPr>
        <w:t>Ангажимент за присъединяване към ЕС</w:t>
      </w:r>
    </w:p>
    <w:p w14:paraId="081A9BE7" w14:textId="77777777" w:rsidR="00984DC0" w:rsidRPr="005B34CF" w:rsidRDefault="00984DC0" w:rsidP="00984DC0">
      <w:pPr>
        <w:pStyle w:val="NormalHanging12a"/>
      </w:pPr>
      <w:r w:rsidRPr="005B34CF">
        <w:t>1.</w:t>
      </w:r>
      <w:r w:rsidRPr="005B34CF">
        <w:tab/>
        <w:t>признава твърдия ангажимент на Черна гора за присъединяване към ЕС и потвърждава отново пълната си подкрепа за бъдещото членство на страната в ЕС; приветства водещата регионална позиция на Черна гора в процеса на присъединяване към ЕС, както и огромната подкрепа на гражданите на Черна гора и на мнозинството от участниците в политическия живот за присъединяването към ЕС през 2028 г.;</w:t>
      </w:r>
    </w:p>
    <w:p w14:paraId="7FDB959A" w14:textId="77777777" w:rsidR="00984DC0" w:rsidRPr="005B34CF" w:rsidRDefault="00984DC0" w:rsidP="00984DC0">
      <w:pPr>
        <w:pStyle w:val="NormalHanging12a"/>
      </w:pPr>
      <w:r w:rsidRPr="005B34CF">
        <w:t>2.</w:t>
      </w:r>
      <w:r w:rsidRPr="005B34CF">
        <w:tab/>
        <w:t>приветства положителния напредък на Черна гора по отношение на изпълнението на свързаните с ЕС реформи и мерки, който се основава на амбициозен график, и призовава за колективни усилия на политическите участници, гражданското общество и гражданите; поздравява Черна гора за това, че е изпълнила междинните критерии за глави 23 и 24, които продължават да бъдат определящи за общия темп на преговорите, и е получила положителен доклад за оценка на изпълнението на междинните критерии; приветства затварянето на още три преговорни глави, с което общият им брой става шест;</w:t>
      </w:r>
    </w:p>
    <w:p w14:paraId="260726FD" w14:textId="77777777" w:rsidR="00984DC0" w:rsidRPr="005B34CF" w:rsidRDefault="00984DC0" w:rsidP="00984DC0">
      <w:pPr>
        <w:pStyle w:val="NormalHanging12a"/>
      </w:pPr>
      <w:r w:rsidRPr="005B34CF">
        <w:t>3.</w:t>
      </w:r>
      <w:r w:rsidRPr="005B34CF">
        <w:tab/>
        <w:t xml:space="preserve">насърчава всички политически участници да продължат да съсредоточават усилията си в посока интеграция в ЕС и необходимите за това реформи; подчертава необходимостта от политическа стабилност, ангажираност и конструктивен ангажимент за постигане на консенсус от страна на всички партии, за да се премине бързо и по-ефективно към затваряне на допълнителни глави през 2025 г., така че да се постигне амбициозният график на страната; подчертава, че приетите реформи трябва да се прилагат ефективно и последователно, за да се </w:t>
      </w:r>
      <w:r w:rsidRPr="005B34CF">
        <w:lastRenderedPageBreak/>
        <w:t>гарантира действителен напредък и пълно привеждане в съответствие със законодателството на ЕС; призовава за укрепване на функционирането и координацията между държавните институции, за да се постигне политическа стабилност и да се продължи значителният напредък в осъществяването на ключовите реформи, свързани с ЕС, по-специално изборните и съдебните реформи и борбата срещу организираната престъпност и срещу корупцията;</w:t>
      </w:r>
    </w:p>
    <w:p w14:paraId="7B6F7D11" w14:textId="77777777" w:rsidR="00984DC0" w:rsidRPr="005B34CF" w:rsidRDefault="00984DC0" w:rsidP="00984DC0">
      <w:pPr>
        <w:pStyle w:val="NormalHanging12a"/>
      </w:pPr>
      <w:r w:rsidRPr="005B34CF">
        <w:t>4.</w:t>
      </w:r>
      <w:r w:rsidRPr="005B34CF">
        <w:tab/>
        <w:t>подчертава, че доверието в ЕС, включително неговата политика за разширяване като цяло, ще бъде засегнато, ако осезаемият напредък, постигнат от някои държави от Западните Балкани, не се превърне в ясен напредък по пътя към присъединяване към ЕС;</w:t>
      </w:r>
    </w:p>
    <w:p w14:paraId="7F1DE81D" w14:textId="77777777" w:rsidR="00984DC0" w:rsidRPr="005B34CF" w:rsidRDefault="00984DC0" w:rsidP="00984DC0">
      <w:pPr>
        <w:pStyle w:val="NormalHanging12a"/>
      </w:pPr>
      <w:r w:rsidRPr="005B34CF">
        <w:t>5.</w:t>
      </w:r>
      <w:r w:rsidRPr="005B34CF">
        <w:tab/>
        <w:t>приветства продължаващото пълно привеждане в съответствие с общата външна политика и политика на сигурност (ОВППС) на ЕС от страна на Черна гора, включително ограничителните мерки на ЕС, наред с другото, мерките, свързани с агресивната война на Русия срещу Украйна, и мерките, насочени срещу кибератаки, както и подкрепата на страната за основания на правила международен ред на равнището на ООН; насърчава Черна гора да засили гарантирането на прилагането на ограничителните мерки и да избягва тяхното заобикаляне, както и да изземва активите на санкционираните лица; призовава всички представители на правителството да зачитат и насърчават привеждането в съответствие с ОВППС и ценностите на ЕС и да се въздържат от всякакви дейности, които могат да застрашат стратегическия път на Черна гора към членство в ЕС и нейния суверенитет; в този контекст изразява дълбока загриженост във връзка с изявленията на високопоставени държавни служители в подкрепа на президента на образуванието Република Сръбска Милорад Додик, който подкопава суверенитета и териториалната цялост на Босна и Херцеговина; изразява съжаление относно участието на високопоставени парламентаристи от Черна гора в „Общосръбското събрание“ в Белград и тяхната подкрепа за декларацията, приета в рамките на посочената проява, с която се накърнява суверенитетът на Черна гора, Босна и Херцеговина и Косово;</w:t>
      </w:r>
    </w:p>
    <w:p w14:paraId="395E92F4" w14:textId="77777777" w:rsidR="00984DC0" w:rsidRPr="005B34CF" w:rsidRDefault="00984DC0" w:rsidP="00984DC0">
      <w:pPr>
        <w:pStyle w:val="NormalHanging12a"/>
      </w:pPr>
      <w:r w:rsidRPr="005B34CF">
        <w:t>6.</w:t>
      </w:r>
      <w:r w:rsidRPr="005B34CF">
        <w:tab/>
        <w:t>подчертава стратегическото значение на членството на Черна гора в НАТО и приветства активното ѝ участие в мисиите и операциите на ЕС по линия на общата политика за сигурност и отбрана, като например военноморската операция на Европейския съюз „</w:t>
      </w:r>
      <w:proofErr w:type="spellStart"/>
      <w:r w:rsidRPr="005B34CF">
        <w:t>Atalanta</w:t>
      </w:r>
      <w:proofErr w:type="spellEnd"/>
      <w:r w:rsidRPr="005B34CF">
        <w:t>“, както и в мисии на НАТО и други международни и многостранни мисии; приветства решението на Съвета по отбрана и сигурност на Черна гора да одобри участието на нейните въоръжени сили във военната мисия на ЕС за предоставяне на помощ в подкрепа на Украйна и на НАТО за помощ и обучение в областта на сигурността за Украйна и призовава черногорския парламент да приеме тези решения, като по този начин засили ангажимента на страната за колективна сигурност;</w:t>
      </w:r>
    </w:p>
    <w:p w14:paraId="7C385C33" w14:textId="77777777" w:rsidR="00984DC0" w:rsidRPr="005B34CF" w:rsidRDefault="00984DC0" w:rsidP="00984DC0">
      <w:pPr>
        <w:pStyle w:val="NormalHanging12a"/>
      </w:pPr>
      <w:r w:rsidRPr="005B34CF">
        <w:t>7.</w:t>
      </w:r>
      <w:r w:rsidRPr="005B34CF">
        <w:tab/>
        <w:t>поздравява Черна гора за нейната хуманитарна и материална подкрепа за Украйна и за удължаването на срока на действие на механизма за временна закрила, който предоставя на лицата, бягащи от Украйна, правото да останат в Черна гора за срок от една година; припомня, че Черна гора е сред държавите от Западните Балкани, приемащи най-голям брой украински бежанци, като към 31 януари 2025 г. в Черна гора са регистрирани над 18 800 бежанци от Украйна съгласно статистическите данни на ВКБООН;</w:t>
      </w:r>
    </w:p>
    <w:p w14:paraId="19360E42" w14:textId="77777777" w:rsidR="00984DC0" w:rsidRPr="005B34CF" w:rsidRDefault="00984DC0" w:rsidP="00984DC0">
      <w:pPr>
        <w:pStyle w:val="NormalHanging12a"/>
      </w:pPr>
      <w:r w:rsidRPr="005B34CF">
        <w:lastRenderedPageBreak/>
        <w:t>8.</w:t>
      </w:r>
      <w:r w:rsidRPr="005B34CF">
        <w:tab/>
        <w:t>продължава да изпитва сериозно загриженост във връзка със злонамерената външна намеса, усилията за дестабилизиране, кибератаките, хибридните заплахи и кампаниите за дезинформация, включително опити да се влияе върху политическите процеси и общественото мнение от страна на участници от трети държави, които дискредитират ЕС и подкопават напредъка на Черна гора по нейния път на присъединяване към ЕС; настоятелно призовава Черна гора да приеме мерки за противодействие в по-тясно сътрудничество с ЕС и НАТО и чрез засилено регионално сътрудничество между държавите от Западните Балкани; отбелязва, че религиозните институции могат да се използват като инструмент за външно влияние, и осъжда всяка неправомерна намеса от страна на сръбската православна църква в тази връзка; отново подчертава значението на изграждането на капацитет за устойчивост срещу чуждестранното манипулиране на информация и вмешателство, включително чрез по-голям надзор на медийната среда, кампании за повишаване на обществената осведоменост и програми за медийна грамотност; препоръчва Черна гора да създаде специална работна група за хибридните заплахи;</w:t>
      </w:r>
    </w:p>
    <w:p w14:paraId="49CDCC06" w14:textId="77777777" w:rsidR="00984DC0" w:rsidRPr="005B34CF" w:rsidRDefault="00984DC0" w:rsidP="00984DC0">
      <w:pPr>
        <w:pStyle w:val="NormalHanging12a"/>
      </w:pPr>
      <w:r w:rsidRPr="005B34CF">
        <w:t>9.</w:t>
      </w:r>
      <w:r w:rsidRPr="005B34CF">
        <w:tab/>
        <w:t>настоятелно призовава Комисията, Европейската служба за външна дейност (ЕСВД), делегацията на ЕС в Черна гора и органите на Черна гора да засилят стратегическата комуникация с гражданите на Черна гора относно ползите от процеса на разширяване и членството в ЕС, както и относно конкретните критерии за присъединяване, които Черна гора все още трябва да изпълни, за да постигне съответствие с изискванията на ЕС; освен това настоятелно ги призовава да подобрят видимостта на ЕС в страната, включително по отношение на финансираните от ЕС проекти; призовава за разширяване на мониторинга на Оперативната група за стратегическа комуникация (</w:t>
      </w:r>
      <w:proofErr w:type="spellStart"/>
      <w:r w:rsidRPr="005B34CF">
        <w:t>StratCom</w:t>
      </w:r>
      <w:proofErr w:type="spellEnd"/>
      <w:r w:rsidRPr="005B34CF">
        <w:t>), така че тя да може да се съсредоточи върху трансграничните заплахи от дезинформация в държавите от Западните Балкани и техните съседи; призовава Комисията да продължи да подпомага усилията на ЕСВД и на работната група за Западните Балкани да разширят обхвата на техните информационни дейности чрез повишаване на видимото присъствие в местните медии, доклади за проверка на фактите и партньорства с организации на гражданското общество, за да се противодейства по-ефективно на фалшивата риторика;</w:t>
      </w:r>
    </w:p>
    <w:p w14:paraId="7718D80B" w14:textId="77777777" w:rsidR="00984DC0" w:rsidRPr="005B34CF" w:rsidRDefault="00984DC0" w:rsidP="00984DC0">
      <w:pPr>
        <w:pStyle w:val="NormalHanging12a"/>
      </w:pPr>
      <w:r w:rsidRPr="005B34CF">
        <w:t>10.</w:t>
      </w:r>
      <w:r w:rsidRPr="005B34CF">
        <w:tab/>
        <w:t>приветства подновеното участие на парламента на Черна гора в Парламентарния комитет за стабилизиране и асоцииране;</w:t>
      </w:r>
    </w:p>
    <w:p w14:paraId="0F252459" w14:textId="77777777" w:rsidR="00984DC0" w:rsidRPr="005B34CF" w:rsidRDefault="00984DC0" w:rsidP="00984DC0">
      <w:pPr>
        <w:pStyle w:val="Normal12a24b"/>
      </w:pPr>
      <w:r w:rsidRPr="005B34CF">
        <w:rPr>
          <w:rStyle w:val="BoldItalic"/>
        </w:rPr>
        <w:t>Демокрация и принципи на правовата държава</w:t>
      </w:r>
    </w:p>
    <w:p w14:paraId="1EF011AC" w14:textId="77777777" w:rsidR="00984DC0" w:rsidRPr="005B34CF" w:rsidRDefault="00984DC0" w:rsidP="00984DC0">
      <w:pPr>
        <w:pStyle w:val="NormalHanging12a"/>
      </w:pPr>
      <w:r w:rsidRPr="005B34CF">
        <w:t>11.</w:t>
      </w:r>
      <w:r w:rsidRPr="005B34CF">
        <w:tab/>
        <w:t xml:space="preserve">признава ключовата роля на черногорския парламент в процеса на присъединяване, по-специално по отношение на приемането на законодателство, свързано с присъединяването, и подчертава значението на парламентарното сътрудничество в това отношение; отново заявява готовността на Европейския парламент да използва своите политически и технически ресурси, за да се постигне напредък в програмата за реформи, свързани с ЕС, включително чрез дейности в подкрепа на демокрацията; отбелязва със загриженост възобновеното напрежение и етническата поляризация, които забавят процеса на реформи; призовава за конструктивен диалог и изграждане на консенсус в целия политически спектър, като се дава приоритет на качеството на законодателството, и настоятелно призовава за намиране на решения чрез парламентарен диалог; </w:t>
      </w:r>
      <w:r w:rsidRPr="005B34CF">
        <w:lastRenderedPageBreak/>
        <w:t xml:space="preserve">призовава да не се позволява на политиката на идентичност да отклонява вниманието от дневния ред на ЕС или да предизвиква в отношенията със съседите на Черна гора, като се гарантира, че Черна гора ще продължава твърдо по пътя към ЕС; приветства споразумението между министър председателя на Черна гора и лидерите на опозицията да се поиска становище от Венецианската комисия относно прекратяването на мандата на съдията от Конституционния съд Драгана </w:t>
      </w:r>
      <w:proofErr w:type="spellStart"/>
      <w:r w:rsidRPr="005B34CF">
        <w:t>Джуранович</w:t>
      </w:r>
      <w:proofErr w:type="spellEnd"/>
      <w:r w:rsidRPr="005B34CF">
        <w:t xml:space="preserve"> и опозицията да се върне в парламента;</w:t>
      </w:r>
    </w:p>
    <w:p w14:paraId="7AE2B4D2" w14:textId="77777777" w:rsidR="00984DC0" w:rsidRPr="005B34CF" w:rsidRDefault="00984DC0" w:rsidP="00984DC0">
      <w:pPr>
        <w:pStyle w:val="NormalHanging12a"/>
      </w:pPr>
      <w:r w:rsidRPr="005B34CF">
        <w:t>12.</w:t>
      </w:r>
      <w:r w:rsidRPr="005B34CF">
        <w:tab/>
        <w:t>изразява своята загриженост относно опитите за изменение на закона за черногорското гражданство в парламента на Черна гора, които биха могли да имат сериозни и дългосрочни последици за процесите на вземане на решения и идентичността на страната, като същевременно подчертава, че всички дискусии относно политиката на идентичност трябва да се провеждат с максимална чувствителност, за да се избегне по-нататъшна поляризация, както и че те следва да имат за цел постигането на широк обществен консенсус; насърчава черногорските власти да се консултират и координират с ЕС относно всички възможни промени в закона за гражданството, и подчертава значението на постигането на консенсус по всички теми, свързани с този въпрос от решаващо значение за идентичността и независимостта на Черна гора;</w:t>
      </w:r>
    </w:p>
    <w:p w14:paraId="663FC51D" w14:textId="77777777" w:rsidR="00984DC0" w:rsidRPr="005B34CF" w:rsidRDefault="00984DC0" w:rsidP="00984DC0">
      <w:pPr>
        <w:pStyle w:val="NormalHanging12a"/>
      </w:pPr>
      <w:r w:rsidRPr="005B34CF">
        <w:t>13.</w:t>
      </w:r>
      <w:r w:rsidRPr="005B34CF">
        <w:tab/>
        <w:t>решително насърчава Парламента на Черна гора да провежда приобщаващи и прозрачни обществени консултации и да демонстрира редовно и значимо участие на гражданското общество в процеса на вземане на решения, още от ранните етапи на законодателните процедури, по-специално когато става дума за законодателство от ключово значение в процеса на реформи във връзка с приемането в ЕС; насърчава по-активната роля на клуба на жените парламентаристи в Черна гора;</w:t>
      </w:r>
    </w:p>
    <w:p w14:paraId="3779C7DF" w14:textId="77777777" w:rsidR="00984DC0" w:rsidRPr="005B34CF" w:rsidRDefault="00984DC0" w:rsidP="00984DC0">
      <w:pPr>
        <w:pStyle w:val="NormalHanging12a"/>
      </w:pPr>
      <w:r w:rsidRPr="005B34CF">
        <w:t>14.</w:t>
      </w:r>
      <w:r w:rsidRPr="005B34CF">
        <w:tab/>
        <w:t>призовава Черна гора да приведе изцяло своята нормативна уредба за провеждане на избори в съответствие със стандартите на ЕС, и по-специално по отношение на хармонизирането на изборното законодателство, ограниченията на правото на гласуване и правото на кандидатиране на избори, прозрачността, механизмите за решаване на спорове и надзора върху кампаниите и медиите, както и да изпълни препоръките на Бюрото за демократични институции и права на човека на Организацията за сигурност и сътрудничество в Европа</w:t>
      </w:r>
      <w:r w:rsidRPr="005B34CF">
        <w:rPr>
          <w:rStyle w:val="FootnoteReference"/>
        </w:rPr>
        <w:footnoteReference w:id="6"/>
      </w:r>
      <w:r w:rsidRPr="005B34CF">
        <w:t>; настоятелно призовава Черна гора да повишава прозрачността и контрола върху разходите на политическите партии и да предотвратява злоупотребата с държавни средства чрез привеждане на съответното законодателство в съответствие със стандартите на ЕС, както и чрез засилване на прилагането на правилата за финансиране от трети страни и засилване на санкциите за нарушения; подчертава ролята на Агенцията за предотвратяване на корупцията (APC) в това отношение и призовава за засилено сътрудничество между (APC) и органите за финансово разузнаване с цел откриване и предотвратяване на чуждестранно влияние в политическите кампании; освен това призовава Черна гора да изпълни препоръките на Комитета на ООН за премахване на дискриминацията по отношение на жените (CEDAW) относно равенството между половете в избирателните списъци;</w:t>
      </w:r>
    </w:p>
    <w:p w14:paraId="55F583C9" w14:textId="77777777" w:rsidR="00984DC0" w:rsidRPr="005B34CF" w:rsidRDefault="00984DC0" w:rsidP="00984DC0">
      <w:pPr>
        <w:pStyle w:val="NormalHanging12a"/>
      </w:pPr>
      <w:r w:rsidRPr="005B34CF">
        <w:t>15.</w:t>
      </w:r>
      <w:r w:rsidRPr="005B34CF">
        <w:tab/>
        <w:t xml:space="preserve">отново призовава органите на Черна гора да установят единен национален ден за общински избори, както е предвидено в Закона за местното самоуправление, с цел </w:t>
      </w:r>
      <w:r w:rsidRPr="005B34CF">
        <w:lastRenderedPageBreak/>
        <w:t xml:space="preserve">повишаване на ефикасността на управлението, намаляване на политическото напрежение и укрепване на стабилността и ефективността на общинските и държавните институции; припомня, че бъдещото отпускане на средства по линия на Инструмента за реформи и растеж зависи от изпълнението на тази реформа в съответствие с ангажиментите на Черна гора в нейната програма за реформи и следва да се осъществява приоритетно; приветства факта, че в един и същи ден през 2022 г. бяха проведени избори в 14 общини; призовава за солидна нормативна уредба в това отношение; изразява загриженост във връзка с нарушенията на изборния процес в община </w:t>
      </w:r>
      <w:proofErr w:type="spellStart"/>
      <w:r w:rsidRPr="005B34CF">
        <w:t>Шавник</w:t>
      </w:r>
      <w:proofErr w:type="spellEnd"/>
      <w:r w:rsidRPr="005B34CF">
        <w:t>;</w:t>
      </w:r>
    </w:p>
    <w:p w14:paraId="46CDA4B0" w14:textId="77777777" w:rsidR="00984DC0" w:rsidRPr="005B34CF" w:rsidRDefault="00984DC0" w:rsidP="00984DC0">
      <w:pPr>
        <w:pStyle w:val="NormalHanging12a"/>
      </w:pPr>
      <w:r w:rsidRPr="005B34CF">
        <w:t>16.</w:t>
      </w:r>
      <w:r w:rsidRPr="005B34CF">
        <w:tab/>
        <w:t>призовава органите на Черна гора да приемат Закона за правителството, който следва да даде възможност за подобрена рамка за управление и оптимизиране на публичната администрация;</w:t>
      </w:r>
    </w:p>
    <w:p w14:paraId="5A33D8A4" w14:textId="77777777" w:rsidR="00984DC0" w:rsidRPr="005B34CF" w:rsidRDefault="00984DC0" w:rsidP="00984DC0">
      <w:pPr>
        <w:pStyle w:val="NormalHanging12a"/>
      </w:pPr>
      <w:r w:rsidRPr="005B34CF">
        <w:t>17.</w:t>
      </w:r>
      <w:r w:rsidRPr="005B34CF">
        <w:tab/>
        <w:t>подчертава колко е важно наличието на професионална, основаваща се на заслуги, прозрачна и деполитизирана публична администрация; призовава Черна гора да измени и приложи съответното законодателство, за да осигури рамка за професионализиране, оптимизиране и рационализиране на държавната администрация, включително процедурни гаранции срещу политически мотивирани решения за назначаване и освобождаване от длъжност, както и високи стандарти за ръководни длъжности; изразява съжаление относно липсата на значителен напредък в приемането и действителното прилагане на такова законодателство и подчертава, че това позволява назначенията за публичния сектор да продължат да бъдат предмет на политическо въздействие;</w:t>
      </w:r>
    </w:p>
    <w:p w14:paraId="120AEA37" w14:textId="77777777" w:rsidR="00984DC0" w:rsidRPr="005B34CF" w:rsidRDefault="00984DC0" w:rsidP="00984DC0">
      <w:pPr>
        <w:pStyle w:val="NormalHanging12a"/>
      </w:pPr>
      <w:r w:rsidRPr="005B34CF">
        <w:t>18.</w:t>
      </w:r>
      <w:r w:rsidRPr="005B34CF">
        <w:tab/>
        <w:t>приветства включването на Черна гора в доклада на Комисията относно върховенството на закона за 2024 г.; отбелязва със загриженост установените недостатъци, включително по отношение на назначенията в съдебната система и независимостта на прокуратурата;</w:t>
      </w:r>
    </w:p>
    <w:p w14:paraId="47C80344" w14:textId="77777777" w:rsidR="00984DC0" w:rsidRPr="005B34CF" w:rsidRDefault="00984DC0" w:rsidP="00984DC0">
      <w:pPr>
        <w:pStyle w:val="NormalHanging12a"/>
      </w:pPr>
      <w:r w:rsidRPr="005B34CF">
        <w:t>19.</w:t>
      </w:r>
      <w:r w:rsidRPr="005B34CF">
        <w:tab/>
        <w:t>приветства напредъка, постигнат в изпълнението на ключови съдебни реформи, приемането на нова стратегическа рамка и завършването на дълго отлагани назначения в съдебната система; призовава Черна гора да запълни незаетите позиции на високо равнище в съдебната система;</w:t>
      </w:r>
    </w:p>
    <w:p w14:paraId="5F3225E3" w14:textId="77777777" w:rsidR="00984DC0" w:rsidRPr="005B34CF" w:rsidRDefault="00984DC0" w:rsidP="00984DC0">
      <w:pPr>
        <w:pStyle w:val="NormalHanging12a"/>
      </w:pPr>
      <w:r w:rsidRPr="005B34CF">
        <w:t>20.</w:t>
      </w:r>
      <w:r w:rsidRPr="005B34CF">
        <w:tab/>
        <w:t>настоятелно призовава Черна гора да продължи да привежда своята нормативна уредба, включително Конституцията, по-специално що се отнася до състава и процеса на вземане на решения на Съдебния съвет, в съответствие със законите и стандартите на ЕС относно независимостта, отчетността, безпристрастността, почтеността и професионализма на съдебната система, както и да продължи да деполитизира назначенията с цел засилване на независимостта, да приложи неизпълнените досега международни препоръки и да определи критерии за пенсионирането на съдии и прокурори в съответствие с европейските стандарти и при пълно спазване на Конституцията; изразява съжаление във връзка с натрупването на висящи производства и призовава Черна гора да предприеме мерки за намаляване на продължителността на съдебните производства, по-специално за дела за тежки престъпления и дела във връзка с организираната престъпност, особено на делата, свързани с изпиране на пари; препоръчва на Черна гора да приеме измененията на Конституцията на финалния етап от преговорите на страната за присъединяване към ЕС;</w:t>
      </w:r>
    </w:p>
    <w:p w14:paraId="21E45BAB" w14:textId="77777777" w:rsidR="00984DC0" w:rsidRPr="005B34CF" w:rsidRDefault="00984DC0" w:rsidP="00984DC0">
      <w:pPr>
        <w:pStyle w:val="NormalHanging12a"/>
      </w:pPr>
      <w:r w:rsidRPr="005B34CF">
        <w:lastRenderedPageBreak/>
        <w:t>21.</w:t>
      </w:r>
      <w:r w:rsidRPr="005B34CF">
        <w:tab/>
        <w:t xml:space="preserve">отбелязва стъпките, предприети в борбата срещу корупцията, включително нови закони и разпоредби относно защитата на лицата, подаващи сигнали за нередности, създаването на нов Национален съвет за борба срещу корупцията и нова антикорупционна стратегия за периода 2024 - 2028 г.; насърчава Черна гора да продължи да привежда законодателството си в съответствие с </w:t>
      </w:r>
      <w:r w:rsidRPr="005B34CF">
        <w:rPr>
          <w:rStyle w:val="Italic"/>
        </w:rPr>
        <w:t>достиженията на правото на ЕС</w:t>
      </w:r>
      <w:r w:rsidRPr="005B34CF">
        <w:t xml:space="preserve"> и стандартите на ЕС и да предприеме мерки във връзка с препоръките на Комисията, Венецианската комисия и на Групата държави срещу корупцията (GRECO); насърчава властите на Черна гора да продължат да работят за преодоляване на съществуващите недостатъци при разглеждането на случаите на организирана престъпност и изземването и конфискацията на активи, придобити чрез престъпна дейност;</w:t>
      </w:r>
    </w:p>
    <w:p w14:paraId="509D7FAB" w14:textId="77777777" w:rsidR="00984DC0" w:rsidRPr="005B34CF" w:rsidRDefault="00984DC0" w:rsidP="00984DC0">
      <w:pPr>
        <w:pStyle w:val="NormalHanging12a"/>
      </w:pPr>
      <w:r w:rsidRPr="005B34CF">
        <w:t>22.</w:t>
      </w:r>
      <w:r w:rsidRPr="005B34CF">
        <w:tab/>
        <w:t>настоятелно призовава Черна гора да засили действията си в областта на наказателното правосъдие по отношение на корупцията по високите етажи на властта, включително чрез засилване на ефективното прилагане на съществуващото наказателно законодателство и налагане на ефективни и възпиращи санкции, както и да създаде условия за ефективно функциониране на съдебните институции и независимите органи, занимаващи се с корупцията, без политическо влияние;</w:t>
      </w:r>
    </w:p>
    <w:p w14:paraId="4537A713" w14:textId="77777777" w:rsidR="00984DC0" w:rsidRPr="005B34CF" w:rsidRDefault="00984DC0" w:rsidP="00984DC0">
      <w:pPr>
        <w:pStyle w:val="NormalHanging12a"/>
      </w:pPr>
      <w:r w:rsidRPr="005B34CF">
        <w:t>23.</w:t>
      </w:r>
      <w:r w:rsidRPr="005B34CF">
        <w:tab/>
        <w:t>отбелязва работата на Агенцията за предотвратяване на корупцията и призовава да ѝ бъде предоставено достатъчно финансиране и тя да бъде деполитизиране; очаква Агенцията да постигне осезаеми резултати и да не действа селективно, за да се укрепи нейната почтеност и да се повиши нейният авторитет при ефективното изпълнение на нейните правомощия; призовава за по-силна уредба за предотвратяване на корупцията;</w:t>
      </w:r>
    </w:p>
    <w:p w14:paraId="03116996" w14:textId="77777777" w:rsidR="00984DC0" w:rsidRPr="005B34CF" w:rsidRDefault="00984DC0" w:rsidP="00984DC0">
      <w:pPr>
        <w:pStyle w:val="NormalHanging12a"/>
      </w:pPr>
      <w:r w:rsidRPr="005B34CF">
        <w:t>24.</w:t>
      </w:r>
      <w:r w:rsidRPr="005B34CF">
        <w:tab/>
        <w:t>настоятелно призовава Черна гора да приведе законодателството си в областта на оръжията в съответствие с правото на ЕС и международните стандарти, по-специално по отношение на техническите стандарти за маркирането на огнестрелните оръжия, процедурите за дезактивиране и разпоредбите за предупредителните и сигналните оръжия, както и да създаде стандартизирана и ефективна система за събиране и докладване на данни за огнестрелните оръжия; изразява възмущение от случая на безразборна стрелба по случайни хора в Цетине, който имаше трагични последици, и изразява своите съболезнования на семействата на жертвите; изразява своята загриженост относно експлоатирането на тази трагедия за целите на дезинформацията и етническата поляризация; настоятелно призовава Черна гора да укрепи своята комуникация при кризи с цел да противодейства на дезинформацията и да осигури отговорно отразяване в медиите след инциденти с насилие; призовава за систематични действия в областта на сигурността, психичното благосъстояние и институционалната прозрачност, както и в гражданското образование и обществената осведоменост, информационните и образователните инициативи относно опасностите и рисковете от огнестрелните оръжия, в съответствие с очакванията на гражданите и обществените потребности;</w:t>
      </w:r>
    </w:p>
    <w:p w14:paraId="4E0C3F43" w14:textId="77777777" w:rsidR="00984DC0" w:rsidRPr="005B34CF" w:rsidRDefault="00984DC0" w:rsidP="00984DC0">
      <w:pPr>
        <w:pStyle w:val="NormalHanging12a"/>
      </w:pPr>
      <w:r w:rsidRPr="005B34CF">
        <w:t>25.</w:t>
      </w:r>
      <w:r w:rsidRPr="005B34CF">
        <w:tab/>
        <w:t xml:space="preserve">призовава Черна гора да приведе спешно и изцяло визовата си политика в съответствие с тази на ЕС, особено по отношение на държавите, които пораждат рискове за ЕС по отношение на нередовната миграция и сигурността; изразява загриженост, че противно на очакванията към безвизовия режим бяха добавени още две държави и че притежателите на руски и беларуски паспорти продължават </w:t>
      </w:r>
      <w:r w:rsidRPr="005B34CF">
        <w:lastRenderedPageBreak/>
        <w:t>да се ползват от безвизов режим; отбелязва, че хармонизирането на визовата политика е предвидено и в програмата за реформи на Черна гора по линия на Инструмента за реформи и растеж;</w:t>
      </w:r>
    </w:p>
    <w:p w14:paraId="46E3C7C8" w14:textId="77777777" w:rsidR="00984DC0" w:rsidRPr="005B34CF" w:rsidRDefault="00984DC0" w:rsidP="00984DC0">
      <w:pPr>
        <w:pStyle w:val="NormalHanging12a"/>
      </w:pPr>
      <w:r w:rsidRPr="005B34CF">
        <w:t>26.</w:t>
      </w:r>
      <w:r w:rsidRPr="005B34CF">
        <w:tab/>
        <w:t>приветства продължаващото сътрудничество между Черна гора и Европейската агенция за гранична и брегова охрана (</w:t>
      </w:r>
      <w:proofErr w:type="spellStart"/>
      <w:r w:rsidRPr="005B34CF">
        <w:t>Frontex</w:t>
      </w:r>
      <w:proofErr w:type="spellEnd"/>
      <w:r w:rsidRPr="005B34CF">
        <w:t xml:space="preserve">), Европол, Евроюст и Агенцията на Европейския съюз за обучение в областта на правоприлагането (CEPOL) и отбелязва значението на това сътрудничество за справяне с трансграничната престъпност, включително трафика на оръжия, наркотици и хора, както и за борбата с тероризма и екстремизма; приветства влизането в сила на 1 юли 2023 г. на подобреното споразумение за оперативно сътрудничество в областта на управлението на границите с </w:t>
      </w:r>
      <w:proofErr w:type="spellStart"/>
      <w:r w:rsidRPr="005B34CF">
        <w:t>Frontex</w:t>
      </w:r>
      <w:proofErr w:type="spellEnd"/>
      <w:r w:rsidRPr="005B34CF">
        <w:t xml:space="preserve"> и насърчава по-нататъшното сътрудничество между Черна гора и </w:t>
      </w:r>
      <w:proofErr w:type="spellStart"/>
      <w:r w:rsidRPr="005B34CF">
        <w:t>Frontex</w:t>
      </w:r>
      <w:proofErr w:type="spellEnd"/>
      <w:r w:rsidRPr="005B34CF">
        <w:t xml:space="preserve"> за укрепване на управлението на границите, подкрепа на процедурите за предоставяне на убежище, борба с контрабандата и подобряване на обратното приемане;</w:t>
      </w:r>
    </w:p>
    <w:p w14:paraId="2B74175A" w14:textId="77777777" w:rsidR="00984DC0" w:rsidRPr="005B34CF" w:rsidRDefault="00984DC0" w:rsidP="00984DC0">
      <w:pPr>
        <w:pStyle w:val="Normal12a24b"/>
      </w:pPr>
      <w:r w:rsidRPr="005B34CF">
        <w:rPr>
          <w:rStyle w:val="BoldItalic"/>
        </w:rPr>
        <w:t>Основни свободи и права на човека</w:t>
      </w:r>
    </w:p>
    <w:p w14:paraId="1FB0AD6A" w14:textId="77777777" w:rsidR="00984DC0" w:rsidRPr="005B34CF" w:rsidRDefault="00984DC0" w:rsidP="00984DC0">
      <w:pPr>
        <w:pStyle w:val="NormalHanging12a"/>
      </w:pPr>
      <w:r w:rsidRPr="005B34CF">
        <w:t>27.</w:t>
      </w:r>
      <w:r w:rsidRPr="005B34CF">
        <w:tab/>
        <w:t xml:space="preserve">изразява съжаление, че най-уязвимите групи в обществото все още се сблъскват с дискриминация; призовава Черна гора да приеме нов закон за борба с дискриминацията и свързани с него стратегии посредством приобщаващ, прозрачен и значим процес, който включва активното участие на най-силно засегнатите лица, с цел да подобри достъпа на уязвимите групи до права; подчертава, че зачитането на правата на всички национални малцинства е неразделна част от </w:t>
      </w:r>
      <w:r w:rsidRPr="005B34CF">
        <w:rPr>
          <w:rStyle w:val="Italic"/>
        </w:rPr>
        <w:t>достиженията на правото на ЕС</w:t>
      </w:r>
      <w:r w:rsidRPr="005B34CF">
        <w:t>; призовава за по-стриктно прилагане с цел гарантиране на равното третиране на всички етнически, религиозни, национални и социални групи, така че на тях да бъдат осигурени равни права и възможности и че те могат да участват пълноценно и ефективно в социалния, политическия и икономическия живот;</w:t>
      </w:r>
    </w:p>
    <w:p w14:paraId="57F98D8E" w14:textId="77777777" w:rsidR="00984DC0" w:rsidRPr="005B34CF" w:rsidRDefault="00984DC0" w:rsidP="00984DC0">
      <w:pPr>
        <w:pStyle w:val="NormalHanging12a"/>
      </w:pPr>
      <w:r w:rsidRPr="005B34CF">
        <w:t>28.</w:t>
      </w:r>
      <w:r w:rsidRPr="005B34CF">
        <w:tab/>
        <w:t>приветства мултиетническата идентичност на Черна гора и призовава за по-нататъшно насърчаване и зачитане на езиците, културното наследство и традициите на местните общности и националните малцинства, тъй като това е тясно преплетено с европейската перспектива на Черна гора;</w:t>
      </w:r>
    </w:p>
    <w:p w14:paraId="1BB85675" w14:textId="77777777" w:rsidR="00984DC0" w:rsidRPr="005B34CF" w:rsidRDefault="00984DC0" w:rsidP="00984DC0">
      <w:pPr>
        <w:pStyle w:val="NormalHanging12a"/>
      </w:pPr>
      <w:r w:rsidRPr="005B34CF">
        <w:t>29.</w:t>
      </w:r>
      <w:r w:rsidRPr="005B34CF">
        <w:tab/>
        <w:t xml:space="preserve">подчертава мултиетническата идентичност на </w:t>
      </w:r>
      <w:proofErr w:type="spellStart"/>
      <w:r w:rsidRPr="005B34CF">
        <w:t>Которския</w:t>
      </w:r>
      <w:proofErr w:type="spellEnd"/>
      <w:r w:rsidRPr="005B34CF">
        <w:t xml:space="preserve"> залив; подчертава, че европейската перспектива на Черна гора е тясно преплетена със защитата на малцинствата и тяхното културно наследство; призовава органите на Черна гора да поощряват мултиетничното естество на държавата, включително традициите и културното наследство на хърватската общност в </w:t>
      </w:r>
      <w:proofErr w:type="spellStart"/>
      <w:r w:rsidRPr="005B34CF">
        <w:t>Которския</w:t>
      </w:r>
      <w:proofErr w:type="spellEnd"/>
      <w:r w:rsidRPr="005B34CF">
        <w:t xml:space="preserve"> залив;</w:t>
      </w:r>
    </w:p>
    <w:p w14:paraId="09D98021" w14:textId="77777777" w:rsidR="00984DC0" w:rsidRPr="005B34CF" w:rsidRDefault="00984DC0" w:rsidP="00984DC0">
      <w:pPr>
        <w:pStyle w:val="NormalHanging12a"/>
      </w:pPr>
      <w:r w:rsidRPr="005B34CF">
        <w:t>30.</w:t>
      </w:r>
      <w:r w:rsidRPr="005B34CF">
        <w:tab/>
        <w:t>изразява дълбока загриженост относно застрашените обекти на културното наследство в Черна гора, като например залива Котор и Свети Стефан; подчертава, че Свети Стефан, заедно с парк „</w:t>
      </w:r>
      <w:proofErr w:type="spellStart"/>
      <w:r w:rsidRPr="005B34CF">
        <w:t>Милочер</w:t>
      </w:r>
      <w:proofErr w:type="spellEnd"/>
      <w:r w:rsidRPr="005B34CF">
        <w:t>“, беше включен в списъка на „7-те най-застрашени обекта на културното наследство в Европа“ за 2023 г.;</w:t>
      </w:r>
    </w:p>
    <w:p w14:paraId="7815193F" w14:textId="77777777" w:rsidR="00984DC0" w:rsidRPr="005B34CF" w:rsidRDefault="00984DC0" w:rsidP="00984DC0">
      <w:pPr>
        <w:pStyle w:val="NormalHanging12a"/>
      </w:pPr>
      <w:r w:rsidRPr="005B34CF">
        <w:t>31.</w:t>
      </w:r>
      <w:r w:rsidRPr="005B34CF">
        <w:tab/>
        <w:t xml:space="preserve">призовава органите на Черна гора да се заемат с преодоляването на трудните условия на живот на ромите в Черна гора и на дискриминацията, с която те се сблъскват, и призовава за допълнителни мерки за насърчаване на междукултурното разбирателство в училищата; призовава властите на Черна гора </w:t>
      </w:r>
      <w:r w:rsidRPr="005B34CF">
        <w:lastRenderedPageBreak/>
        <w:t>също така да предприемат мерки за подобряване на климата на социалното включване на ЛГБТИ лицата;</w:t>
      </w:r>
    </w:p>
    <w:p w14:paraId="5C768CFB" w14:textId="77777777" w:rsidR="00984DC0" w:rsidRPr="005B34CF" w:rsidRDefault="00984DC0" w:rsidP="00984DC0">
      <w:pPr>
        <w:pStyle w:val="NormalHanging12a"/>
      </w:pPr>
      <w:r w:rsidRPr="005B34CF">
        <w:t>32.</w:t>
      </w:r>
      <w:r w:rsidRPr="005B34CF">
        <w:tab/>
        <w:t xml:space="preserve">приветства факта, че Черна гора е привела в съответствие своята законодателна и институционална рамка с </w:t>
      </w:r>
      <w:r w:rsidRPr="005B34CF">
        <w:rPr>
          <w:i/>
        </w:rPr>
        <w:t>достиженията на правото на ЕС</w:t>
      </w:r>
      <w:r w:rsidRPr="005B34CF">
        <w:t xml:space="preserve"> и международните стандарти в областта на правата на човека, що се отнася до спазването на Конвенцията на ООН за правата на детето и факултативните протоколи към нея; настоятелно призовава органите да отстранят недостатъците при изпълнението, а именно във връзка с отчетността и мониторинга;</w:t>
      </w:r>
    </w:p>
    <w:p w14:paraId="4B0B6634" w14:textId="77777777" w:rsidR="00984DC0" w:rsidRPr="005B34CF" w:rsidRDefault="00984DC0" w:rsidP="00984DC0">
      <w:pPr>
        <w:pStyle w:val="NormalHanging12a"/>
      </w:pPr>
      <w:r w:rsidRPr="005B34CF">
        <w:t>33.</w:t>
      </w:r>
      <w:r w:rsidRPr="005B34CF">
        <w:tab/>
        <w:t>призовава за ефективното прилагане на стратегии за защита на правата на хората с увреждания във всички сектори и политики;</w:t>
      </w:r>
    </w:p>
    <w:p w14:paraId="0F5CBDBF" w14:textId="77777777" w:rsidR="00984DC0" w:rsidRPr="005B34CF" w:rsidRDefault="00984DC0" w:rsidP="00984DC0">
      <w:pPr>
        <w:pStyle w:val="NormalHanging12a"/>
      </w:pPr>
      <w:r w:rsidRPr="005B34CF">
        <w:t>34.</w:t>
      </w:r>
      <w:r w:rsidRPr="005B34CF">
        <w:tab/>
        <w:t>осъжда всички изказвания, проповядващи вражда и омраза, включително онлайн и основаните на пола изказвания, проповядващи вражда и омраза, и престъпленията от омраза; приветства криминализирането на расизма и на изказванията, проповядващи вражда и омраза;</w:t>
      </w:r>
    </w:p>
    <w:p w14:paraId="73E80E97" w14:textId="77777777" w:rsidR="00984DC0" w:rsidRPr="005B34CF" w:rsidRDefault="00984DC0" w:rsidP="00984DC0">
      <w:pPr>
        <w:pStyle w:val="NormalHanging12a"/>
      </w:pPr>
      <w:r w:rsidRPr="005B34CF">
        <w:t>35.</w:t>
      </w:r>
      <w:r w:rsidRPr="005B34CF">
        <w:tab/>
        <w:t>подчертава необходимостта от укрепване на институционалните механизми за равенство между половете и призовава органите на Черна гора да се справят с разликата в заплащането на жените и мъжете, да подобряват участието на жените в процеса на вземане на решения — както в публичната сфера, по-специално публичната администрация, съдебната система и сигурността, така и в бизнеса — да гарантират по-голямо политическо участие на жените, да въвеждат съобразено с равенството между половете бюджетиране, да се борят със стереотипите, свързани с пола, и да засилят усилията за борба с дискриминацията срещу жените, особено в селските райони; приветства неотдавнашните усилия, насочени към увеличаване на представителството на жените в областта на науката, технологиите, инженерството и математиката (НТИМ), и насърчава по-нататъшните усилия в технологичните сектори;</w:t>
      </w:r>
    </w:p>
    <w:p w14:paraId="2884BEA1" w14:textId="77777777" w:rsidR="00984DC0" w:rsidRPr="005B34CF" w:rsidRDefault="00984DC0" w:rsidP="00984DC0">
      <w:pPr>
        <w:pStyle w:val="NormalHanging12a"/>
      </w:pPr>
      <w:r w:rsidRPr="005B34CF">
        <w:t>36.</w:t>
      </w:r>
      <w:r w:rsidRPr="005B34CF">
        <w:tab/>
        <w:t xml:space="preserve">изразява дълбока загриженост във връзка с високите равнища на насилие, основано на пола, включително домашно насилие и убийства на жени; призовава Черна гора да приведе изцяло определенията за насилие, основано на пола, и домашно насилие в съответствие с Конвенцията от Истанбул и с препоръките на международните органи, да създаде ефективен механизъм за защита и превенция, както и центрове за оказване на помощ, а също така да гарантира ефективни съдебни последващи действия за жертвите на домашно и сексуално насилие, както и по-строга наказателноправна политика спрямо извършителите; призовава за събиране на </w:t>
      </w:r>
      <w:proofErr w:type="spellStart"/>
      <w:r w:rsidRPr="005B34CF">
        <w:t>дезагрегирани</w:t>
      </w:r>
      <w:proofErr w:type="spellEnd"/>
      <w:r w:rsidRPr="005B34CF">
        <w:t xml:space="preserve"> данни относно насилието, основано на пола, и различията между половете, за да се подобрят ответните мерки на политиката;</w:t>
      </w:r>
    </w:p>
    <w:p w14:paraId="0791DF10" w14:textId="77777777" w:rsidR="00984DC0" w:rsidRPr="005B34CF" w:rsidRDefault="00984DC0" w:rsidP="00984DC0">
      <w:pPr>
        <w:pStyle w:val="NormalHanging12a"/>
      </w:pPr>
      <w:r w:rsidRPr="005B34CF">
        <w:t>37.</w:t>
      </w:r>
      <w:r w:rsidRPr="005B34CF">
        <w:tab/>
        <w:t>изразява съжаление, че проектът на закон за правно признаване на предпочитания пол не беше приет през 2024 г., въпреки че е мярка по линия на Програмата за присъединяване на Черна гора към ЕС; настоятелно призовава Черна гора незабавно да приеме закона;</w:t>
      </w:r>
    </w:p>
    <w:p w14:paraId="0227219D" w14:textId="77777777" w:rsidR="00984DC0" w:rsidRPr="005B34CF" w:rsidRDefault="00984DC0" w:rsidP="00984DC0">
      <w:pPr>
        <w:pStyle w:val="NormalHanging12a"/>
      </w:pPr>
      <w:r w:rsidRPr="005B34CF">
        <w:t>38.</w:t>
      </w:r>
      <w:r w:rsidRPr="005B34CF">
        <w:tab/>
        <w:t xml:space="preserve">приветства новите закони за медиите на Черна гора и нейната стратегия за медийната политика, насочена към засилване на правната рамка, с цел ефективна закрила на журналистите и на други медийни труженици; настоява за политика на нулева толерантност по отношение на оказването на натиск, упражняването на </w:t>
      </w:r>
      <w:r w:rsidRPr="005B34CF">
        <w:lastRenderedPageBreak/>
        <w:t>тормоз над или на насилие срещу журналисти, особено от страна на публични фигури; подчертава необходимостта от ефективни разследвания, наказателно преследване на всички случаи на изказвания, проповядващи вражда и омраза, кампании за оклеветяване и стратегически съдебни производства срещу журналисти, както и от последващи действия по минали дела; подчертава необходимостта да се гарантира правото на журналистите на достъп до информация и поддържане на критична позиция; отбелязва значително подобрение в свободата на печата на Черна гора, както е видно от напредъка ѝ в класацията на Световния индекс за свобода на печата;</w:t>
      </w:r>
    </w:p>
    <w:p w14:paraId="32412B60" w14:textId="77777777" w:rsidR="00984DC0" w:rsidRPr="005B34CF" w:rsidRDefault="00984DC0" w:rsidP="00984DC0">
      <w:pPr>
        <w:pStyle w:val="NormalHanging12a"/>
      </w:pPr>
      <w:r w:rsidRPr="005B34CF">
        <w:t>39.</w:t>
      </w:r>
      <w:r w:rsidRPr="005B34CF">
        <w:tab/>
        <w:t>изразява своята загриженост относно случаите, в които журналисти, представители на академичните среди и организации на гражданското общество са били подлагани на натиск поради упражняване на свобода на словото, включително случаи, в които полицията е започнала производство за простъпки срещу тях; изразява загриженост във връзка с използването на стратегически съдебни производства, насочени срещу участието на обществеността (SLAPP), с цел превръщане на журналисти в мишени;</w:t>
      </w:r>
    </w:p>
    <w:p w14:paraId="0929C338" w14:textId="77777777" w:rsidR="00984DC0" w:rsidRPr="005B34CF" w:rsidRDefault="00984DC0" w:rsidP="00984DC0">
      <w:pPr>
        <w:pStyle w:val="NormalHanging12a"/>
      </w:pPr>
      <w:r w:rsidRPr="005B34CF">
        <w:t>40.</w:t>
      </w:r>
      <w:r w:rsidRPr="005B34CF">
        <w:tab/>
        <w:t>изразява съжаление във връзка с преобладаващото високо равнище на поляризация в медиите и уязвимостта на медиите, що се отнася до политически интереси и чуждестранно влияние, както и във връзка с чуждестранни и вътрешни кампании за дезинформация, разпространяващи наративи, които оказват отрицателно въздействие върху демократичните процеси в страната и застрашават европейската перспектива на Черна гора; призовава Черна гора да продължи да разработва подобрени програми за медийна грамотност и да ги включи като основен предмет в образованието; призовава властите на Черна гора да гарантират редакционната, институционалната и финансовата независимост на обществения радио- и телевизионен оператор RTCG (Радио-</w:t>
      </w:r>
      <w:proofErr w:type="spellStart"/>
      <w:r w:rsidRPr="005B34CF">
        <w:t>телевизија</w:t>
      </w:r>
      <w:proofErr w:type="spellEnd"/>
      <w:r w:rsidRPr="005B34CF">
        <w:t xml:space="preserve"> </w:t>
      </w:r>
      <w:proofErr w:type="spellStart"/>
      <w:r w:rsidRPr="005B34CF">
        <w:t>Црне</w:t>
      </w:r>
      <w:proofErr w:type="spellEnd"/>
      <w:r w:rsidRPr="005B34CF">
        <w:t xml:space="preserve"> Горе), както и законосъобразността на назначаването на неговото ръководство и пълното зачитане на съдебните решения относно RTCG; припомня, че трябва да се спазва законът и най-високите стандарти за отчетност и порядъчност; изразява съжаление, че независимостта на обществените медии бива отслабвана и накърнявана; призовава всички медийни субекти да спазват правните изисквания за прозрачност на публичното финансиране;</w:t>
      </w:r>
    </w:p>
    <w:p w14:paraId="2232EE72" w14:textId="77777777" w:rsidR="00984DC0" w:rsidRPr="005B34CF" w:rsidRDefault="00984DC0" w:rsidP="00984DC0">
      <w:pPr>
        <w:pStyle w:val="NormalHanging12a"/>
      </w:pPr>
      <w:r w:rsidRPr="005B34CF">
        <w:t>41.</w:t>
      </w:r>
      <w:r w:rsidRPr="005B34CF">
        <w:tab/>
        <w:t>приветства публикуването на резултатите от на преброяването на населението през 2023 г.; призовава органите да избягват всякакво политизиране на процеса; насърчава заинтересованите страни да използват тези резултати по недискриминационен начин;</w:t>
      </w:r>
    </w:p>
    <w:p w14:paraId="16F2609C" w14:textId="77777777" w:rsidR="00984DC0" w:rsidRPr="005B34CF" w:rsidRDefault="00984DC0" w:rsidP="00984DC0">
      <w:pPr>
        <w:pStyle w:val="NormalHanging12a"/>
      </w:pPr>
      <w:r w:rsidRPr="005B34CF">
        <w:t>42.</w:t>
      </w:r>
      <w:r w:rsidRPr="005B34CF">
        <w:tab/>
        <w:t xml:space="preserve">приветства изпълненото с жизненост и конструктивно гражданско общество на Черна гора и подчертава неговото значение за насърчаване на демокрацията и плурализма и за насърчаване на доброто управление и социалния напредък; изразява загриженост относно свиващото се пространство за организациите на гражданското общество с критична позиция и осъжда всички кампании за оклеветяване, сплашване и нападения срещу организации на гражданското общество, по-специално от страна на политически фигури в контекста на предложенията за „закон за чуждестранните агенти“; отбелязва, че подобни закони имат потенциала да подкопаят основните свободи и функционирането на гражданското общество и са несъвместими с ценностите и стандартите на ЕС; призовава за подкрепяща правна рамка и ясни и справедливи критерии за подбор </w:t>
      </w:r>
      <w:r w:rsidRPr="005B34CF">
        <w:lastRenderedPageBreak/>
        <w:t>във връзка с публичното финансиране; призовава Съвета за сътрудничество между правителството и неправителствените организации да възобнови работата си; подчертава, че е важно да се изграждат отношения на сътрудничество и действително да се провеждат консултации с гражданското общество по проектите на законодателни актове на ранен етап;</w:t>
      </w:r>
    </w:p>
    <w:p w14:paraId="6B71084D" w14:textId="77777777" w:rsidR="00984DC0" w:rsidRPr="005B34CF" w:rsidRDefault="00984DC0" w:rsidP="00984DC0">
      <w:pPr>
        <w:pStyle w:val="Normal12a24b"/>
      </w:pPr>
      <w:r w:rsidRPr="005B34CF">
        <w:rPr>
          <w:rStyle w:val="BoldItalic"/>
        </w:rPr>
        <w:t>Помирение, добросъседски отношения и регионално сътрудничество</w:t>
      </w:r>
    </w:p>
    <w:p w14:paraId="6A5864B0" w14:textId="77777777" w:rsidR="00984DC0" w:rsidRPr="005B34CF" w:rsidRDefault="00984DC0" w:rsidP="00984DC0">
      <w:pPr>
        <w:pStyle w:val="NormalHanging12a"/>
      </w:pPr>
      <w:r w:rsidRPr="005B34CF">
        <w:t>43.</w:t>
      </w:r>
      <w:r w:rsidRPr="005B34CF">
        <w:tab/>
        <w:t>припомня, че добросъседските отношения и регионалното сътрудничество са съществени елементи от процеса на разширяване; приветства активното участие на Черна гора в инициативите за регионално сътрудничество; припомня, че добросъседските отношения са от ключово значение за постигането на напредък в процеса на присъединяване;</w:t>
      </w:r>
    </w:p>
    <w:p w14:paraId="5C1B915F" w14:textId="77777777" w:rsidR="00984DC0" w:rsidRPr="005B34CF" w:rsidRDefault="00984DC0" w:rsidP="00984DC0">
      <w:pPr>
        <w:pStyle w:val="NormalHanging12a"/>
      </w:pPr>
      <w:r w:rsidRPr="005B34CF">
        <w:t>44.</w:t>
      </w:r>
      <w:r w:rsidRPr="005B34CF">
        <w:tab/>
        <w:t>изразява съжаление, че не беше възможно глава 31 да бъде затворена през декември 2024 г.; призовава всички ангажирани страни да намират решения на все още нерешените двустранни въпроси по конструктивен и добросъседски начин и да отдават приоритет на бъдещите интереси на гражданите в Западните Балкани; припомня, че следва да се избягва използването на неразрешени двустранни и регионални спорове, за да се блокират процесите на присъединяване на страните кандидатки; приветства двустранните консултации между Република Хърватия и Черна гора относно състоянието на нерешените двустранни въпроси; насърчава органите да продължат да прилагат мерки за изграждане на доверие;</w:t>
      </w:r>
    </w:p>
    <w:p w14:paraId="28A4D6C2" w14:textId="77777777" w:rsidR="00984DC0" w:rsidRPr="005B34CF" w:rsidRDefault="00984DC0" w:rsidP="00984DC0">
      <w:pPr>
        <w:pStyle w:val="NormalHanging12a"/>
      </w:pPr>
      <w:r w:rsidRPr="005B34CF">
        <w:t>45.</w:t>
      </w:r>
      <w:r w:rsidRPr="005B34CF">
        <w:tab/>
        <w:t>отбелязва измененията от страна на Черна гора в Наказателно-процесуалния кодекс с цел преодоляване на правните и практическите пречки пред ефективното разследване, наказателно преследване, съдебен процес и наказание за военни престъпления в съответствие със имащите значение препоръки; призовава Черна гора да прилага проактивен подход към разглеждането на делата за военни престъпления в съответствие с международното право и стандарти, да идентифицира, преследва и наказва извършителите и възхваляването на военните престъпления и да гарантира достъп до и осигуряване на правосъдие, правна защита и обезщетения за жертвите, както и да изясни съдбата на безследно изчезналите лица; призовава Черна гора да предоставя достатъчно ресурси на специализираните прокурори и съдилища и проактивно да разследва всички твърдения за военни престъпления и да повдига въпроси, свързани с отговорността на командването, както и да преразгледа предишни дела, които не са били разглеждани в съответствие с международното или националното право; призовава за регионално сътрудничество при разследването и наказателното преследване на лица, обвинени във военни престъпления; признава, че разглеждането на тези въпроси и защитата на фактите, основани на решения на съда, са важна основа за доверието, демократичните ценности, помирението и укрепването на двустранните отношения със съседните държави, и насърчава Черна гора да увеличи тези усилия;</w:t>
      </w:r>
    </w:p>
    <w:p w14:paraId="56CFA3DF" w14:textId="77777777" w:rsidR="00984DC0" w:rsidRPr="005B34CF" w:rsidRDefault="00984DC0" w:rsidP="00984DC0">
      <w:pPr>
        <w:pStyle w:val="NormalHanging12a"/>
      </w:pPr>
      <w:r w:rsidRPr="005B34CF">
        <w:t>46.</w:t>
      </w:r>
      <w:r w:rsidRPr="005B34CF">
        <w:tab/>
        <w:t xml:space="preserve">предупреждава за опасностите от политическия ревизионизъм, който изкривява историческите факти за политически цели, подкопава отчетността и задълбочава обществените разделения; решително осъжда възхваляването на военните престъпници и широко разпространеното публично отричане на международни присъди за военни престъпления, включително от страна на органите на Черна </w:t>
      </w:r>
      <w:r w:rsidRPr="005B34CF">
        <w:lastRenderedPageBreak/>
        <w:t xml:space="preserve">гора; счита, че изявлението на президента Яков </w:t>
      </w:r>
      <w:proofErr w:type="spellStart"/>
      <w:r w:rsidRPr="005B34CF">
        <w:t>Милатович</w:t>
      </w:r>
      <w:proofErr w:type="spellEnd"/>
      <w:r w:rsidRPr="005B34CF">
        <w:t>, в което се изразява съжаление относно участието на черногорските сили в бомбардировките на град Дубровник, е ценен принос за регионалния мир и помирение;</w:t>
      </w:r>
    </w:p>
    <w:p w14:paraId="76CE8237" w14:textId="77777777" w:rsidR="00984DC0" w:rsidRPr="005B34CF" w:rsidRDefault="00984DC0" w:rsidP="00984DC0">
      <w:pPr>
        <w:pStyle w:val="NormalHanging12a"/>
      </w:pPr>
      <w:r w:rsidRPr="005B34CF">
        <w:t>47.</w:t>
      </w:r>
      <w:r w:rsidRPr="005B34CF">
        <w:tab/>
        <w:t>потвърждава подкрепата си за инициативата за създаването на регионалната комисия за установяване на фактите за военните престъпления и другите тежки нарушения на правата на човека, извършени на територията на бивша Югославия (RECOM);</w:t>
      </w:r>
    </w:p>
    <w:p w14:paraId="6B6680DF" w14:textId="77777777" w:rsidR="00984DC0" w:rsidRPr="005B34CF" w:rsidRDefault="00984DC0" w:rsidP="00984DC0">
      <w:pPr>
        <w:pStyle w:val="NormalHanging12a"/>
      </w:pPr>
      <w:r w:rsidRPr="005B34CF">
        <w:t>48.</w:t>
      </w:r>
      <w:r w:rsidRPr="005B34CF">
        <w:tab/>
        <w:t>отново призовава за отваряне на архивите на бившите републики на Югославия и за предоставяне на достъп до досиетата на бившата югославска тайна служба и тайната служба на Югославската народна армия, за да се проведе щателно разследване и да се предприемат мерки за справяне с престъпленията от комунистическата ера;</w:t>
      </w:r>
    </w:p>
    <w:p w14:paraId="566AE5D1" w14:textId="77777777" w:rsidR="00984DC0" w:rsidRPr="005B34CF" w:rsidRDefault="00984DC0" w:rsidP="00984DC0">
      <w:pPr>
        <w:pStyle w:val="Normal12a24b"/>
      </w:pPr>
      <w:r w:rsidRPr="005B34CF">
        <w:rPr>
          <w:rStyle w:val="BoldItalic"/>
        </w:rPr>
        <w:t>Социално-икономически реформи</w:t>
      </w:r>
    </w:p>
    <w:p w14:paraId="5DFF780A" w14:textId="77777777" w:rsidR="00984DC0" w:rsidRPr="005B34CF" w:rsidRDefault="00984DC0" w:rsidP="00984DC0">
      <w:pPr>
        <w:pStyle w:val="NormalHanging12a"/>
      </w:pPr>
      <w:r w:rsidRPr="005B34CF">
        <w:t>49.</w:t>
      </w:r>
      <w:r w:rsidRPr="005B34CF">
        <w:tab/>
        <w:t>приветства включването на Черна гора в системите за плащания в рамките на единната зона за плащания в евро (SEPA), което води до намаляване на разходите за гражданите и предприятията; подчертава, че това разкрива възможности за разрастване на бизнеса, повишена конкурентоспособност, иновации и подобрен достъп до преки чуждестранни инвестиции;</w:t>
      </w:r>
    </w:p>
    <w:p w14:paraId="2CACEDCD" w14:textId="77777777" w:rsidR="00984DC0" w:rsidRPr="005B34CF" w:rsidRDefault="00984DC0" w:rsidP="00984DC0">
      <w:pPr>
        <w:pStyle w:val="NormalHanging12a"/>
      </w:pPr>
      <w:r w:rsidRPr="005B34CF">
        <w:t>50.</w:t>
      </w:r>
      <w:r w:rsidRPr="005B34CF">
        <w:tab/>
        <w:t>приветства плана за растеж за Западните Балкани, който има за цел да интегрира региона в единния пазар на ЕС, да насърчава регионалното икономическо сътрудничество, да задълбочава свързаните с ЕС реформи, което включва Инструмента за реформи и растеж за Западните Балкани на стойност 6 милиарда евро; приветства приемането от Черна гора на програма за реформи и насърчава пълното ѝ прилагане; отбелязва, че изпълнението на определените мерки за реформи в рамките на програмата за реформи на Черна гора за плана за растеж ще осигури достъп до над 380 милиона евро под формата на безвъзмездни средства и заеми при благоприятни условия, при условие че бъде изпълнено успешно; подчертава значението на приобщаващите консултации със заинтересовани страни, включително местните и регионалните органи, социалните партньори и гражданското общество, на етапите на проектиране, изпълнение, мониторинг и оценка;</w:t>
      </w:r>
    </w:p>
    <w:p w14:paraId="012BA6F8" w14:textId="77777777" w:rsidR="00984DC0" w:rsidRPr="005B34CF" w:rsidRDefault="00984DC0" w:rsidP="00984DC0">
      <w:pPr>
        <w:pStyle w:val="NormalHanging12a"/>
      </w:pPr>
      <w:r w:rsidRPr="005B34CF">
        <w:t>51.</w:t>
      </w:r>
      <w:r w:rsidRPr="005B34CF">
        <w:tab/>
        <w:t>насърчава Черна гора да използва по най-добрия начин цялото налично финансиране от ЕС по линия на инструмента за предприсъединителна помощ (ИПП III), Икономическия и инвестиционен план за Западните Балкани, програмата IPARD и Инструмента за реформи и растеж за Западните Балкани, за да ускори социално-икономическото сближаване с ЕС и допълнително да приведе законодателството си в съответствие с ЕС относно предотвратяването на измами; припомня обвързването на финансирането от ЕС с условия, като това финансиране може да бъде модулирано или спирано в случай на значителна регресия или трайна липса на напредък по отношение на основните принципи;</w:t>
      </w:r>
    </w:p>
    <w:p w14:paraId="02B1353D" w14:textId="77777777" w:rsidR="00984DC0" w:rsidRPr="005B34CF" w:rsidRDefault="00984DC0" w:rsidP="00984DC0">
      <w:pPr>
        <w:pStyle w:val="NormalHanging12a"/>
      </w:pPr>
      <w:r w:rsidRPr="005B34CF">
        <w:t>52.</w:t>
      </w:r>
      <w:r w:rsidRPr="005B34CF">
        <w:tab/>
        <w:t xml:space="preserve">призовава ЕС и държавите от Западните Балкани да създадат рамка за ефективно сътрудничество между Европейската прокуратура и присъединяващите се държави, за да се улесняват тясното сътрудничество и наказателното преследване на злоупотребите със средства на ЕС, включително чрез командироване на </w:t>
      </w:r>
      <w:r w:rsidRPr="005B34CF">
        <w:lastRenderedPageBreak/>
        <w:t>национални служители за връзка в Европейската прокуратура; насърчава Черна гора да изпълни изцяло работните договорености с Европейската прокуратура; призовава ЕС да предвиди необходимите правни и политически договорености за разширяване на юрисдикцията на Европейската прокуратура, така че тя да включва средствата на ЕС, предназначени за Черна гора като страна кандидатка;</w:t>
      </w:r>
    </w:p>
    <w:p w14:paraId="63542107" w14:textId="77777777" w:rsidR="00984DC0" w:rsidRPr="005B34CF" w:rsidRDefault="00984DC0" w:rsidP="00984DC0">
      <w:pPr>
        <w:pStyle w:val="NormalHanging12a"/>
      </w:pPr>
      <w:r w:rsidRPr="005B34CF">
        <w:t>53.</w:t>
      </w:r>
      <w:r w:rsidRPr="005B34CF">
        <w:tab/>
        <w:t xml:space="preserve">отбелязва като положителен фактор икономическия растеж на Черна гора; призовава да се предприемат повече стъпки с цел намаляване на бюджетния дефицит и публичния дълг и по-нататъшно премахване на случаите на освобождаване от косвени данъци, които не са в съответствие с </w:t>
      </w:r>
      <w:r w:rsidRPr="005B34CF">
        <w:rPr>
          <w:i/>
        </w:rPr>
        <w:t>достиженията на правото на ЕС</w:t>
      </w:r>
      <w:r w:rsidRPr="005B34CF">
        <w:t>; приветства усилията за намаляване на тези фискални уязвимости; отново изтъква необходимостта от увеличаване на публичните инвестиции в образователната система за устойчиво социално и икономическо развитие;</w:t>
      </w:r>
    </w:p>
    <w:p w14:paraId="2D83F3E7" w14:textId="77777777" w:rsidR="00984DC0" w:rsidRPr="005B34CF" w:rsidRDefault="00984DC0" w:rsidP="00984DC0">
      <w:pPr>
        <w:pStyle w:val="NormalHanging12a"/>
      </w:pPr>
      <w:r w:rsidRPr="005B34CF">
        <w:t>54.</w:t>
      </w:r>
      <w:r w:rsidRPr="005B34CF">
        <w:tab/>
        <w:t>отбелязва публичния дълг на Черна гора към чуждестранни финансови институции и дружества, който може да се използва като инструмент за оказване на влияние върху нейните решения, по-специално свързаните с Китай и Русия; приветства усилията за намаляване на тези уязвимости и призовава органите да продължат да намаляват икономическата зависимост от Китай и да продължат да използват Икономическия и инвестиционен план за Западните Балкани, инициативата „Глобален портал“ (</w:t>
      </w:r>
      <w:proofErr w:type="spellStart"/>
      <w:r w:rsidRPr="005B34CF">
        <w:t>Global</w:t>
      </w:r>
      <w:proofErr w:type="spellEnd"/>
      <w:r w:rsidRPr="005B34CF">
        <w:t xml:space="preserve"> </w:t>
      </w:r>
      <w:proofErr w:type="spellStart"/>
      <w:r w:rsidRPr="005B34CF">
        <w:t>Gateway</w:t>
      </w:r>
      <w:proofErr w:type="spellEnd"/>
      <w:r w:rsidRPr="005B34CF">
        <w:t>) на ЕС и Инструмента за реформи и растеж с оглед на намирането на по-зелени и по-прозрачни алтернативи за финансиране на инфраструктурни проекти; призовава Черна гора да увеличи прозрачността на бъдещите инфраструктурни проекти, да гарантира конкурентна тръжна процедура и да избягва прекомерната зависимост от дългове от чуждестранни кредитори;</w:t>
      </w:r>
    </w:p>
    <w:p w14:paraId="3A30B4CB" w14:textId="77777777" w:rsidR="00984DC0" w:rsidRPr="005B34CF" w:rsidRDefault="00984DC0" w:rsidP="00984DC0">
      <w:pPr>
        <w:pStyle w:val="NormalHanging12a"/>
      </w:pPr>
      <w:r w:rsidRPr="005B34CF">
        <w:t>55.</w:t>
      </w:r>
      <w:r w:rsidRPr="005B34CF">
        <w:tab/>
        <w:t>призовава черногорските власти да предприемат мерки за борба срещу обезлюдяването и емиграцията, по-специално чрез инвестиции в образованието и здравеопазването, особено в северната част на страната, както и чрез децентрализация посредством инвестиране в градовете със среден размер;</w:t>
      </w:r>
    </w:p>
    <w:p w14:paraId="79949B58" w14:textId="77777777" w:rsidR="00984DC0" w:rsidRPr="005B34CF" w:rsidRDefault="00984DC0" w:rsidP="00984DC0">
      <w:pPr>
        <w:pStyle w:val="NormalHanging12a"/>
      </w:pPr>
      <w:r w:rsidRPr="005B34CF">
        <w:t>56.</w:t>
      </w:r>
      <w:r w:rsidRPr="005B34CF">
        <w:tab/>
        <w:t>насърчава органите на Черна гора да стимулират цифровата трансформация и да провеждат основани на факти политики за пазара на труда, за да се справят с постоянно високото равнище на безработица, по-специално сред жените и младите хора, като същевременно укрепват институционалния капацитет и подсилват основната рамка на политиката в областта на цифровите технологии, както и ефективно да прилагат гаранцията за младежта и новата стратегия за младежта; настоятелно призовава властите да започнат да разрешават в спешен порядък въпроса, свързан с изтичането на мозъци; насърчава разработването на целенасочени превантивни мерки и стимули за легализиране на неформалните предприятия и служители, тъй като големият неформален сектор продължава да възпрепятства икономическото и социалното развитие в Черна гора;</w:t>
      </w:r>
    </w:p>
    <w:p w14:paraId="551889BC" w14:textId="77777777" w:rsidR="00984DC0" w:rsidRPr="005B34CF" w:rsidRDefault="00984DC0" w:rsidP="00984DC0">
      <w:pPr>
        <w:pStyle w:val="NormalHanging12a"/>
      </w:pPr>
      <w:r w:rsidRPr="005B34CF">
        <w:t>57.</w:t>
      </w:r>
      <w:r w:rsidRPr="005B34CF">
        <w:tab/>
        <w:t>приветства призивите за бързо интегриране на всички държави от Западни Балкани в цифровия единен пазар на ЕС преди действителното членство в ЕС, което би било от съществена полза за създаването на безопасна от цифрова гледна точка среда;</w:t>
      </w:r>
    </w:p>
    <w:p w14:paraId="2968DA6C" w14:textId="77777777" w:rsidR="00984DC0" w:rsidRPr="005B34CF" w:rsidRDefault="00984DC0" w:rsidP="00984DC0">
      <w:pPr>
        <w:pStyle w:val="NormalHanging12a"/>
      </w:pPr>
      <w:r w:rsidRPr="005B34CF">
        <w:lastRenderedPageBreak/>
        <w:t>58.</w:t>
      </w:r>
      <w:r w:rsidRPr="005B34CF">
        <w:tab/>
        <w:t xml:space="preserve">призовава за повече прозрачност при възлагането на обществени поръчки, по-специално за процедури с използване на междуправителствени споразумения, и за пълно спазване на правилата и принципите на ЕС; призовава Черна гора да намали броя на процедурите за възлагане на обществени поръчки без обявления; изразява своята загриженост относно финансовата тежест и липсата на прозрачност във връзка с изграждането на магистралата Бар — </w:t>
      </w:r>
      <w:proofErr w:type="spellStart"/>
      <w:r w:rsidRPr="005B34CF">
        <w:t>Боляре</w:t>
      </w:r>
      <w:proofErr w:type="spellEnd"/>
      <w:r w:rsidRPr="005B34CF">
        <w:t>, финансирана от китайски заем; подчертава, че тайната, свързана със споразуменията за заем и договорите за строителство, поражда опасения във връзка с отчетността;</w:t>
      </w:r>
    </w:p>
    <w:p w14:paraId="36903501" w14:textId="77777777" w:rsidR="00984DC0" w:rsidRPr="005B34CF" w:rsidRDefault="00984DC0" w:rsidP="00984DC0">
      <w:pPr>
        <w:pStyle w:val="NormalHanging12a"/>
      </w:pPr>
      <w:r w:rsidRPr="005B34CF">
        <w:t>59.</w:t>
      </w:r>
      <w:r w:rsidRPr="005B34CF">
        <w:tab/>
        <w:t>изразява своята загриженост относно всички споразумения или проекти, които заобикалят правилата за възлагане на обществени поръчки, задълженията за прозрачност и изискванията за обществени консултации, както е посочено в националното законодателство и стандартите на ЕС; призовава правителството на Черна гора да гарантира пълно зачитане на принципите на прозрачност, отчетност, приобщаващо вземане на решения и върховенство на закона във всички инициативи за публични инфраструктури и за развитие;</w:t>
      </w:r>
    </w:p>
    <w:p w14:paraId="554E440C" w14:textId="77777777" w:rsidR="00984DC0" w:rsidRPr="005B34CF" w:rsidRDefault="00984DC0" w:rsidP="00984DC0">
      <w:pPr>
        <w:pStyle w:val="Normal12a24b"/>
      </w:pPr>
      <w:r w:rsidRPr="005B34CF">
        <w:rPr>
          <w:rStyle w:val="BoldItalic"/>
        </w:rPr>
        <w:t>Енергетика, околна среда, биологично разнообразие и свързаност</w:t>
      </w:r>
    </w:p>
    <w:p w14:paraId="369574A6" w14:textId="77777777" w:rsidR="00984DC0" w:rsidRPr="005B34CF" w:rsidRDefault="00984DC0" w:rsidP="00984DC0">
      <w:pPr>
        <w:pStyle w:val="NormalHanging12a"/>
      </w:pPr>
      <w:r w:rsidRPr="005B34CF">
        <w:t>60.</w:t>
      </w:r>
      <w:r w:rsidRPr="005B34CF">
        <w:tab/>
        <w:t>настоятелно призовава Черна гора да постигне напредък в зеления преход с подкрепата на финансиране от ЕС, да подобри своята институционална рамка и нормативна уредба и да повиши устойчивостта в областта на енергетиката, като най-накрая приеме и започне да прилага просрочения национален план в областта на енергетиката и климата, като приеме закони за енергийната ефективност и като продължи да се интегрира в енергийните пазари на ЕС; призовава всички нови проекти, свързани със зеления преход, да бъдат в осъществявани в съответствие със стандартите на ЕС в областта на околната среда, държавната помощ и концесиите;</w:t>
      </w:r>
    </w:p>
    <w:p w14:paraId="1EA8DA8D" w14:textId="77777777" w:rsidR="00984DC0" w:rsidRPr="005B34CF" w:rsidRDefault="00984DC0" w:rsidP="00984DC0">
      <w:pPr>
        <w:pStyle w:val="NormalHanging12a"/>
      </w:pPr>
      <w:r w:rsidRPr="005B34CF">
        <w:t>61.</w:t>
      </w:r>
      <w:r w:rsidRPr="005B34CF">
        <w:tab/>
        <w:t>изразява съжаление относно липсата на напредък по ключови секторни реформи в областта на транспортната политика; призовава органите на Черна гора да приведат развитието на транспорта в страната в съответствие със стратегията за устойчива и интелигентна мобилност за Западните Балкани, като се съсредоточат върху железопътния транспорт, мултимодалността и намаляването на емисиите на CO</w:t>
      </w:r>
      <w:r w:rsidRPr="005B34CF">
        <w:rPr>
          <w:vertAlign w:val="subscript"/>
        </w:rPr>
        <w:t>2</w:t>
      </w:r>
      <w:r w:rsidRPr="005B34CF">
        <w:t xml:space="preserve"> и други въздействия върху околната среда, както и да продължат да прилагат своята стратегия за развитие на транспорта и да укрепят административния капацитет за реализирането на трансевропейските транспортни мрежи; </w:t>
      </w:r>
    </w:p>
    <w:p w14:paraId="4ED50952" w14:textId="77777777" w:rsidR="00984DC0" w:rsidRPr="005B34CF" w:rsidRDefault="00984DC0" w:rsidP="00984DC0">
      <w:pPr>
        <w:pStyle w:val="NormalHanging12a"/>
      </w:pPr>
      <w:r w:rsidRPr="005B34CF">
        <w:t>62.</w:t>
      </w:r>
      <w:r w:rsidRPr="005B34CF">
        <w:tab/>
        <w:t>приветства намаляването на таксите за роуминг между ЕС и държавите от Западните Балкани и призовава властите, частните действащи лица и всички заинтересовани страни да предприемат всички необходими стъпки за постигане на целта цените за роуминг на данни да се доближат до националните цени до 2028 г.; приветства влизането в сила на първия етап от изпълнението на пътната карта за роуминга между Западните Балкани и ЕС;</w:t>
      </w:r>
    </w:p>
    <w:p w14:paraId="5DD36E2C" w14:textId="77777777" w:rsidR="00D03A2D" w:rsidRDefault="00984DC0" w:rsidP="00D03A2D">
      <w:pPr>
        <w:pStyle w:val="NormalHanging12a"/>
        <w:rPr>
          <w:snapToGrid/>
          <w:lang w:eastAsia="en-GB"/>
        </w:rPr>
      </w:pPr>
      <w:r w:rsidRPr="005B34CF">
        <w:t>63.</w:t>
      </w:r>
      <w:r w:rsidRPr="005B34CF">
        <w:tab/>
        <w:t xml:space="preserve">насърчава приемането на секторни стратегии за управление на отпадъците, за качеството на въздуха и водите, за опазването на природата и за изменението на климата, като се гарантира стратегическо планиране на инвестициите; отбелязва липсата на напредък и свързаните с това нарастващи разходи при изграждането на </w:t>
      </w:r>
      <w:r w:rsidRPr="005B34CF">
        <w:lastRenderedPageBreak/>
        <w:t>основни пречиствателни станции за отпадъчни води, за да се предотврати замърсяването на реките и морето с отпадъчните води в седем общини;</w:t>
      </w:r>
    </w:p>
    <w:p w14:paraId="13367098" w14:textId="77777777" w:rsidR="00D03A2D" w:rsidRDefault="00D03A2D" w:rsidP="00D03A2D">
      <w:pPr>
        <w:pStyle w:val="NormalHanging12a"/>
        <w:ind w:left="0" w:firstLine="0"/>
        <w:jc w:val="center"/>
      </w:pPr>
      <w:r>
        <w:t>°</w:t>
      </w:r>
    </w:p>
    <w:p w14:paraId="2A8A2C32" w14:textId="77777777" w:rsidR="00D03A2D" w:rsidRDefault="00D03A2D" w:rsidP="00D03A2D">
      <w:pPr>
        <w:pStyle w:val="NormalHanging12a"/>
        <w:ind w:left="0" w:firstLine="0"/>
        <w:jc w:val="center"/>
      </w:pPr>
      <w:r>
        <w:t>°     °</w:t>
      </w:r>
    </w:p>
    <w:p w14:paraId="11CE3DC1" w14:textId="77777777" w:rsidR="005B34CF" w:rsidRPr="005B34CF" w:rsidRDefault="00984DC0" w:rsidP="00D03A2D">
      <w:pPr>
        <w:pStyle w:val="NormalHanging12a"/>
      </w:pPr>
      <w:r w:rsidRPr="005B34CF">
        <w:t>64.</w:t>
      </w:r>
      <w:r w:rsidRPr="005B34CF">
        <w:tab/>
        <w:t>възлага на своя председател да предаде настоящата резолюция на Съвета, на Комисията, на заместник-председателя на Комисията / върховен представител на Съюза по въпросите на външните работи и политиката на сигурност, на члена на Комисията, отговарящ за разширяването, на члена на Комисията, отговарящ за региона на Средиземно море, на правителствата и парламентите на държавите членки, както и на президента, правителството и парламента на Черна гора, както и тази резолюция да бъде преведена и публикувана на черногорски език.</w:t>
      </w:r>
    </w:p>
    <w:sectPr w:rsidR="005B34CF" w:rsidRPr="005B34CF" w:rsidSect="005B34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0D719" w14:textId="77777777" w:rsidR="009653AA" w:rsidRPr="005B34CF" w:rsidRDefault="009653AA">
      <w:r w:rsidRPr="005B34CF">
        <w:separator/>
      </w:r>
    </w:p>
  </w:endnote>
  <w:endnote w:type="continuationSeparator" w:id="0">
    <w:p w14:paraId="21066F6D" w14:textId="77777777" w:rsidR="009653AA" w:rsidRPr="005B34CF" w:rsidRDefault="009653AA">
      <w:r w:rsidRPr="005B34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3D9E" w14:textId="77777777" w:rsidR="00064002" w:rsidRPr="005B34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37096" w14:textId="77777777" w:rsidR="00064002" w:rsidRPr="005B34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9D98E" w14:textId="77777777" w:rsidR="00064002" w:rsidRPr="005B34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96DED" w14:textId="77777777" w:rsidR="009653AA" w:rsidRPr="005B34CF" w:rsidRDefault="009653AA">
      <w:r w:rsidRPr="005B34CF">
        <w:separator/>
      </w:r>
    </w:p>
  </w:footnote>
  <w:footnote w:type="continuationSeparator" w:id="0">
    <w:p w14:paraId="32AC1E78" w14:textId="77777777" w:rsidR="009653AA" w:rsidRPr="005B34CF" w:rsidRDefault="009653AA">
      <w:r w:rsidRPr="005B34CF">
        <w:continuationSeparator/>
      </w:r>
    </w:p>
  </w:footnote>
  <w:footnote w:id="1">
    <w:p w14:paraId="197A3BA5" w14:textId="77777777" w:rsidR="00984DC0" w:rsidRPr="005B34CF" w:rsidRDefault="00984DC0" w:rsidP="005B34CF">
      <w:pPr>
        <w:pStyle w:val="FootnoteText"/>
        <w:ind w:left="567" w:hanging="567"/>
        <w:rPr>
          <w:sz w:val="24"/>
          <w:lang w:val="bg-BG"/>
        </w:rPr>
      </w:pPr>
      <w:r w:rsidRPr="005B34CF">
        <w:rPr>
          <w:rStyle w:val="FootnoteReference"/>
          <w:sz w:val="24"/>
          <w:lang w:val="bg-BG"/>
        </w:rPr>
        <w:footnoteRef/>
      </w:r>
      <w:r w:rsidR="005B34CF" w:rsidRPr="005B34CF">
        <w:rPr>
          <w:sz w:val="24"/>
          <w:lang w:val="bg-BG"/>
        </w:rPr>
        <w:t xml:space="preserve"> </w:t>
      </w:r>
      <w:r w:rsidR="005B34CF" w:rsidRPr="005B34CF">
        <w:rPr>
          <w:sz w:val="24"/>
          <w:lang w:val="bg-BG"/>
        </w:rPr>
        <w:tab/>
      </w:r>
      <w:r w:rsidRPr="005B34CF">
        <w:rPr>
          <w:sz w:val="24"/>
          <w:lang w:val="bg-BG"/>
        </w:rPr>
        <w:t xml:space="preserve">ОВ L 108, 29.4.2010 г., стр. 3, ELI: </w:t>
      </w:r>
      <w:hyperlink r:id="rId1" w:history="1">
        <w:r w:rsidRPr="005B34CF">
          <w:rPr>
            <w:rStyle w:val="Hyperlink"/>
            <w:sz w:val="24"/>
            <w:lang w:val="bg-BG"/>
          </w:rPr>
          <w:t>http://data.europa.eu/eli/agree_internation/2010/224/oj</w:t>
        </w:r>
      </w:hyperlink>
      <w:r w:rsidRPr="005B34CF">
        <w:rPr>
          <w:sz w:val="24"/>
          <w:lang w:val="bg-BG"/>
        </w:rPr>
        <w:t xml:space="preserve">. </w:t>
      </w:r>
    </w:p>
  </w:footnote>
  <w:footnote w:id="2">
    <w:p w14:paraId="014EEFAE" w14:textId="77777777" w:rsidR="00984DC0" w:rsidRPr="005B34CF" w:rsidRDefault="00984DC0" w:rsidP="005B34CF">
      <w:pPr>
        <w:pStyle w:val="FootnoteText"/>
        <w:ind w:left="567" w:hanging="567"/>
        <w:rPr>
          <w:sz w:val="24"/>
          <w:lang w:val="bg-BG"/>
        </w:rPr>
      </w:pPr>
      <w:r w:rsidRPr="005B34CF">
        <w:rPr>
          <w:rStyle w:val="FootnoteReference"/>
          <w:sz w:val="24"/>
          <w:lang w:val="bg-BG"/>
        </w:rPr>
        <w:footnoteRef/>
      </w:r>
      <w:r w:rsidR="005B34CF" w:rsidRPr="005B34CF">
        <w:rPr>
          <w:sz w:val="24"/>
          <w:lang w:val="bg-BG"/>
        </w:rPr>
        <w:t xml:space="preserve"> </w:t>
      </w:r>
      <w:r w:rsidR="005B34CF" w:rsidRPr="005B34CF">
        <w:rPr>
          <w:sz w:val="24"/>
          <w:lang w:val="bg-BG"/>
        </w:rPr>
        <w:tab/>
      </w:r>
      <w:r w:rsidRPr="005B34CF">
        <w:rPr>
          <w:sz w:val="24"/>
          <w:lang w:val="bg-BG"/>
        </w:rPr>
        <w:t xml:space="preserve">OВ L 330, 20.9.2021 г., стр. 1, ELI: </w:t>
      </w:r>
      <w:r w:rsidR="00BC6114">
        <w:fldChar w:fldCharType="begin"/>
      </w:r>
      <w:r w:rsidR="00BC6114" w:rsidRPr="00BC6114">
        <w:rPr>
          <w:lang w:val="fi-FI"/>
        </w:rPr>
        <w:instrText>HYPERLINK "http://data.europa.eu/eli/reg/2021/1529/oj"</w:instrText>
      </w:r>
      <w:r w:rsidR="00BC6114">
        <w:fldChar w:fldCharType="separate"/>
      </w:r>
      <w:r w:rsidRPr="005B34CF">
        <w:rPr>
          <w:rStyle w:val="Hyperlink"/>
          <w:sz w:val="24"/>
          <w:lang w:val="bg-BG"/>
        </w:rPr>
        <w:t>http://data.europa.eu/eli/reg/2021/1529/oj</w:t>
      </w:r>
      <w:r w:rsidR="00BC6114">
        <w:rPr>
          <w:rStyle w:val="Hyperlink"/>
          <w:sz w:val="24"/>
          <w:lang w:val="bg-BG"/>
        </w:rPr>
        <w:fldChar w:fldCharType="end"/>
      </w:r>
      <w:r w:rsidRPr="005B34CF">
        <w:rPr>
          <w:sz w:val="24"/>
          <w:lang w:val="bg-BG"/>
        </w:rPr>
        <w:t xml:space="preserve">. </w:t>
      </w:r>
    </w:p>
  </w:footnote>
  <w:footnote w:id="3">
    <w:p w14:paraId="4C4D854E" w14:textId="77777777" w:rsidR="00984DC0" w:rsidRPr="005B34CF" w:rsidRDefault="00984DC0" w:rsidP="005B34CF">
      <w:pPr>
        <w:pStyle w:val="FootnoteText"/>
        <w:ind w:left="567" w:hanging="567"/>
        <w:rPr>
          <w:sz w:val="24"/>
          <w:lang w:val="bg-BG"/>
        </w:rPr>
      </w:pPr>
      <w:r w:rsidRPr="005B34CF">
        <w:rPr>
          <w:rStyle w:val="FootnoteReference"/>
          <w:sz w:val="24"/>
          <w:lang w:val="bg-BG"/>
        </w:rPr>
        <w:footnoteRef/>
      </w:r>
      <w:r w:rsidR="005B34CF" w:rsidRPr="005B34CF">
        <w:rPr>
          <w:sz w:val="24"/>
          <w:lang w:val="bg-BG"/>
        </w:rPr>
        <w:t xml:space="preserve"> </w:t>
      </w:r>
      <w:r w:rsidR="005B34CF" w:rsidRPr="005B34CF">
        <w:rPr>
          <w:sz w:val="24"/>
          <w:lang w:val="bg-BG"/>
        </w:rPr>
        <w:tab/>
      </w:r>
      <w:r w:rsidRPr="005B34CF">
        <w:rPr>
          <w:sz w:val="24"/>
          <w:lang w:val="bg-BG"/>
        </w:rPr>
        <w:t xml:space="preserve">ОВ L, 2024/1449, 24.5.2024 г., ELI: </w:t>
      </w:r>
      <w:r w:rsidR="00BC6114">
        <w:fldChar w:fldCharType="begin"/>
      </w:r>
      <w:r w:rsidR="00BC6114" w:rsidRPr="00BC6114">
        <w:rPr>
          <w:lang w:val="fi-FI"/>
        </w:rPr>
        <w:instrText>HYPERLINK "http://data.europa.eu/eli/reg/2024/1449/oj"</w:instrText>
      </w:r>
      <w:r w:rsidR="00BC6114">
        <w:fldChar w:fldCharType="separate"/>
      </w:r>
      <w:r w:rsidRPr="005B34CF">
        <w:rPr>
          <w:rStyle w:val="Hyperlink"/>
          <w:sz w:val="24"/>
          <w:lang w:val="bg-BG"/>
        </w:rPr>
        <w:t>http://data.europa.eu/eli/reg/2024/1449/oj</w:t>
      </w:r>
      <w:r w:rsidR="00BC6114">
        <w:rPr>
          <w:rStyle w:val="Hyperlink"/>
          <w:sz w:val="24"/>
          <w:lang w:val="bg-BG"/>
        </w:rPr>
        <w:fldChar w:fldCharType="end"/>
      </w:r>
      <w:r w:rsidRPr="005B34CF">
        <w:rPr>
          <w:sz w:val="24"/>
          <w:lang w:val="bg-BG"/>
        </w:rPr>
        <w:t xml:space="preserve">. </w:t>
      </w:r>
    </w:p>
  </w:footnote>
  <w:footnote w:id="4">
    <w:p w14:paraId="54FFE9C9" w14:textId="77777777" w:rsidR="00984DC0" w:rsidRPr="005B34CF" w:rsidRDefault="00984DC0" w:rsidP="005B34CF">
      <w:pPr>
        <w:pStyle w:val="FootnoteText"/>
        <w:ind w:left="567" w:hanging="567"/>
        <w:rPr>
          <w:sz w:val="24"/>
          <w:lang w:val="bg-BG"/>
        </w:rPr>
      </w:pPr>
      <w:r w:rsidRPr="005B34CF">
        <w:rPr>
          <w:rStyle w:val="FootnoteReference"/>
          <w:sz w:val="24"/>
          <w:lang w:val="bg-BG"/>
        </w:rPr>
        <w:footnoteRef/>
      </w:r>
      <w:r w:rsidR="005B34CF" w:rsidRPr="005B34CF">
        <w:rPr>
          <w:sz w:val="24"/>
          <w:lang w:val="bg-BG"/>
        </w:rPr>
        <w:t xml:space="preserve"> </w:t>
      </w:r>
      <w:r w:rsidR="005B34CF" w:rsidRPr="005B34CF">
        <w:rPr>
          <w:sz w:val="24"/>
          <w:lang w:val="bg-BG"/>
        </w:rPr>
        <w:tab/>
      </w:r>
      <w:r w:rsidRPr="005B34CF">
        <w:rPr>
          <w:sz w:val="24"/>
          <w:lang w:val="bg-BG"/>
        </w:rPr>
        <w:t>ОВ C 167, 11.5.2023 г., стр. 105.</w:t>
      </w:r>
    </w:p>
  </w:footnote>
  <w:footnote w:id="5">
    <w:p w14:paraId="78B8B143" w14:textId="77777777" w:rsidR="00984DC0" w:rsidRPr="005B34CF" w:rsidRDefault="00984DC0" w:rsidP="005B34CF">
      <w:pPr>
        <w:pStyle w:val="FootnoteText"/>
        <w:ind w:left="567" w:hanging="567"/>
        <w:rPr>
          <w:sz w:val="24"/>
          <w:lang w:val="bg-BG"/>
        </w:rPr>
      </w:pPr>
      <w:r w:rsidRPr="005B34CF">
        <w:rPr>
          <w:rStyle w:val="FootnoteReference"/>
          <w:sz w:val="24"/>
          <w:lang w:val="bg-BG"/>
        </w:rPr>
        <w:footnoteRef/>
      </w:r>
      <w:r w:rsidR="005B34CF" w:rsidRPr="005B34CF">
        <w:rPr>
          <w:sz w:val="24"/>
          <w:lang w:val="bg-BG"/>
        </w:rPr>
        <w:t xml:space="preserve"> </w:t>
      </w:r>
      <w:r w:rsidR="005B34CF" w:rsidRPr="005B34CF">
        <w:rPr>
          <w:sz w:val="24"/>
          <w:lang w:val="bg-BG"/>
        </w:rPr>
        <w:tab/>
      </w:r>
      <w:r w:rsidRPr="005B34CF">
        <w:rPr>
          <w:sz w:val="24"/>
          <w:lang w:val="bg-BG"/>
        </w:rPr>
        <w:t xml:space="preserve">ОВ C, C/2024/6746, 26.11.2024 г., ELI: </w:t>
      </w:r>
      <w:r w:rsidR="00BC6114">
        <w:fldChar w:fldCharType="begin"/>
      </w:r>
      <w:r w:rsidR="00BC6114">
        <w:instrText>HYPERLINK</w:instrText>
      </w:r>
      <w:r w:rsidR="00BC6114" w:rsidRPr="00BC6114">
        <w:rPr>
          <w:lang w:val="ru-RU"/>
        </w:rPr>
        <w:instrText xml:space="preserve"> "</w:instrText>
      </w:r>
      <w:r w:rsidR="00BC6114">
        <w:instrText>http</w:instrText>
      </w:r>
      <w:r w:rsidR="00BC6114" w:rsidRPr="00BC6114">
        <w:rPr>
          <w:lang w:val="ru-RU"/>
        </w:rPr>
        <w:instrText>://</w:instrText>
      </w:r>
      <w:r w:rsidR="00BC6114">
        <w:instrText>data</w:instrText>
      </w:r>
      <w:r w:rsidR="00BC6114" w:rsidRPr="00BC6114">
        <w:rPr>
          <w:lang w:val="ru-RU"/>
        </w:rPr>
        <w:instrText>.</w:instrText>
      </w:r>
      <w:r w:rsidR="00BC6114">
        <w:instrText>europa</w:instrText>
      </w:r>
      <w:r w:rsidR="00BC6114" w:rsidRPr="00BC6114">
        <w:rPr>
          <w:lang w:val="ru-RU"/>
        </w:rPr>
        <w:instrText>.</w:instrText>
      </w:r>
      <w:r w:rsidR="00BC6114">
        <w:instrText>eu</w:instrText>
      </w:r>
      <w:r w:rsidR="00BC6114" w:rsidRPr="00BC6114">
        <w:rPr>
          <w:lang w:val="ru-RU"/>
        </w:rPr>
        <w:instrText>/</w:instrText>
      </w:r>
      <w:r w:rsidR="00BC6114">
        <w:instrText>eli</w:instrText>
      </w:r>
      <w:r w:rsidR="00BC6114" w:rsidRPr="00BC6114">
        <w:rPr>
          <w:lang w:val="ru-RU"/>
        </w:rPr>
        <w:instrText>/</w:instrText>
      </w:r>
      <w:r w:rsidR="00BC6114">
        <w:instrText>C</w:instrText>
      </w:r>
      <w:r w:rsidR="00BC6114" w:rsidRPr="00BC6114">
        <w:rPr>
          <w:lang w:val="ru-RU"/>
        </w:rPr>
        <w:instrText>/2024/6746/</w:instrText>
      </w:r>
      <w:r w:rsidR="00BC6114">
        <w:instrText>oj</w:instrText>
      </w:r>
      <w:r w:rsidR="00BC6114" w:rsidRPr="00BC6114">
        <w:rPr>
          <w:lang w:val="ru-RU"/>
        </w:rPr>
        <w:instrText>"</w:instrText>
      </w:r>
      <w:r w:rsidR="00BC6114">
        <w:fldChar w:fldCharType="separate"/>
      </w:r>
      <w:r w:rsidRPr="005B34CF">
        <w:rPr>
          <w:rStyle w:val="Hyperlink"/>
          <w:sz w:val="24"/>
          <w:lang w:val="bg-BG"/>
        </w:rPr>
        <w:t>http://data.europa.eu/eli/C/2024/6746/oj</w:t>
      </w:r>
      <w:r w:rsidR="00BC6114">
        <w:rPr>
          <w:rStyle w:val="Hyperlink"/>
          <w:sz w:val="24"/>
          <w:lang w:val="bg-BG"/>
        </w:rPr>
        <w:fldChar w:fldCharType="end"/>
      </w:r>
      <w:r w:rsidRPr="005B34CF">
        <w:rPr>
          <w:sz w:val="24"/>
          <w:lang w:val="bg-BG"/>
        </w:rPr>
        <w:t xml:space="preserve">. </w:t>
      </w:r>
    </w:p>
  </w:footnote>
  <w:footnote w:id="6">
    <w:p w14:paraId="60755119" w14:textId="77777777" w:rsidR="00984DC0" w:rsidRPr="005B34CF" w:rsidRDefault="00984DC0" w:rsidP="005B34CF">
      <w:pPr>
        <w:pStyle w:val="FootnoteText"/>
        <w:ind w:left="567" w:hanging="567"/>
        <w:rPr>
          <w:sz w:val="24"/>
          <w:lang w:val="bg-BG"/>
        </w:rPr>
      </w:pPr>
      <w:r w:rsidRPr="005B34CF">
        <w:rPr>
          <w:rStyle w:val="FootnoteReference"/>
          <w:sz w:val="24"/>
          <w:lang w:val="bg-BG"/>
        </w:rPr>
        <w:footnoteRef/>
      </w:r>
      <w:r w:rsidR="005B34CF" w:rsidRPr="005B34CF">
        <w:rPr>
          <w:sz w:val="24"/>
          <w:lang w:val="bg-BG"/>
        </w:rPr>
        <w:t xml:space="preserve"> </w:t>
      </w:r>
      <w:r w:rsidR="005B34CF" w:rsidRPr="005B34CF">
        <w:rPr>
          <w:sz w:val="24"/>
          <w:lang w:val="bg-BG"/>
        </w:rPr>
        <w:tab/>
      </w:r>
      <w:r w:rsidR="00BC6114">
        <w:fldChar w:fldCharType="begin"/>
      </w:r>
      <w:r w:rsidR="00BC6114">
        <w:instrText>HYPERLINK</w:instrText>
      </w:r>
      <w:r w:rsidR="00BC6114" w:rsidRPr="00BC6114">
        <w:rPr>
          <w:lang w:val="bg-BG"/>
        </w:rPr>
        <w:instrText xml:space="preserve"> "</w:instrText>
      </w:r>
      <w:r w:rsidR="00BC6114">
        <w:instrText>https</w:instrText>
      </w:r>
      <w:r w:rsidR="00BC6114" w:rsidRPr="00BC6114">
        <w:rPr>
          <w:lang w:val="bg-BG"/>
        </w:rPr>
        <w:instrText>://</w:instrText>
      </w:r>
      <w:r w:rsidR="00BC6114">
        <w:instrText>www</w:instrText>
      </w:r>
      <w:r w:rsidR="00BC6114" w:rsidRPr="00BC6114">
        <w:rPr>
          <w:lang w:val="bg-BG"/>
        </w:rPr>
        <w:instrText>.</w:instrText>
      </w:r>
      <w:r w:rsidR="00BC6114">
        <w:instrText>osce</w:instrText>
      </w:r>
      <w:r w:rsidR="00BC6114" w:rsidRPr="00BC6114">
        <w:rPr>
          <w:lang w:val="bg-BG"/>
        </w:rPr>
        <w:instrText>.</w:instrText>
      </w:r>
      <w:r w:rsidR="00BC6114">
        <w:instrText>org</w:instrText>
      </w:r>
      <w:r w:rsidR="00BC6114" w:rsidRPr="00BC6114">
        <w:rPr>
          <w:lang w:val="bg-BG"/>
        </w:rPr>
        <w:instrText>/</w:instrText>
      </w:r>
      <w:r w:rsidR="00BC6114">
        <w:instrText>odihr</w:instrText>
      </w:r>
      <w:r w:rsidR="00BC6114" w:rsidRPr="00BC6114">
        <w:rPr>
          <w:lang w:val="bg-BG"/>
        </w:rPr>
        <w:instrText>/</w:instrText>
      </w:r>
      <w:r w:rsidR="00BC6114">
        <w:instrText>elections</w:instrText>
      </w:r>
      <w:r w:rsidR="00BC6114" w:rsidRPr="00BC6114">
        <w:rPr>
          <w:lang w:val="bg-BG"/>
        </w:rPr>
        <w:instrText>/</w:instrText>
      </w:r>
      <w:r w:rsidR="00BC6114">
        <w:instrText>montenegro</w:instrText>
      </w:r>
      <w:r w:rsidR="00BC6114" w:rsidRPr="00BC6114">
        <w:rPr>
          <w:lang w:val="bg-BG"/>
        </w:rPr>
        <w:instrText>"</w:instrText>
      </w:r>
      <w:r w:rsidR="00BC6114">
        <w:fldChar w:fldCharType="separate"/>
      </w:r>
      <w:r w:rsidRPr="005B34CF">
        <w:rPr>
          <w:rStyle w:val="Hyperlink"/>
          <w:sz w:val="24"/>
          <w:lang w:val="bg-BG"/>
        </w:rPr>
        <w:t>https://www.osce.org/odihr/elections/montenegro</w:t>
      </w:r>
      <w:r w:rsidR="00BC6114">
        <w:rPr>
          <w:rStyle w:val="Hyperlink"/>
          <w:sz w:val="24"/>
          <w:lang w:val="bg-BG"/>
        </w:rPr>
        <w:fldChar w:fldCharType="end"/>
      </w:r>
      <w:r w:rsidRPr="00BD35B0">
        <w:rPr>
          <w:color w:val="0000FF"/>
          <w:sz w:val="24"/>
          <w:u w:color="0000FF"/>
          <w:lang w:val="bg-BG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60A29" w14:textId="77777777" w:rsidR="00064002" w:rsidRPr="005B34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5F371" w14:textId="77777777" w:rsidR="00064002" w:rsidRPr="005B34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3F98" w14:textId="77777777" w:rsidR="00064002" w:rsidRPr="005B34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53771233">
    <w:abstractNumId w:val="9"/>
  </w:num>
  <w:num w:numId="2" w16cid:durableId="1590039889">
    <w:abstractNumId w:val="9"/>
  </w:num>
  <w:num w:numId="3" w16cid:durableId="568924461">
    <w:abstractNumId w:val="7"/>
  </w:num>
  <w:num w:numId="4" w16cid:durableId="1055084648">
    <w:abstractNumId w:val="7"/>
  </w:num>
  <w:num w:numId="5" w16cid:durableId="1296595756">
    <w:abstractNumId w:val="6"/>
  </w:num>
  <w:num w:numId="6" w16cid:durableId="591595599">
    <w:abstractNumId w:val="6"/>
  </w:num>
  <w:num w:numId="7" w16cid:durableId="1530492092">
    <w:abstractNumId w:val="5"/>
  </w:num>
  <w:num w:numId="8" w16cid:durableId="2016489512">
    <w:abstractNumId w:val="5"/>
  </w:num>
  <w:num w:numId="9" w16cid:durableId="967131229">
    <w:abstractNumId w:val="4"/>
  </w:num>
  <w:num w:numId="10" w16cid:durableId="911814453">
    <w:abstractNumId w:val="4"/>
  </w:num>
  <w:num w:numId="11" w16cid:durableId="1405958227">
    <w:abstractNumId w:val="8"/>
  </w:num>
  <w:num w:numId="12" w16cid:durableId="1293948530">
    <w:abstractNumId w:val="8"/>
  </w:num>
  <w:num w:numId="13" w16cid:durableId="508569715">
    <w:abstractNumId w:val="3"/>
  </w:num>
  <w:num w:numId="14" w16cid:durableId="1266884912">
    <w:abstractNumId w:val="3"/>
  </w:num>
  <w:num w:numId="15" w16cid:durableId="2068525789">
    <w:abstractNumId w:val="2"/>
  </w:num>
  <w:num w:numId="16" w16cid:durableId="2017226089">
    <w:abstractNumId w:val="2"/>
  </w:num>
  <w:num w:numId="17" w16cid:durableId="163938192">
    <w:abstractNumId w:val="1"/>
  </w:num>
  <w:num w:numId="18" w16cid:durableId="1622615808">
    <w:abstractNumId w:val="1"/>
  </w:num>
  <w:num w:numId="19" w16cid:durableId="2024238705">
    <w:abstractNumId w:val="0"/>
  </w:num>
  <w:num w:numId="20" w16cid:durableId="1135105086">
    <w:abstractNumId w:val="0"/>
  </w:num>
  <w:num w:numId="21" w16cid:durableId="1578591593">
    <w:abstractNumId w:val="9"/>
  </w:num>
  <w:num w:numId="22" w16cid:durableId="1904170158">
    <w:abstractNumId w:val="7"/>
  </w:num>
  <w:num w:numId="23" w16cid:durableId="473061989">
    <w:abstractNumId w:val="6"/>
  </w:num>
  <w:num w:numId="24" w16cid:durableId="820461488">
    <w:abstractNumId w:val="5"/>
  </w:num>
  <w:num w:numId="25" w16cid:durableId="314723714">
    <w:abstractNumId w:val="4"/>
  </w:num>
  <w:num w:numId="26" w16cid:durableId="573508499">
    <w:abstractNumId w:val="8"/>
  </w:num>
  <w:num w:numId="27" w16cid:durableId="87888409">
    <w:abstractNumId w:val="3"/>
  </w:num>
  <w:num w:numId="28" w16cid:durableId="1452548376">
    <w:abstractNumId w:val="2"/>
  </w:num>
  <w:num w:numId="29" w16cid:durableId="686717411">
    <w:abstractNumId w:val="1"/>
  </w:num>
  <w:num w:numId="30" w16cid:durableId="1187866776">
    <w:abstractNumId w:val="0"/>
  </w:num>
  <w:num w:numId="31" w16cid:durableId="1606576928">
    <w:abstractNumId w:val="9"/>
  </w:num>
  <w:num w:numId="32" w16cid:durableId="78068025">
    <w:abstractNumId w:val="7"/>
  </w:num>
  <w:num w:numId="33" w16cid:durableId="207763544">
    <w:abstractNumId w:val="6"/>
  </w:num>
  <w:num w:numId="34" w16cid:durableId="1513374584">
    <w:abstractNumId w:val="5"/>
  </w:num>
  <w:num w:numId="35" w16cid:durableId="1352800687">
    <w:abstractNumId w:val="4"/>
  </w:num>
  <w:num w:numId="36" w16cid:durableId="424694207">
    <w:abstractNumId w:val="8"/>
  </w:num>
  <w:num w:numId="37" w16cid:durableId="1393577259">
    <w:abstractNumId w:val="3"/>
  </w:num>
  <w:num w:numId="38" w16cid:durableId="340855314">
    <w:abstractNumId w:val="2"/>
  </w:num>
  <w:num w:numId="39" w16cid:durableId="878125116">
    <w:abstractNumId w:val="1"/>
  </w:num>
  <w:num w:numId="40" w16cid:durableId="1775513002">
    <w:abstractNumId w:val="0"/>
  </w:num>
  <w:num w:numId="41" w16cid:durableId="595132470">
    <w:abstractNumId w:val="10"/>
  </w:num>
  <w:num w:numId="42" w16cid:durableId="793905136">
    <w:abstractNumId w:val="10"/>
  </w:num>
  <w:num w:numId="43" w16cid:durableId="1753310924">
    <w:abstractNumId w:val="10"/>
  </w:num>
  <w:num w:numId="44" w16cid:durableId="1737895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3/2025"/>
    <w:docVar w:name="dvlangue" w:val="BG"/>
    <w:docVar w:name="dvnumam" w:val="0"/>
    <w:docVar w:name="dvpe" w:val="769.896"/>
    <w:docVar w:name="dvrapporteur" w:val="Докладчик: "/>
    <w:docVar w:name="dvtitre" w:val="Резолюция на Европейския парламент от ... 2025 г. относно докладите на Комисията за Черна гора за 2023 и 2024 г.(2025/2020(INI))"/>
  </w:docVars>
  <w:rsids>
    <w:rsidRoot w:val="009653AA"/>
    <w:rsid w:val="00002272"/>
    <w:rsid w:val="0002418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5E6"/>
    <w:rsid w:val="00411CCE"/>
    <w:rsid w:val="0041666E"/>
    <w:rsid w:val="00421060"/>
    <w:rsid w:val="00471C19"/>
    <w:rsid w:val="0047567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4C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C6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3AA"/>
    <w:rsid w:val="00981893"/>
    <w:rsid w:val="00984DC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114"/>
    <w:rsid w:val="00BD35B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A2D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101C4"/>
  <w15:chartTrackingRefBased/>
  <w15:docId w15:val="{3F12241E-A52A-4746-B041-D94A244A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4DC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984DC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984DC0"/>
    <w:pPr>
      <w:spacing w:after="240"/>
      <w:jc w:val="center"/>
    </w:pPr>
  </w:style>
  <w:style w:type="character" w:customStyle="1" w:styleId="BoldItalic">
    <w:name w:val="BoldItalic"/>
    <w:uiPriority w:val="1"/>
    <w:rsid w:val="00984DC0"/>
    <w:rPr>
      <w:b/>
      <w:i/>
      <w:u w:val="none"/>
    </w:rPr>
  </w:style>
  <w:style w:type="character" w:customStyle="1" w:styleId="Italic">
    <w:name w:val="Italic"/>
    <w:uiPriority w:val="1"/>
    <w:rsid w:val="00984DC0"/>
    <w:rPr>
      <w:i/>
    </w:rPr>
  </w:style>
  <w:style w:type="paragraph" w:customStyle="1" w:styleId="Normal12a24b">
    <w:name w:val="Normal12a24b"/>
    <w:basedOn w:val="Normal"/>
    <w:rsid w:val="00984DC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984DC0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84DC0"/>
    <w:rPr>
      <w:snapToGrid w:val="0"/>
      <w:sz w:val="24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0/2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68F19-B102-4B41-AC3E-48999E5C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6877</Words>
  <Characters>41367</Characters>
  <Application>Microsoft Office Word</Application>
  <DocSecurity>0</DocSecurity>
  <Lines>880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DIMITROV Cvetan</cp:lastModifiedBy>
  <cp:revision>2</cp:revision>
  <cp:lastPrinted>2004-11-19T15:42:00Z</cp:lastPrinted>
  <dcterms:created xsi:type="dcterms:W3CDTF">2025-07-16T10:23:00Z</dcterms:created>
  <dcterms:modified xsi:type="dcterms:W3CDTF">2025-07-16T10:23:00Z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A10-0093/2025</vt:lpwstr>
  </property>
  <property fmtid="{D5CDD505-2E9C-101B-9397-08002B2CF9AE}" pid="4" name="&lt;Type&gt;">
    <vt:lpwstr>RR</vt:lpwstr>
  </property>
</Properties>
</file>