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225C6" w14:paraId="6ED35E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BD5DCA" w14:textId="77777777" w:rsidR="00751A4A" w:rsidRPr="007225C6" w:rsidRDefault="003515FE" w:rsidP="0010095E">
            <w:pPr>
              <w:pStyle w:val="EPName"/>
            </w:pPr>
            <w:r w:rsidRPr="007225C6">
              <w:t>Europski parlament</w:t>
            </w:r>
          </w:p>
          <w:p w14:paraId="3CC3CBAD" w14:textId="77777777" w:rsidR="00751A4A" w:rsidRPr="007225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225C6">
              <w:t>2024</w:t>
            </w:r>
            <w:r w:rsidR="00817416" w:rsidRPr="007225C6">
              <w:t>-202</w:t>
            </w:r>
            <w:r w:rsidRPr="007225C6">
              <w:t>9</w:t>
            </w:r>
          </w:p>
        </w:tc>
        <w:tc>
          <w:tcPr>
            <w:tcW w:w="2268" w:type="dxa"/>
            <w:shd w:val="clear" w:color="auto" w:fill="auto"/>
          </w:tcPr>
          <w:p w14:paraId="3E6975A7" w14:textId="77777777" w:rsidR="00751A4A" w:rsidRPr="007225C6" w:rsidRDefault="00187494" w:rsidP="0010095E">
            <w:pPr>
              <w:pStyle w:val="EPLogo"/>
            </w:pPr>
            <w:r w:rsidRPr="007225C6">
              <w:rPr>
                <w:noProof/>
                <w:lang w:val="en-GB" w:eastAsia="zh-CN"/>
              </w:rPr>
              <w:drawing>
                <wp:inline distT="0" distB="0" distL="0" distR="0" wp14:anchorId="54CE4013" wp14:editId="077D01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D4EF76" w14:textId="77777777" w:rsidR="00D058B8" w:rsidRPr="007225C6" w:rsidRDefault="00D058B8" w:rsidP="004C5D52">
      <w:pPr>
        <w:pStyle w:val="LineTop"/>
      </w:pPr>
    </w:p>
    <w:p w14:paraId="2CF34CB9" w14:textId="77777777" w:rsidR="00680577" w:rsidRPr="007225C6" w:rsidRDefault="003515FE" w:rsidP="00680577">
      <w:pPr>
        <w:pStyle w:val="EPBodyTA1"/>
      </w:pPr>
      <w:r w:rsidRPr="007225C6">
        <w:t>USVOJENI TEKSTOVI</w:t>
      </w:r>
    </w:p>
    <w:p w14:paraId="0CD31A4B" w14:textId="77777777" w:rsidR="00D058B8" w:rsidRPr="007225C6" w:rsidRDefault="00D058B8" w:rsidP="00D058B8">
      <w:pPr>
        <w:pStyle w:val="LineBottom"/>
      </w:pPr>
    </w:p>
    <w:p w14:paraId="19A474DB" w14:textId="77777777" w:rsidR="003515FE" w:rsidRPr="007225C6" w:rsidRDefault="003515FE" w:rsidP="003515FE">
      <w:pPr>
        <w:pStyle w:val="ATHeading1"/>
      </w:pPr>
      <w:bookmarkStart w:id="0" w:name="TANumber"/>
      <w:r w:rsidRPr="007225C6">
        <w:t>P10_TA(2025)0</w:t>
      </w:r>
      <w:r w:rsidR="00ED4D76">
        <w:t>13</w:t>
      </w:r>
      <w:r w:rsidRPr="007225C6">
        <w:t>0</w:t>
      </w:r>
      <w:bookmarkEnd w:id="0"/>
    </w:p>
    <w:p w14:paraId="5523C595" w14:textId="77777777" w:rsidR="003515FE" w:rsidRPr="007225C6" w:rsidRDefault="003515FE" w:rsidP="003515FE">
      <w:pPr>
        <w:pStyle w:val="ATHeading2"/>
      </w:pPr>
      <w:bookmarkStart w:id="1" w:name="title"/>
      <w:r w:rsidRPr="007225C6">
        <w:t>Izvješća Komisije o Crnoj Gori za 2023. i 2024.</w:t>
      </w:r>
      <w:bookmarkEnd w:id="1"/>
    </w:p>
    <w:p w14:paraId="585FBEAB" w14:textId="77777777" w:rsidR="003515FE" w:rsidRPr="007225C6" w:rsidRDefault="003515FE" w:rsidP="003515FE">
      <w:pPr>
        <w:rPr>
          <w:i/>
          <w:vanish/>
        </w:rPr>
      </w:pPr>
      <w:r w:rsidRPr="007225C6">
        <w:rPr>
          <w:i/>
        </w:rPr>
        <w:fldChar w:fldCharType="begin"/>
      </w:r>
      <w:r w:rsidRPr="007225C6">
        <w:rPr>
          <w:i/>
        </w:rPr>
        <w:instrText xml:space="preserve"> TC"(</w:instrText>
      </w:r>
      <w:bookmarkStart w:id="2" w:name="DocNumber"/>
      <w:r w:rsidRPr="007225C6">
        <w:rPr>
          <w:i/>
        </w:rPr>
        <w:instrText>A10-0093/2025</w:instrText>
      </w:r>
      <w:bookmarkEnd w:id="2"/>
      <w:r w:rsidRPr="007225C6">
        <w:rPr>
          <w:i/>
        </w:rPr>
        <w:instrText xml:space="preserve"> - Izvjestitelj: Marjan </w:instrText>
      </w:r>
      <w:proofErr w:type="spellStart"/>
      <w:r w:rsidRPr="007225C6">
        <w:rPr>
          <w:i/>
        </w:rPr>
        <w:instrText>Šarec</w:instrText>
      </w:r>
      <w:proofErr w:type="spellEnd"/>
      <w:r w:rsidRPr="007225C6">
        <w:rPr>
          <w:i/>
        </w:rPr>
        <w:instrText xml:space="preserve">)"\l3 \n&gt; \* MERGEFORMAT </w:instrText>
      </w:r>
      <w:r w:rsidRPr="007225C6">
        <w:rPr>
          <w:i/>
        </w:rPr>
        <w:fldChar w:fldCharType="end"/>
      </w:r>
    </w:p>
    <w:p w14:paraId="6C228248" w14:textId="77777777" w:rsidR="003515FE" w:rsidRPr="007225C6" w:rsidRDefault="003515FE" w:rsidP="003515FE">
      <w:pPr>
        <w:rPr>
          <w:vanish/>
        </w:rPr>
      </w:pPr>
      <w:bookmarkStart w:id="3" w:name="Commission"/>
      <w:r w:rsidRPr="007225C6">
        <w:rPr>
          <w:vanish/>
        </w:rPr>
        <w:t>Odbor za vanjske poslove</w:t>
      </w:r>
      <w:bookmarkEnd w:id="3"/>
    </w:p>
    <w:p w14:paraId="02ECEE09" w14:textId="77777777" w:rsidR="003515FE" w:rsidRPr="007225C6" w:rsidRDefault="003515FE" w:rsidP="003515FE">
      <w:pPr>
        <w:rPr>
          <w:vanish/>
        </w:rPr>
      </w:pPr>
      <w:bookmarkStart w:id="4" w:name="PE"/>
      <w:r w:rsidRPr="007225C6">
        <w:rPr>
          <w:vanish/>
        </w:rPr>
        <w:t>PE769.896</w:t>
      </w:r>
      <w:bookmarkEnd w:id="4"/>
    </w:p>
    <w:p w14:paraId="567475B5" w14:textId="77777777" w:rsidR="003515FE" w:rsidRPr="007225C6" w:rsidRDefault="003515FE" w:rsidP="003515FE">
      <w:pPr>
        <w:pStyle w:val="ATHeading3"/>
      </w:pPr>
      <w:bookmarkStart w:id="5" w:name="Sujet"/>
      <w:r w:rsidRPr="007225C6">
        <w:t>Rezolu</w:t>
      </w:r>
      <w:r w:rsidR="007225C6">
        <w:t>cija Europskog parlamenta od 18</w:t>
      </w:r>
      <w:r w:rsidRPr="007225C6">
        <w:t xml:space="preserve">. </w:t>
      </w:r>
      <w:r w:rsidR="007225C6">
        <w:t xml:space="preserve">lipnja </w:t>
      </w:r>
      <w:r w:rsidRPr="007225C6">
        <w:t>2025. o izvješćima Komisije o Crnoj Gori za 2023. i 2024.</w:t>
      </w:r>
      <w:bookmarkEnd w:id="5"/>
      <w:r w:rsidRPr="007225C6">
        <w:t xml:space="preserve"> </w:t>
      </w:r>
      <w:bookmarkStart w:id="6" w:name="References"/>
      <w:r w:rsidRPr="007225C6">
        <w:t>(2025/2020(INI))</w:t>
      </w:r>
      <w:bookmarkEnd w:id="6"/>
    </w:p>
    <w:p w14:paraId="4CD48190" w14:textId="77777777" w:rsidR="00D66A4C" w:rsidRPr="007225C6" w:rsidRDefault="00D66A4C" w:rsidP="00D66A4C">
      <w:pPr>
        <w:pStyle w:val="EPComma"/>
      </w:pPr>
      <w:r w:rsidRPr="007225C6">
        <w:rPr>
          <w:rStyle w:val="Italic"/>
        </w:rPr>
        <w:t>Europski parlament,</w:t>
      </w:r>
      <w:r w:rsidRPr="007225C6">
        <w:t>,</w:t>
      </w:r>
    </w:p>
    <w:p w14:paraId="0F7B55DF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Sporazum o stabilizaciji i pridruživanju između Europskih zajednica i njihovih država članica, s jedne strane, i Republike Crne Gore, s druge strane</w:t>
      </w:r>
      <w:r w:rsidRPr="007225C6">
        <w:rPr>
          <w:rStyle w:val="FootnoteReference"/>
        </w:rPr>
        <w:footnoteReference w:id="1"/>
      </w:r>
      <w:r w:rsidRPr="007225C6">
        <w:t>, koji je stupio na snagu 1. svibnja 2010.,</w:t>
      </w:r>
    </w:p>
    <w:p w14:paraId="0999F65A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zahtjev Crne Gore za članstvo u Europskoj uniji od 15. prosinca 2008.,</w:t>
      </w:r>
    </w:p>
    <w:p w14:paraId="728C7FDB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mišljenje Komisije od 9. studenoga 2010. o zahtjevu Crne Gore za članstvo u Europskoj uniji (COM(2010)0670), odluku Europskog vijeća od 16. i 17. prosinca 2010. o dodjeli statusa zemlje kandidatkinje Crnoj Gori te odluku Europskog vijeća od 29. lipnja 2012. o otvaranju pregovora o pristupanju EU-u s Crnom Gorom,</w:t>
      </w:r>
    </w:p>
    <w:p w14:paraId="1311F85C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Uredbu (EU) 2021/1529 Europskog parlamenta i Vijeća od 15. rujna 2021. o uspostavi Instrumenta pretpristupne pomoći (IPA III)</w:t>
      </w:r>
      <w:r w:rsidRPr="007225C6">
        <w:rPr>
          <w:rStyle w:val="FootnoteReference"/>
        </w:rPr>
        <w:footnoteReference w:id="2"/>
      </w:r>
      <w:r w:rsidRPr="007225C6">
        <w:t>,</w:t>
      </w:r>
    </w:p>
    <w:p w14:paraId="3371A861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Uredbu (EU) 2024/1449 Europskog parlamenta i Vijeća od 14. svibnja 2024. o uspostavi Instrumenta za reforme i rast za zapadni Balkan</w:t>
      </w:r>
      <w:r w:rsidRPr="007225C6">
        <w:rPr>
          <w:rStyle w:val="FootnoteReference"/>
        </w:rPr>
        <w:footnoteReference w:id="3"/>
      </w:r>
      <w:r w:rsidRPr="007225C6">
        <w:t>,</w:t>
      </w:r>
    </w:p>
    <w:p w14:paraId="2A556B9A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zaključke Predsjedništva sa sastanka Europskog vijeća u Solunu od 19. i 20. lipnja 2003.,</w:t>
      </w:r>
    </w:p>
    <w:p w14:paraId="2A0DCF09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izjavu iz Sofije sa sastanka na vrhu EU-a i zemalja zapadnog Balkana od 17. svibnja 2018. te priloženi program prioriteta,</w:t>
      </w:r>
    </w:p>
    <w:p w14:paraId="6ECC48CF" w14:textId="77777777" w:rsidR="00D66A4C" w:rsidRPr="007225C6" w:rsidRDefault="00D66A4C" w:rsidP="00D66A4C">
      <w:pPr>
        <w:pStyle w:val="NormalHanging12a"/>
      </w:pPr>
      <w:r w:rsidRPr="007225C6">
        <w:lastRenderedPageBreak/>
        <w:t>–</w:t>
      </w:r>
      <w:r w:rsidRPr="007225C6">
        <w:tab/>
        <w:t>uzimajući u obzir izjave sa sastanaka na vrhu EU-a i zapadnog Balkana održanih u Bruxellesu 13. prosinca 2023. i 18. prosinca 2024.,</w:t>
      </w:r>
    </w:p>
    <w:p w14:paraId="2E122469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Berlinski proces pokrenut 28. kolovoza 2014.,</w:t>
      </w:r>
    </w:p>
    <w:p w14:paraId="090BA9B0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komunikaciju Komisije od 6. listopada 2020. naslovljenu „Gospodarski i investicijski plan za zapadni Balkan” (COM(2020)0641),</w:t>
      </w:r>
    </w:p>
    <w:p w14:paraId="1F797ABD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komunikaciju Komisije od 8. studenoga 2023. naslovljenu „Politika proširenja EU-a za 2023.” (COM(2023)0690) i priloženi radni dokument službi Komisije naslovljen „Izvješće o Crnoj Gori za 2023.” (SWD(2023)0694),</w:t>
      </w:r>
    </w:p>
    <w:p w14:paraId="1266682C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komunikaciju Komisije od 8. studenoga 2023. naslovljenu „Novi plan rasta za zapadni Balkan” (COM(2023)0691),</w:t>
      </w:r>
    </w:p>
    <w:p w14:paraId="7DB72CB5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Komunikaciju Komisije od 20. ožujka 2024. o reformama i preispitivanjima politika prije proširenja (COM(2024)0146),</w:t>
      </w:r>
    </w:p>
    <w:p w14:paraId="773B1BF4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komunikaciju Komisije od 24. srpnja 2024. naslovljenu „Izvješće o vladavini prava za 2024.” (COM(2024)0800) i priloženi radni dokument službi Komisije naslovljen „Izvješće o vladavini prava za 2024. Stanje vladavine prava u Europskoj uniji. Poglavlje o stanju vladavine prava u Crnoj Gori” (SWD(2024)0829),</w:t>
      </w:r>
    </w:p>
    <w:p w14:paraId="31AC57C0" w14:textId="79B968F2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komunikaciju Komisije od 30. listopada 2024. naslovljenu „Politika proširenja EU-a za 2024.” (COM(2024)0690) i priloženi radni dokument službi Komisije naslovljen „Izvješće o Crnoj Gori za 2024.” (SWD(202</w:t>
      </w:r>
      <w:r w:rsidR="008351D9">
        <w:t>4</w:t>
      </w:r>
      <w:r w:rsidRPr="007225C6">
        <w:t>)0694),</w:t>
      </w:r>
    </w:p>
    <w:p w14:paraId="3BAF412F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 xml:space="preserve">uzimajući u obzir Komisijin pregled i ocjene programa gospodarskih reformi Crne Gore od 31. svibnja 2023. i 13. lipnja 2024., zajedničke zaključke ekonomskog i financijskog dijaloga između EU-a i zapadnog Balkana i Turske, koje je Vijeće usvojilo 16. svibnja 2023., te zajedničke zaključke ekonomskog i financijskog dijaloga između EU-a i partnera sa zapadnog Balkana, Turske, Gruzije, Republike </w:t>
      </w:r>
      <w:proofErr w:type="spellStart"/>
      <w:r w:rsidRPr="007225C6">
        <w:t>Moldove</w:t>
      </w:r>
      <w:proofErr w:type="spellEnd"/>
      <w:r w:rsidRPr="007225C6">
        <w:t xml:space="preserve"> i Ukrajine, koje je Vijeće usvojilo 14. svibnja 2024.,</w:t>
      </w:r>
    </w:p>
    <w:p w14:paraId="4D647925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međuvladine konferencije o pristupanju između EU-a i Crne Gore od 22. lipnja 2021., 13. prosinca 2021., 29. siječnja 2024., 26. lipnja 2024. i 16. prosinca 2024.,</w:t>
      </w:r>
    </w:p>
    <w:p w14:paraId="22886ED0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11. sastanak Vijeća za stabilizaciju i pridruživanje EU-a i Crne Gore održan 14. srpnja 2022.,</w:t>
      </w:r>
    </w:p>
    <w:p w14:paraId="670FEA64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izjavu i preporuke s 22. sjednice Parlamentarnog odbora Europske unije i Crne Gore za stabilizaciju i pridruživanje, održane 31. listopada i 1. studenoga 2024.,</w:t>
      </w:r>
    </w:p>
    <w:p w14:paraId="689FED72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pristupanje Crne Gore NATO-u 5. lipnja 2017.,</w:t>
      </w:r>
    </w:p>
    <w:p w14:paraId="5A651690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tematsko izvješće br. 01/2022 Europskog revizorskog suda od 10. siječnja 2022. naslovljeno „Potpora EU-a vladavini prava na zapadnom Balkanu: unatoč nastojanjima temeljni problemi ostaju neriješeni”,</w:t>
      </w:r>
    </w:p>
    <w:p w14:paraId="731F7E95" w14:textId="77777777" w:rsidR="00D66A4C" w:rsidRPr="007225C6" w:rsidRDefault="00D66A4C" w:rsidP="00D66A4C">
      <w:pPr>
        <w:pStyle w:val="NormalHanging12a"/>
      </w:pPr>
      <w:r w:rsidRPr="007225C6">
        <w:lastRenderedPageBreak/>
        <w:t>–</w:t>
      </w:r>
      <w:r w:rsidRPr="007225C6">
        <w:tab/>
        <w:t>uzimajući u obzir Konvenciju Vijeća Europe o sprečavanju i borbi protiv nasilja nad ženama i nasilja u obitelji (</w:t>
      </w:r>
      <w:proofErr w:type="spellStart"/>
      <w:r w:rsidRPr="007225C6">
        <w:t>Istanbulska</w:t>
      </w:r>
      <w:proofErr w:type="spellEnd"/>
      <w:r w:rsidRPr="007225C6">
        <w:t xml:space="preserve"> konvencija), koju je Crna Gora ratificirala 2013., te preporuke Komisije o rodnoj ravnopravnosti i borbi protiv rodno uvjetovanog nasilja,</w:t>
      </w:r>
    </w:p>
    <w:p w14:paraId="1A480607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izvješće o svjetskom indeksu slobode medija koje svake godine objavljuje organizacija Reporteri bez granica,</w:t>
      </w:r>
    </w:p>
    <w:p w14:paraId="581C0399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podatke Agencije UN-a za izbjeglice (UNHCR) iz travnja 2025. o stanju izbjeglica iz Ukrajine,</w:t>
      </w:r>
    </w:p>
    <w:p w14:paraId="45C2E23E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svoju preporuku Vijeću, Komisiji i potpredsjedniku Komisije / visokom predstavniku Unije za vanjske poslove i sigurnosnu politiku od 23. studenoga 2022. o novoj strategiji EU-a za proširenje</w:t>
      </w:r>
      <w:r w:rsidRPr="007225C6">
        <w:rPr>
          <w:rStyle w:val="FootnoteReference"/>
        </w:rPr>
        <w:footnoteReference w:id="4"/>
      </w:r>
      <w:r w:rsidRPr="007225C6">
        <w:t>,</w:t>
      </w:r>
    </w:p>
    <w:p w14:paraId="606E404F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svoje prethodne rezolucije o Crnoj Gori,</w:t>
      </w:r>
    </w:p>
    <w:p w14:paraId="00A60419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svoju Rezoluciju od 29. veljače 2024. o produbljenju integracije EU-a s obzirom na buduće proširenje</w:t>
      </w:r>
      <w:r w:rsidRPr="007225C6">
        <w:rPr>
          <w:vertAlign w:val="superscript"/>
        </w:rPr>
        <w:footnoteReference w:id="5"/>
      </w:r>
      <w:r w:rsidRPr="007225C6">
        <w:t>,</w:t>
      </w:r>
    </w:p>
    <w:p w14:paraId="7BF7EE0C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članak 55. Poslovnika,</w:t>
      </w:r>
    </w:p>
    <w:p w14:paraId="717440B0" w14:textId="77777777" w:rsidR="00D66A4C" w:rsidRPr="007225C6" w:rsidRDefault="00D66A4C" w:rsidP="00D66A4C">
      <w:pPr>
        <w:pStyle w:val="NormalHanging12a"/>
      </w:pPr>
      <w:r w:rsidRPr="007225C6">
        <w:t>–</w:t>
      </w:r>
      <w:r w:rsidRPr="007225C6">
        <w:tab/>
        <w:t>uzimajući u obzir izvješće Odbora za vanjske poslove (A10-0093/2025),</w:t>
      </w:r>
    </w:p>
    <w:p w14:paraId="13E28EC2" w14:textId="77777777" w:rsidR="00D66A4C" w:rsidRPr="007225C6" w:rsidRDefault="00D66A4C" w:rsidP="00D66A4C">
      <w:pPr>
        <w:pStyle w:val="NormalHanging12a"/>
      </w:pPr>
      <w:r w:rsidRPr="007225C6">
        <w:t>A.</w:t>
      </w:r>
      <w:r w:rsidRPr="007225C6">
        <w:tab/>
        <w:t>budući da je proširenje glavni instrument vanjske politike EU-a te strateško geopolitičko ulaganje u mir, stabilnost, sigurnost i blagostanje;</w:t>
      </w:r>
    </w:p>
    <w:p w14:paraId="758B74D3" w14:textId="77777777" w:rsidR="00D66A4C" w:rsidRPr="007225C6" w:rsidRDefault="00D66A4C" w:rsidP="00D66A4C">
      <w:pPr>
        <w:pStyle w:val="NormalHanging12a"/>
      </w:pPr>
      <w:r w:rsidRPr="007225C6">
        <w:t>B.</w:t>
      </w:r>
      <w:r w:rsidRPr="007225C6">
        <w:tab/>
        <w:t xml:space="preserve">budući da je novi zamah proširenja izazvan promjenjivom geopolitičkom stvarnošću i zahtjevima nekoliko zemalja Istočnog partnerstva za članstvo u Europskoj uniji potaknuo EU da ubrza napore za ispunjenje </w:t>
      </w:r>
      <w:proofErr w:type="spellStart"/>
      <w:r w:rsidRPr="007225C6">
        <w:t>dugoočekivanih</w:t>
      </w:r>
      <w:proofErr w:type="spellEnd"/>
      <w:r w:rsidRPr="007225C6">
        <w:t xml:space="preserve"> obećanja zapadnom Balkanu; budući da je Europska unija budućnost zemalja zapadnog Balkana;</w:t>
      </w:r>
    </w:p>
    <w:p w14:paraId="020DC661" w14:textId="77777777" w:rsidR="00D66A4C" w:rsidRPr="007225C6" w:rsidRDefault="00D66A4C" w:rsidP="00D66A4C">
      <w:pPr>
        <w:pStyle w:val="NormalHanging12a"/>
      </w:pPr>
      <w:r w:rsidRPr="007225C6">
        <w:t>C.</w:t>
      </w:r>
      <w:r w:rsidRPr="007225C6">
        <w:tab/>
        <w:t xml:space="preserve">budući da se svaka zemlja ocjenjuje na temelju vlastitih zasluga u ispunjavanju </w:t>
      </w:r>
      <w:proofErr w:type="spellStart"/>
      <w:r w:rsidRPr="007225C6">
        <w:t>Kopenhaških</w:t>
      </w:r>
      <w:proofErr w:type="spellEnd"/>
      <w:r w:rsidRPr="007225C6">
        <w:t xml:space="preserve"> kriterija, uključujući potpuno poštovanje demokracije, vladavine prava, dobrog upravljanja, temeljnih vrijednosti EU-a te usklađenosti s vanjskom i sigurnosnom politikom EU-a; budući da raspored i napredak u procesu pristupanja ovise o provedbi potrebnih reformi u području „temeljnih pitanja”;</w:t>
      </w:r>
    </w:p>
    <w:p w14:paraId="6580374D" w14:textId="77777777" w:rsidR="00D66A4C" w:rsidRPr="007225C6" w:rsidRDefault="00D66A4C" w:rsidP="00D66A4C">
      <w:pPr>
        <w:pStyle w:val="NormalHanging12a"/>
      </w:pPr>
      <w:r w:rsidRPr="007225C6">
        <w:t>D.</w:t>
      </w:r>
      <w:r w:rsidRPr="007225C6">
        <w:tab/>
        <w:t>budući da je Crna Gora ostvarila najveći napredak u procesu pristupanja, odnosno otvorila je sva 33 poglavlja pravne stečevine EU-a i privremeno ih zatvorila šest, te da za to ima veliku potporu javnosti;</w:t>
      </w:r>
    </w:p>
    <w:p w14:paraId="02D66A6F" w14:textId="77777777" w:rsidR="00D66A4C" w:rsidRPr="007225C6" w:rsidRDefault="00D66A4C" w:rsidP="00D66A4C">
      <w:pPr>
        <w:pStyle w:val="NormalHanging12a"/>
      </w:pPr>
      <w:r w:rsidRPr="007225C6">
        <w:t>E</w:t>
      </w:r>
      <w:r w:rsidR="009220E3">
        <w:t>.</w:t>
      </w:r>
      <w:r w:rsidRPr="007225C6">
        <w:tab/>
        <w:t xml:space="preserve">budući da je EU najveći trgovinski partner Crne Gore te najveći investitor i pružatelj financijske pomoći toj zemlji; </w:t>
      </w:r>
    </w:p>
    <w:p w14:paraId="76BDC630" w14:textId="77777777" w:rsidR="00D66A4C" w:rsidRPr="007225C6" w:rsidRDefault="00D66A4C" w:rsidP="00D66A4C">
      <w:pPr>
        <w:pStyle w:val="NormalHanging12a"/>
      </w:pPr>
      <w:r w:rsidRPr="007225C6">
        <w:t>F</w:t>
      </w:r>
      <w:r w:rsidR="009220E3">
        <w:t>.</w:t>
      </w:r>
      <w:r w:rsidRPr="007225C6">
        <w:tab/>
        <w:t xml:space="preserve">budući da je Crna Gora izložena zlonamjernom stranom utjecaju, kampanjama dezinformiranja i drugim oblicima utjecaja, uključujući upletanje u izbore, strategije hibridnog ratovanja i nepovoljna ulaganja aktera izvan EU-a, posebno Rusije i Kine, koji pokušavaju utjecati na politički, gospodarski i strateški smjer Crne Gore te ugroziti </w:t>
      </w:r>
      <w:r w:rsidRPr="007225C6">
        <w:lastRenderedPageBreak/>
        <w:t>demokratske procese i integritet medija, čime se ugrožavaju izgledi te zemlje za pristupanje Europskoj uniji;</w:t>
      </w:r>
    </w:p>
    <w:p w14:paraId="69692389" w14:textId="77777777" w:rsidR="00D66A4C" w:rsidRPr="007225C6" w:rsidRDefault="00D66A4C" w:rsidP="00D66A4C">
      <w:pPr>
        <w:pStyle w:val="NormalHanging12a"/>
      </w:pPr>
      <w:r w:rsidRPr="007225C6">
        <w:t>G.</w:t>
      </w:r>
      <w:r w:rsidRPr="007225C6">
        <w:tab/>
        <w:t>budući da je 8. lipnja 2024. u Beogradu održan „Svesrpski sabor” uz sudjelovanje visokopozicioniranih parlamentaraca pod sloganom „Jedan narod, jedan sabor”;</w:t>
      </w:r>
    </w:p>
    <w:p w14:paraId="01853888" w14:textId="77777777" w:rsidR="00D66A4C" w:rsidRPr="007225C6" w:rsidRDefault="00D66A4C" w:rsidP="00D66A4C">
      <w:pPr>
        <w:pStyle w:val="Normal12a24b"/>
      </w:pPr>
      <w:r w:rsidRPr="007225C6">
        <w:rPr>
          <w:rStyle w:val="BoldItalic"/>
        </w:rPr>
        <w:t>Predanost pristupanju EU-u</w:t>
      </w:r>
    </w:p>
    <w:p w14:paraId="6ED67340" w14:textId="77777777" w:rsidR="00D66A4C" w:rsidRPr="007225C6" w:rsidRDefault="00D66A4C" w:rsidP="00D66A4C">
      <w:pPr>
        <w:pStyle w:val="NormalHanging12a"/>
      </w:pPr>
      <w:r w:rsidRPr="007225C6">
        <w:t>1.</w:t>
      </w:r>
      <w:r w:rsidRPr="007225C6">
        <w:tab/>
        <w:t>svjestan je snažne predanosti Crne Gore pristupanju Europskoj uniji i ponovno iskazuje punu potporu budućem članstvu te zemlje u EU-u; pozdravlja vodeći regionalni položaj Crne Gore u procesu pristupanja Uniji te golemu potporu građana Crne Gore i većine političkih aktera pristupanju EU-u 2028.;</w:t>
      </w:r>
    </w:p>
    <w:p w14:paraId="341040C8" w14:textId="77777777" w:rsidR="00D66A4C" w:rsidRPr="007225C6" w:rsidRDefault="00D66A4C" w:rsidP="00D66A4C">
      <w:pPr>
        <w:pStyle w:val="NormalHanging12a"/>
      </w:pPr>
      <w:r w:rsidRPr="007225C6">
        <w:t>2.</w:t>
      </w:r>
      <w:r w:rsidRPr="007225C6">
        <w:tab/>
        <w:t>pozdravlja pozitivan napredak Crne Gore u provedbi reformi i mjera povezanih s EU</w:t>
      </w:r>
      <w:r w:rsidRPr="007225C6">
        <w:noBreakHyphen/>
        <w:t>om zahvaljujući ambicioznim rokovima te poziva na zajedničke napore političkih aktera, civilnog društva i građana; pohvaljuje Crnu Goru za ispunjavanje privremenih mjerila za poglavlja 23. i 24., o kojima i dalje ovisi opći tempo pregovora, te za dobivanje pozitivne ocjene u Izvješću o procjeni privremenih mjerila; pozdravlja zatvaranje još triju pregovaračkih poglavlja, kojih je sada ukupno zatvoreno šest;</w:t>
      </w:r>
    </w:p>
    <w:p w14:paraId="6E9218A3" w14:textId="77777777" w:rsidR="00D66A4C" w:rsidRPr="007225C6" w:rsidRDefault="00D66A4C" w:rsidP="00D66A4C">
      <w:pPr>
        <w:pStyle w:val="NormalHanging12a"/>
      </w:pPr>
      <w:r w:rsidRPr="007225C6">
        <w:t>3.</w:t>
      </w:r>
      <w:r w:rsidRPr="007225C6">
        <w:tab/>
        <w:t>potiče sve političke aktere da ostanu fokusirani na europsku integraciju i potrebne reforme; naglašava da je za brzo i učinkovitije zatvaranje preostalih poglavlja 2025., kako bi Crna Gora ispunila svoje ambiciozne rokove, potrebna politička stabilnost, predanost i konstruktivan angažman u izgradnji konsenzusa svih političkih stranaka; naglašava da se donesene reforme moraju učinkovito i dosljedno provoditi kako bi se osigurao stvaran napredak i potpuna usklađenost sa zakonodavstvom EU-a; poziva na bolje funkcioniranje državnih institucija i koordinaciju među njima kako bi se postigla politička stabilnost i poticao znatan napredak Crne Gore u provedbi ključnih reformi povezanih s EU-om, posebno u izbornim i pravosudnim reformama te u borbi protiv organiziranog kriminala i korupcije;</w:t>
      </w:r>
    </w:p>
    <w:p w14:paraId="75C81933" w14:textId="77777777" w:rsidR="00D66A4C" w:rsidRPr="007225C6" w:rsidRDefault="00D66A4C" w:rsidP="00D66A4C">
      <w:pPr>
        <w:pStyle w:val="NormalHanging12a"/>
      </w:pPr>
      <w:r w:rsidRPr="007225C6">
        <w:t>4.</w:t>
      </w:r>
      <w:r w:rsidRPr="007225C6">
        <w:tab/>
        <w:t>naglašava da bi vjerodostojnost EU-a, uključujući njegovu politiku proširenja u cjelini, bila ugrožena kada konkretan napredak koji su postigle određene zemlje zapadnog Balkana ne bi doveo do jasnog napretka na putu pristupanja Europskoj uniji;</w:t>
      </w:r>
    </w:p>
    <w:p w14:paraId="187BC0A0" w14:textId="77777777" w:rsidR="00D66A4C" w:rsidRPr="007225C6" w:rsidRDefault="00D66A4C" w:rsidP="00D66A4C">
      <w:pPr>
        <w:pStyle w:val="NormalHanging12a"/>
      </w:pPr>
      <w:r w:rsidRPr="007225C6">
        <w:t>5.</w:t>
      </w:r>
      <w:r w:rsidRPr="007225C6">
        <w:tab/>
        <w:t xml:space="preserve">pozdravlja kontinuirano i potpuno usklađivanje Crne Gore sa zajedničkom vanjskom i sigurnosnom politikom (ZVSP) EU-a, uključujući </w:t>
      </w:r>
      <w:proofErr w:type="spellStart"/>
      <w:r w:rsidRPr="007225C6">
        <w:t>Unijine</w:t>
      </w:r>
      <w:proofErr w:type="spellEnd"/>
      <w:r w:rsidRPr="007225C6">
        <w:t xml:space="preserve"> mjere ograničavanja, među ostalim mjere koje se odnose na rusku ratnu agresiju na Ukrajinu te mjere usmjerene protiv kibernetičkih napada, kao i njezinu potporu međunarodnom poretku utemeljenom na pravilima na razini Ujedinjenih naroda; potiče Crnu Goru da ojača provedbu mjera ograničavanja i spriječi njihovo zaobilaženje te da zaplijeni imovinu sankcioniranih osoba; poziva sve predstavnike vlade da poštuju i promiču usklađivanje sa ZVSP-om i vrijednostima EU-a te da se suzdrže od svih aktivnosti koje bi mogle ugroziti strateški put Crne Gore prema članstvu u Uniji i njezinu suverenost; u tom je kontekstu vrlo zabrinut zbog izjava visokih javnih dužnosnika kojima podupiru predsjednika entiteta Republike Srpske Milorada Dodika, koji podriva suverenitet i teritorijalnu cjelovitost Bosne i Hercegovine; žali zbog sudjelovanja visokopozicioniranih parlamentaraca iz Crne Gore na Svesrpskom saboru u Beogradu te zbog njihove potpore deklaraciji usvojenoj tom prilikom kojom se podriva suverenitet Crne Gore, Bosne i Hercegovine te Kosova;</w:t>
      </w:r>
    </w:p>
    <w:p w14:paraId="5E9980C8" w14:textId="77777777" w:rsidR="00D66A4C" w:rsidRPr="007225C6" w:rsidRDefault="00D66A4C" w:rsidP="00D66A4C">
      <w:pPr>
        <w:pStyle w:val="NormalHanging12a"/>
      </w:pPr>
      <w:r w:rsidRPr="007225C6">
        <w:lastRenderedPageBreak/>
        <w:t>6.</w:t>
      </w:r>
      <w:r w:rsidRPr="007225C6">
        <w:tab/>
        <w:t xml:space="preserve">naglašava stratešku važnost članstva Crne Gore u NATO-u te pozdravlja njezino aktivno sudjelovanje u misijama i operacijama zajedničke sigurnosne i obrambene politike EU-a, kao što je operacija pomorskih snaga EU-a </w:t>
      </w:r>
      <w:proofErr w:type="spellStart"/>
      <w:r w:rsidRPr="007225C6">
        <w:t>Atalanta</w:t>
      </w:r>
      <w:proofErr w:type="spellEnd"/>
      <w:r w:rsidRPr="007225C6">
        <w:t>, te u NATO-ovim i drugim međunarodnim i multilateralnim misijama; pozdravlja odluku Vijeća za obranu i sigurnost Crne Gore o odobrenju sudjelovanja crnogorskih oružanih snaga u misiji EU-a za vojnu pomoć za potporu Ukrajini i u NATO-ovoj sigurnosnoj pomoći i osposobljavanju za Ukrajinu te poziva Skupštinu Crne Gore da usvoji te odluke, čime bi se pojačala predanost zemlje kolektivnoj sigurnosti;</w:t>
      </w:r>
    </w:p>
    <w:p w14:paraId="41EE5D83" w14:textId="77777777" w:rsidR="00D66A4C" w:rsidRPr="007225C6" w:rsidRDefault="00D66A4C" w:rsidP="00D66A4C">
      <w:pPr>
        <w:pStyle w:val="NormalHanging12a"/>
      </w:pPr>
      <w:r w:rsidRPr="007225C6">
        <w:t>7.</w:t>
      </w:r>
      <w:r w:rsidRPr="007225C6">
        <w:tab/>
        <w:t>pohvaljuje Crnu Goru za humanitarnu i materijalnu potporu Ukrajini te za produljenje mehanizma privremene zaštite, kojim se osobama koje bježe iz Ukrajine daje pravo boravka u Crnoj Gori na godinu dana; podsjeća da je Crna Gora među zemljama zapadnog Balkana koje su primile najveći broj ukrajinskih izbjeglica, pri čemu je prema statističkim podacima UNHCR-a do 31. siječnja 2025. u Crnoj Gori registrirano više od 18 800 izbjeglica iz Ukrajine;</w:t>
      </w:r>
    </w:p>
    <w:p w14:paraId="708630CC" w14:textId="77777777" w:rsidR="00D66A4C" w:rsidRPr="007225C6" w:rsidRDefault="00D66A4C" w:rsidP="00D66A4C">
      <w:pPr>
        <w:pStyle w:val="NormalHanging12a"/>
      </w:pPr>
      <w:r w:rsidRPr="007225C6">
        <w:t>8.</w:t>
      </w:r>
      <w:r w:rsidRPr="007225C6">
        <w:tab/>
        <w:t>i dalje je ozbiljno zabrinut zbog zlonamjernog vanjskog upletanja, pokušaja destabilizacije, kibernetičkih napada, hibridnih prijetnji i kampanja dezinformiranja, među ostalim pokušaja utjecanja na političke procese i javno mnijenje, koje provode akteri iz trećih zemalja, kojima se diskreditira Europska unija i podriva napredak Crne Gore u procesu pristupanja; potiče Crnu Goru da donese protumjere uz snažniju suradnju s EU-om i NATO-om te u obliku povećane regionalne suradnje među zemljama zapadnog Balkana; napominje da se vjerske institucije mogu koristiti kao sredstvo vanjskog utjecaja i osuđuje svako neopravdano upletanje Srpske pravoslavne crkve u tom pogledu; ponovno ističe važnost izgradnje kapaciteta za otpornost na vanjske manipulacije informacijama i upletanje, među ostalim većim nadzorom medijskog prostora, kampanjama za podizanje razine osviještenosti javnosti i programima medijske pismenosti; preporučuje Crnoj Gori da osnuje posebnu radnu skupinu za hibridne prijetnje;</w:t>
      </w:r>
    </w:p>
    <w:p w14:paraId="670AE384" w14:textId="77777777" w:rsidR="00D66A4C" w:rsidRPr="007225C6" w:rsidRDefault="00D66A4C" w:rsidP="00D66A4C">
      <w:pPr>
        <w:pStyle w:val="NormalHanging12a"/>
      </w:pPr>
      <w:r w:rsidRPr="007225C6">
        <w:t>9.</w:t>
      </w:r>
      <w:r w:rsidRPr="007225C6">
        <w:tab/>
        <w:t xml:space="preserve">potiče Komisiju, Europsku službu za vanjsko djelovanje (ESVD), Delegaciju EU-a u Crnoj Gori i crnogorske vlasti da pojačaju stratešku komunikaciju s crnogorskim građanima o koristima procesa proširenja i članstva u Uniji te o konkretnim pristupnim kriterijima koje Crna Gora još treba ispuniti za usklađivanje sa zahtjevima EU-a; nadalje, potiče ih da poboljšaju vidljivost Europske unije u toj zemlji, među ostalim u pogledu projekata koje EU financira; poziva na to da se praćenje koje provodi </w:t>
      </w:r>
      <w:proofErr w:type="spellStart"/>
      <w:r w:rsidRPr="007225C6">
        <w:t>StratCom</w:t>
      </w:r>
      <w:proofErr w:type="spellEnd"/>
      <w:r w:rsidRPr="007225C6">
        <w:t xml:space="preserve"> proširi kako bi se usredotočilo na prekogranične prijetnje dezinformacijama u zemljama zapadnog Balkana i susjednim zemljama; traži od Komisije da dodatno podrži napore ESVD-a i Radne skupine za zapadni Balkan kako bi proširile svoje aktivnosti informiranja povećanjem vidljivosti u lokalnim medijima, izvješćima o provjeri činjenica i partnerstvom s organizacijama civilnog društva radi učinkovitijeg suzbijanja lažnih diskursa;</w:t>
      </w:r>
    </w:p>
    <w:p w14:paraId="27C71DE4" w14:textId="77777777" w:rsidR="00D66A4C" w:rsidRPr="007225C6" w:rsidRDefault="00D66A4C" w:rsidP="00D66A4C">
      <w:pPr>
        <w:pStyle w:val="NormalHanging12a"/>
      </w:pPr>
      <w:r w:rsidRPr="007225C6">
        <w:t>10.</w:t>
      </w:r>
      <w:r w:rsidRPr="007225C6">
        <w:tab/>
        <w:t>pozdravlja ponovni angažman Skupštine Crne Gore u Parlamentarnom odboru za stabilizaciju i pridruživanje;</w:t>
      </w:r>
    </w:p>
    <w:p w14:paraId="1CD26CA0" w14:textId="77777777" w:rsidR="00D66A4C" w:rsidRPr="007225C6" w:rsidRDefault="00D66A4C" w:rsidP="00D66A4C">
      <w:pPr>
        <w:pStyle w:val="Normal12a24b"/>
      </w:pPr>
      <w:r w:rsidRPr="007225C6">
        <w:rPr>
          <w:rStyle w:val="BoldItalic"/>
        </w:rPr>
        <w:t>Demokracija i vladavina prava</w:t>
      </w:r>
    </w:p>
    <w:p w14:paraId="4F9E03D3" w14:textId="77777777" w:rsidR="00D66A4C" w:rsidRPr="007225C6" w:rsidRDefault="00D66A4C" w:rsidP="00D66A4C">
      <w:pPr>
        <w:pStyle w:val="NormalHanging12a"/>
      </w:pPr>
      <w:r w:rsidRPr="007225C6">
        <w:t>11.</w:t>
      </w:r>
      <w:r w:rsidRPr="007225C6">
        <w:tab/>
        <w:t xml:space="preserve">svjestan je da Skupština Crne Gore ima ključnu ulogu u procesu pristupanja, posebno u pogledu donošenja zakonodavstva povezanog s pristupanjem, te u tom pogledu naglašava važnost parlamentarne suradnje; ponovno ističe spremnost Europskog </w:t>
      </w:r>
      <w:r w:rsidRPr="007225C6">
        <w:lastRenderedPageBreak/>
        <w:t xml:space="preserve">parlamenta da iskoristi svoje političke i tehničke resurse za unapređenje programa reformi povezanih s EU-om, među ostalim putem aktivnosti za potporu demokraciji; sa zabrinutošću prima na znanje ponovnu pojavu napetosti i etničke polarizacije, što usporava proces reformi; poziva na konstruktivan dijalog i postizanje konsenzusa na cijelom političkom spektru, pri čemu prednost treba dati kvaliteti zakonodavstva, te snažno potiče na pronalaženje rješenja u okviru parlamentarnog dijaloga; poziva na to da se spriječi da se identitetskom politikom pozornost ne preusmjeri s programa EU-a ili ne uvedu napetosti u odnose sa susjedima kako bi se osiguralo da Crna Gora jasno ostane na putu prema Europskoj uniji; pozdravlja dogovor između crnogorskog premijera i oporbenih čelnika da se zatraži mišljenje Venecijanske komisije o prestanku mandata sutkinje Ustavnog suda Dragane </w:t>
      </w:r>
      <w:proofErr w:type="spellStart"/>
      <w:r w:rsidRPr="007225C6">
        <w:t>Đuranović</w:t>
      </w:r>
      <w:proofErr w:type="spellEnd"/>
      <w:r w:rsidRPr="007225C6">
        <w:t xml:space="preserve"> i povratku oporbe u Skupštinu;</w:t>
      </w:r>
    </w:p>
    <w:p w14:paraId="7C059D5A" w14:textId="77777777" w:rsidR="00D66A4C" w:rsidRPr="007225C6" w:rsidRDefault="00D66A4C" w:rsidP="00D66A4C">
      <w:pPr>
        <w:pStyle w:val="NormalHanging12a"/>
      </w:pPr>
      <w:r w:rsidRPr="007225C6">
        <w:t>12.</w:t>
      </w:r>
      <w:r w:rsidRPr="007225C6">
        <w:tab/>
        <w:t>izražava zabrinutost zbog pokušaja izmjene Zakona o crnogorskom državljanstvu u Skupštini Crne Gore, što bi moglo imati ozbiljne i dugotrajne posljedice za postupke donošenja odluka u zemlji i nacionalni identitet, naglašavajući pritom da sve rasprave o identitetskoj politici treba rješavati vrlo oprezno kako bi se izbjegla daljnja polarizacija te da treba težiti širokom društvenom konsenzusu; potiče crnogorske vlasti da se savjetuju s EU-om i s njim koordiniraju sve eventualne izmjene zakona o državljanstvu te ističe važnost postizanja konsenzusa o svim pitanjima koja se tiču te teme od ključne važnosti za identitet i neovisnost Crne Gore;</w:t>
      </w:r>
    </w:p>
    <w:p w14:paraId="7E726E84" w14:textId="77777777" w:rsidR="00D66A4C" w:rsidRPr="007225C6" w:rsidRDefault="00D66A4C" w:rsidP="00D66A4C">
      <w:pPr>
        <w:pStyle w:val="NormalHanging12a"/>
      </w:pPr>
      <w:r w:rsidRPr="007225C6">
        <w:t>13.</w:t>
      </w:r>
      <w:r w:rsidRPr="007225C6">
        <w:tab/>
        <w:t xml:space="preserve">snažno potiče Skupštinu Crne Gore da održava </w:t>
      </w:r>
      <w:proofErr w:type="spellStart"/>
      <w:r w:rsidRPr="007225C6">
        <w:t>uključiva</w:t>
      </w:r>
      <w:proofErr w:type="spellEnd"/>
      <w:r w:rsidRPr="007225C6">
        <w:t xml:space="preserve"> i transparentna javna savjetovanja te redovitu i smislenu komunikaciju s civilnim društvom o donošenju odluka, od rane faze zakonodavnog postupka, posebno za ključno zakonodavstvo u procesu reformi povezanih s EU-om; potiče aktivniju ulogu Ženskog kluba crnogorske Skupštine;</w:t>
      </w:r>
    </w:p>
    <w:p w14:paraId="0706C2A8" w14:textId="77777777" w:rsidR="00D66A4C" w:rsidRPr="007225C6" w:rsidRDefault="00D66A4C" w:rsidP="00D66A4C">
      <w:pPr>
        <w:pStyle w:val="NormalHanging12a"/>
      </w:pPr>
      <w:r w:rsidRPr="007225C6">
        <w:t>14.</w:t>
      </w:r>
      <w:r w:rsidRPr="007225C6">
        <w:tab/>
        <w:t>poziva Crnu Goru da u potpunosti uskladi svoj izborni pravni okvir sa standardima EU</w:t>
      </w:r>
      <w:r w:rsidRPr="007225C6">
        <w:noBreakHyphen/>
        <w:t>a, posebno u pogledu usklađivanja izbornog zakonodavstva, ograničenja prava glasa i kandidature, transparentnosti, mehanizama rješavanja sporova i nadzora kampanja i medija te financiranja političkih stranaka i izbornih kampanja, te je poziva da provede preporuke OESS-ovog Ureda za demokratske institucije i ljudska prava</w:t>
      </w:r>
      <w:r w:rsidRPr="007225C6">
        <w:rPr>
          <w:rStyle w:val="FootnoteReference"/>
        </w:rPr>
        <w:footnoteReference w:id="6"/>
      </w:r>
      <w:r w:rsidRPr="007225C6">
        <w:t>; potiče Crnu Goru da usklađivanjem relevantnog zakonodavstva sa standardima EU-a poveća transparentnost i nadzor nad potrošnjom političkih stranaka i da spriječi zlouporabu državnih sredstava te da poboljša provedbu pravila o financiranju trećih strana i pooštri sankcije za njihovo kršenje; u tom pogledu ističe ulogu Agencije za sprečavanje korupcije i poziva na pojačanu suradnju između te agencije i financijsko-obavještajnih tijela kako bi se otkrio i spriječio strani utjecaj u političkim kampanjama; nadalje, poziva Crnu Goru da provede preporuke Odbora UN-a za uklanjanje diskriminacije žena (CEDAW) o rodnom paritetu na izbornim listama;</w:t>
      </w:r>
    </w:p>
    <w:p w14:paraId="29664E85" w14:textId="77777777" w:rsidR="00D66A4C" w:rsidRPr="007225C6" w:rsidRDefault="00D66A4C" w:rsidP="00D66A4C">
      <w:pPr>
        <w:pStyle w:val="NormalHanging12a"/>
      </w:pPr>
      <w:r w:rsidRPr="007225C6">
        <w:t>15.</w:t>
      </w:r>
      <w:r w:rsidRPr="007225C6">
        <w:tab/>
        <w:t xml:space="preserve">ponovno poziva crnogorske vlasti da na nacionalnoj razini uvedu održavanje općinskih izbora na isti dan, kako je predviđeno Zakonom o lokalnoj samoupravi, kako bi se poboljšala učinkovitost upravljanja, smanjile političke napetosti te pojačala stabilnost i djelotvornost općinskih i državnih institucija; podsjeća da je, u skladu s obvezama Crne Gore iz njezina programa reformi, ostvarivanje te reforme uvjet za buduće isplate sredstava u okviru Instrumenta za reforme i rast te bi njezina provedba trebala biti prioritet; pozdravlja činjenicu da su 2022. izbori u 14 općina održani istoga dana; </w:t>
      </w:r>
      <w:r w:rsidRPr="007225C6">
        <w:lastRenderedPageBreak/>
        <w:t xml:space="preserve">poziva na uspostavu čvrstog zakonodavnog okvira u tom pogledu; zabrinut je zbog nepravilnosti u izbornom postupku u općini </w:t>
      </w:r>
      <w:proofErr w:type="spellStart"/>
      <w:r w:rsidRPr="007225C6">
        <w:t>Šavnik</w:t>
      </w:r>
      <w:proofErr w:type="spellEnd"/>
      <w:r w:rsidRPr="007225C6">
        <w:t>;</w:t>
      </w:r>
    </w:p>
    <w:p w14:paraId="54DF1397" w14:textId="77777777" w:rsidR="00D66A4C" w:rsidRPr="007225C6" w:rsidRDefault="00D66A4C" w:rsidP="00D66A4C">
      <w:pPr>
        <w:pStyle w:val="NormalHanging12a"/>
      </w:pPr>
      <w:r w:rsidRPr="007225C6">
        <w:t>16.</w:t>
      </w:r>
      <w:r w:rsidRPr="007225C6">
        <w:tab/>
        <w:t>poziva crnogorske vlasti da donesu zakon o vladi kojim bi se omogućio bolji okvir upravljanja i optimizacija javne uprave;</w:t>
      </w:r>
    </w:p>
    <w:p w14:paraId="0CFF6871" w14:textId="77777777" w:rsidR="00D66A4C" w:rsidRPr="007225C6" w:rsidRDefault="00D66A4C" w:rsidP="00D66A4C">
      <w:pPr>
        <w:pStyle w:val="NormalHanging12a"/>
      </w:pPr>
      <w:r w:rsidRPr="007225C6">
        <w:t>17.</w:t>
      </w:r>
      <w:r w:rsidRPr="007225C6">
        <w:tab/>
        <w:t xml:space="preserve">naglašava važnost profesionalne, transparentne i nepolitične javne službe koja se temelji na zaslugama; poziva Crnu Goru da izmijeni i provede relevantno zakonodavstvo kako bi se osigurao okvir za profesionalizaciju, optimizaciju i racionalizaciju državne uprave, uključujući </w:t>
      </w:r>
      <w:proofErr w:type="spellStart"/>
      <w:r w:rsidRPr="007225C6">
        <w:t>postupovne</w:t>
      </w:r>
      <w:proofErr w:type="spellEnd"/>
      <w:r w:rsidRPr="007225C6">
        <w:t xml:space="preserve"> zaštitne mjere protiv politički motiviranih odluka o imenovanjima i razrješenjima, te visoki standardi za upravljačke položaje; žali zbog nedostatka znatnog napretka u donošenju i učinkovitoj provedbi takvog zakonodavstva te ističe da zbog toga zapošljavanje u javnoj službi i dalje podliježe političkom utjecaju;</w:t>
      </w:r>
    </w:p>
    <w:p w14:paraId="3D566FB2" w14:textId="77777777" w:rsidR="00D66A4C" w:rsidRPr="007225C6" w:rsidRDefault="00D66A4C" w:rsidP="00D66A4C">
      <w:pPr>
        <w:pStyle w:val="NormalHanging12a"/>
      </w:pPr>
      <w:r w:rsidRPr="007225C6">
        <w:t>18.</w:t>
      </w:r>
      <w:r w:rsidRPr="007225C6">
        <w:tab/>
        <w:t>pozdravlja uključivanje Crne Gore u Izvješće Komisije o vladavini prava za 2024.; sa zabrinutošću prima na znanje utvrđene nedostatke, uključujući imenovanja sudaca i neovisnost ureda tužitelja;</w:t>
      </w:r>
    </w:p>
    <w:p w14:paraId="3807E5CB" w14:textId="77777777" w:rsidR="00D66A4C" w:rsidRPr="007225C6" w:rsidRDefault="00D66A4C" w:rsidP="00D66A4C">
      <w:pPr>
        <w:pStyle w:val="NormalHanging12a"/>
      </w:pPr>
      <w:r w:rsidRPr="007225C6">
        <w:t>19.</w:t>
      </w:r>
      <w:r w:rsidRPr="007225C6">
        <w:tab/>
        <w:t>pozdravlja napredak postignut u provedbi ključnih pravosudnih reformi, donošenju novog strateškog okvira i dovršetku dugo iščekivanih imenovanja sudaca; poziva Crnu Goru da popuni preostala sudačka radna mjesta na visokoj razini;</w:t>
      </w:r>
    </w:p>
    <w:p w14:paraId="22076654" w14:textId="77777777" w:rsidR="00D66A4C" w:rsidRPr="007225C6" w:rsidRDefault="00D66A4C" w:rsidP="00D66A4C">
      <w:pPr>
        <w:pStyle w:val="NormalHanging12a"/>
      </w:pPr>
      <w:r w:rsidRPr="007225C6">
        <w:t>20.</w:t>
      </w:r>
      <w:r w:rsidRPr="007225C6">
        <w:tab/>
        <w:t>potiče Crnu Goru da svoj pravni okvir, uključujući ustav, a posebno sastav i postupak donošenja odluka Sudbenog vijeća, dodatno uskladi sa zakonima i standardima EU-a o neovisnosti, odgovornosti, nepristranosti, integritetu i profesionalnosti pravosuđa, te da dodatno depolitizira imenovanja radi veće neovisnosti, da provede preostale međunarodne preporuke i utvrdi kriterije za umirovljenje sudaca i tužitelja u skladu s europskim standardima i potpuno u skladu s Ustavom; žali zbog broja neriješenih predmeta i poziva Crnu Goru da poduzme mjere za smanjenje trajanja sudskih postupaka, posebno u slučajevima teškog i organiziranog kriminala, a osobito pranja novca; preporučuje Crnoj Gori da donese izmjene Ustava u zadnjoj fazi pregovora o svom pristupanju Europskoj uniji;</w:t>
      </w:r>
    </w:p>
    <w:p w14:paraId="10ED663B" w14:textId="77777777" w:rsidR="00D66A4C" w:rsidRPr="007225C6" w:rsidRDefault="00D66A4C" w:rsidP="00D66A4C">
      <w:pPr>
        <w:pStyle w:val="NormalHanging12a"/>
      </w:pPr>
      <w:r w:rsidRPr="007225C6">
        <w:t>21.</w:t>
      </w:r>
      <w:r w:rsidRPr="007225C6">
        <w:tab/>
        <w:t>prima na znanje korake poduzete u borbi protiv korupcije, uključujući nove zakone i odredbe o zaštiti zviždača, osnivanje novog Nacionalnog vijeća za borbu protiv korupcije i novu Strategiju za borbu protiv korupcije za razdoblje 2024. – 2028.; potiče Crnu Goru da se dodatno uskladi s pravnom stečevinom EU-a i standardima EU-a te da razmotri preporuke Komisije, Venecijanske komisije i Skupine država protiv korupcije (GRECO); potiče crnogorske vlasti da se i dalje angažiraju na uklanjanju postojećih nedostataka u rješavanju slučajeva organiziranog kriminala te oduzimanju i zapljeni imovine stečene kaznenim djelima;</w:t>
      </w:r>
    </w:p>
    <w:p w14:paraId="7E77A45F" w14:textId="77777777" w:rsidR="00D66A4C" w:rsidRPr="007225C6" w:rsidRDefault="00D66A4C" w:rsidP="00D66A4C">
      <w:pPr>
        <w:pStyle w:val="NormalHanging12a"/>
      </w:pPr>
      <w:r w:rsidRPr="007225C6">
        <w:t>22.</w:t>
      </w:r>
      <w:r w:rsidRPr="007225C6">
        <w:tab/>
        <w:t xml:space="preserve">potiče Crnu Goru da pojača svoj kaznenopravni odgovor na korupciju na visokoj razini, uključujući jačanjem učinkovite provedbe postojećeg kaznenog zakonodavstva i izricanjem učinkovitih i </w:t>
      </w:r>
      <w:proofErr w:type="spellStart"/>
      <w:r w:rsidRPr="007225C6">
        <w:t>odvraćajućih</w:t>
      </w:r>
      <w:proofErr w:type="spellEnd"/>
      <w:r w:rsidRPr="007225C6">
        <w:t xml:space="preserve"> kazni, te da stvori uvjete kako bi pravosudne institucije i neovisna tijela koja se bave korupcijom mogli učinkovito funkcionirati bez političkog utjecaja;</w:t>
      </w:r>
    </w:p>
    <w:p w14:paraId="4EE9C087" w14:textId="77777777" w:rsidR="00D66A4C" w:rsidRPr="007225C6" w:rsidRDefault="00D66A4C" w:rsidP="00D66A4C">
      <w:pPr>
        <w:pStyle w:val="NormalHanging12a"/>
      </w:pPr>
      <w:r w:rsidRPr="007225C6">
        <w:t>23.</w:t>
      </w:r>
      <w:r w:rsidRPr="007225C6">
        <w:tab/>
        <w:t xml:space="preserve">prima na znanje rad Agencije za sprečavanje korupcije i poziva na to da joj se osiguraju dostatna financijska sredstva te da se depolitizira; očekuje od te Agencije da ostvari konkretne rezultate i djeluje neselektivno kako bi ojačala svoj integritet i učvrstila svoje </w:t>
      </w:r>
      <w:r w:rsidRPr="007225C6">
        <w:lastRenderedPageBreak/>
        <w:t>ovlasti pri učinkovitom izvršavanju svojih nadležnosti; poziva na snažniji okvir za sprečavanje korupcije;</w:t>
      </w:r>
    </w:p>
    <w:p w14:paraId="788BEA29" w14:textId="77777777" w:rsidR="00D66A4C" w:rsidRPr="007225C6" w:rsidRDefault="00D66A4C" w:rsidP="00D66A4C">
      <w:pPr>
        <w:pStyle w:val="NormalHanging12a"/>
      </w:pPr>
      <w:r w:rsidRPr="007225C6">
        <w:t>24.</w:t>
      </w:r>
      <w:r w:rsidRPr="007225C6">
        <w:tab/>
        <w:t>potiče Crnu Goru da svoje zakonodavstvo o oružju uskladi s pravom EU-a i međunarodnim standardima, posebno u pogledu tehničkih standarda za označivanje vatrenog oružja, postupaka onesposobljavanja i propisa za oružje za uzbunjivanje i signalizaciju, te da uspostavi standardizirani i učinkovit sustav prikupljanja podataka i izvješćivanja o vatrenom oružju; zgrožen je zbog tragične masovne pucnjave u Cetinju te izražava sućut obiteljima žrtava; izražava zabrinutost zbog iskorištavanja te tragedije za širenje dezinformacija i etničku polarizaciju; potiče Crnu Goru da ojača svoju komunikaciju u kriznim situacijama kako bi se suzbile dezinformacije i osiguralo odgovorno medijsko izvješćivanje nakon nasilnih incidenata; poziva na poduzimanje sustavnih mjera u području sigurnosti, mentalne dobrobiti i institucionalne transparentnosti te u području građanskog obrazovanja i javne svijesti, informativnih i obrazovnih inicijativa, o opasnostima i rizicima vatrenog oružja, u skladu s očekivanjima građana i društvenim potrebama;</w:t>
      </w:r>
    </w:p>
    <w:p w14:paraId="2AA30F0C" w14:textId="77777777" w:rsidR="00D66A4C" w:rsidRPr="007225C6" w:rsidRDefault="00D66A4C" w:rsidP="00D66A4C">
      <w:pPr>
        <w:pStyle w:val="NormalHanging12a"/>
      </w:pPr>
      <w:r w:rsidRPr="007225C6">
        <w:t>25.</w:t>
      </w:r>
      <w:r w:rsidRPr="007225C6">
        <w:tab/>
        <w:t xml:space="preserve">poziva Crnu Goru da svoju viznu politiku hitno i u potpunosti uskladi s viznom politikom EU-a, posebno u pogledu zemalja koje za Uniju predstavljaju rizik od nezakonitih migracija ili sigurnosni rizik; izražava zabrinutost zbog toga što su, suprotno očekivanjima, </w:t>
      </w:r>
      <w:proofErr w:type="spellStart"/>
      <w:r w:rsidRPr="007225C6">
        <w:t>bezviznom</w:t>
      </w:r>
      <w:proofErr w:type="spellEnd"/>
      <w:r w:rsidRPr="007225C6">
        <w:t xml:space="preserve"> režimu dodane još dvije zemlje te što se </w:t>
      </w:r>
      <w:proofErr w:type="spellStart"/>
      <w:r w:rsidRPr="007225C6">
        <w:t>bezvizni</w:t>
      </w:r>
      <w:proofErr w:type="spellEnd"/>
      <w:r w:rsidRPr="007225C6">
        <w:t xml:space="preserve"> režim i dalje odnosi na vlasnike ruskih i bjeloruskih putovnica; napominje da je usklađivanje vizne politike predviđeno i programom reformi Crne Gore u okviru Instrumenta za reforme i rast;</w:t>
      </w:r>
    </w:p>
    <w:p w14:paraId="4C85056B" w14:textId="77777777" w:rsidR="00D66A4C" w:rsidRPr="007225C6" w:rsidRDefault="00D66A4C" w:rsidP="00D66A4C">
      <w:pPr>
        <w:pStyle w:val="NormalHanging12a"/>
      </w:pPr>
      <w:r w:rsidRPr="007225C6">
        <w:t>26.</w:t>
      </w:r>
      <w:r w:rsidRPr="007225C6">
        <w:tab/>
        <w:t>pozdravlja aktualnu suradnju Crne Gore s Agencijom za europsku graničnu i obalnu stražu (</w:t>
      </w:r>
      <w:proofErr w:type="spellStart"/>
      <w:r w:rsidRPr="007225C6">
        <w:t>Frontex</w:t>
      </w:r>
      <w:proofErr w:type="spellEnd"/>
      <w:r w:rsidRPr="007225C6">
        <w:t xml:space="preserve">), </w:t>
      </w:r>
      <w:proofErr w:type="spellStart"/>
      <w:r w:rsidRPr="007225C6">
        <w:t>Europolom</w:t>
      </w:r>
      <w:proofErr w:type="spellEnd"/>
      <w:r w:rsidRPr="007225C6">
        <w:t xml:space="preserve">, </w:t>
      </w:r>
      <w:proofErr w:type="spellStart"/>
      <w:r w:rsidRPr="007225C6">
        <w:t>Eurojustom</w:t>
      </w:r>
      <w:proofErr w:type="spellEnd"/>
      <w:r w:rsidRPr="007225C6">
        <w:t xml:space="preserve"> i Agencijom Europske unije za osposobljavanje u području izvršavanja zakonodavstva (CEPOL) te napominje važnost te suradnje u borbi protiv prekograničnog kriminala, uključujući trgovinu oružjem, drogom i ljudima, te u borbi protiv terorizma i ekstremizma; pozdravlja stupanje na snagu poboljšanog sporazuma o operativnoj suradnji u upravljanju granicama s </w:t>
      </w:r>
      <w:proofErr w:type="spellStart"/>
      <w:r w:rsidRPr="007225C6">
        <w:t>Frontexom</w:t>
      </w:r>
      <w:proofErr w:type="spellEnd"/>
      <w:r w:rsidRPr="007225C6">
        <w:t xml:space="preserve"> 1. srpnja 2023. te potiče daljnju suradnju između Crne Gore i </w:t>
      </w:r>
      <w:proofErr w:type="spellStart"/>
      <w:r w:rsidRPr="007225C6">
        <w:t>Frontexa</w:t>
      </w:r>
      <w:proofErr w:type="spellEnd"/>
      <w:r w:rsidRPr="007225C6">
        <w:t xml:space="preserve"> kako bi se ojačalo upravljanje granicama, pružila potpora u postupcima azila, borilo protiv krijumčarenja i poboljšao ponovni prihvat;</w:t>
      </w:r>
    </w:p>
    <w:p w14:paraId="262DAD58" w14:textId="77777777" w:rsidR="00D66A4C" w:rsidRPr="007225C6" w:rsidRDefault="00D66A4C" w:rsidP="00D66A4C">
      <w:pPr>
        <w:pStyle w:val="Normal12a24b"/>
      </w:pPr>
      <w:r w:rsidRPr="007225C6">
        <w:rPr>
          <w:rStyle w:val="BoldItalic"/>
        </w:rPr>
        <w:t>Temeljne slobode i ljudska prava</w:t>
      </w:r>
    </w:p>
    <w:p w14:paraId="415FC9C8" w14:textId="77777777" w:rsidR="00D66A4C" w:rsidRPr="007225C6" w:rsidRDefault="00D66A4C" w:rsidP="00D66A4C">
      <w:pPr>
        <w:pStyle w:val="NormalHanging12a"/>
      </w:pPr>
      <w:r w:rsidRPr="007225C6">
        <w:t>27.</w:t>
      </w:r>
      <w:r w:rsidRPr="007225C6">
        <w:tab/>
        <w:t xml:space="preserve">žali zbog toga što se najranjivije skupine u društvu i dalje suočavaju s diskriminacijom; poziva Crnu Goru da donese novi zakon o suzbijanju diskriminacije i relevantne strategije s pomoću </w:t>
      </w:r>
      <w:proofErr w:type="spellStart"/>
      <w:r w:rsidRPr="007225C6">
        <w:t>uključivog</w:t>
      </w:r>
      <w:proofErr w:type="spellEnd"/>
      <w:r w:rsidRPr="007225C6">
        <w:t xml:space="preserve">, transparentnog i smislenog procesa u koji su aktivno uključene </w:t>
      </w:r>
      <w:proofErr w:type="spellStart"/>
      <w:r w:rsidRPr="007225C6">
        <w:t>najpogođenije</w:t>
      </w:r>
      <w:proofErr w:type="spellEnd"/>
      <w:r w:rsidRPr="007225C6">
        <w:t xml:space="preserve"> osobe kako bi se poboljšao pristup pravima za ranjive skupine; ističe da je poštovanje prava svih nacionalnih manjina sastavni dio pravne stečevine EU-a; poziva na snažniju provedbu kako bi se osiguralo jednako postupanje prema svim etničkim, vjerskim, nacionalnim i socijalnim skupinama te kako bi im se zajamčila jednaka prava i prilike te mogućnost potpunog sudjelovanja u društvenom, političkom i gospodarskom životu;</w:t>
      </w:r>
    </w:p>
    <w:p w14:paraId="12CCDC12" w14:textId="77777777" w:rsidR="00D66A4C" w:rsidRPr="007225C6" w:rsidRDefault="00D66A4C" w:rsidP="00D66A4C">
      <w:pPr>
        <w:pStyle w:val="NormalHanging12a"/>
      </w:pPr>
      <w:r w:rsidRPr="007225C6">
        <w:t>28.</w:t>
      </w:r>
      <w:r w:rsidRPr="007225C6">
        <w:tab/>
        <w:t>pozdravlja multietnički identitet Crne Gore te poziva na daljnje promicanje i poštovanje svih jezika, kulturne baštine i tradicija lokalnih zajednica i nacionalnih manjina jer je to usko povezano s europskom perspektivom Crne Gore;</w:t>
      </w:r>
    </w:p>
    <w:p w14:paraId="58234CEB" w14:textId="77777777" w:rsidR="00D66A4C" w:rsidRPr="007225C6" w:rsidRDefault="00D66A4C" w:rsidP="00D66A4C">
      <w:pPr>
        <w:pStyle w:val="NormalHanging12a"/>
      </w:pPr>
      <w:r w:rsidRPr="007225C6">
        <w:lastRenderedPageBreak/>
        <w:t>29.</w:t>
      </w:r>
      <w:r w:rsidRPr="007225C6">
        <w:tab/>
        <w:t>naglašava multietnički identitet Boke kotorske; naglašava da je europska perspektiva Crne Gore usko povezana sa zaštitom manjina i njihove kulturne baštine; poziva crnogorske vlasti da njeguju multietničku prirodu države, uključujući tradiciju i kulturnu baštinu hrvatske zajednice u Boki kotorskoj;</w:t>
      </w:r>
    </w:p>
    <w:p w14:paraId="5D4ABDEB" w14:textId="77777777" w:rsidR="00D66A4C" w:rsidRPr="007225C6" w:rsidRDefault="00D66A4C" w:rsidP="00D66A4C">
      <w:pPr>
        <w:pStyle w:val="NormalHanging12a"/>
      </w:pPr>
      <w:r w:rsidRPr="007225C6">
        <w:t>30.</w:t>
      </w:r>
      <w:r w:rsidRPr="007225C6">
        <w:tab/>
        <w:t xml:space="preserve">izražava ozbiljnu zabrinutost zbog ugroženih lokaliteta baštine u Crnoj Gori kao što su Boka kotorska i Sveti Stefan; naglašava da je Sveti Stefan, zajedno s parkom </w:t>
      </w:r>
      <w:proofErr w:type="spellStart"/>
      <w:r w:rsidRPr="007225C6">
        <w:t>Miločer</w:t>
      </w:r>
      <w:proofErr w:type="spellEnd"/>
      <w:r w:rsidRPr="007225C6">
        <w:t>, uvršten među „sedam najugroženijih lokaliteta baštine u Europi” za 2023.;</w:t>
      </w:r>
    </w:p>
    <w:p w14:paraId="1764C574" w14:textId="77777777" w:rsidR="00D66A4C" w:rsidRPr="007225C6" w:rsidRDefault="00D66A4C" w:rsidP="00D66A4C">
      <w:pPr>
        <w:pStyle w:val="NormalHanging12a"/>
      </w:pPr>
      <w:r w:rsidRPr="007225C6">
        <w:t>31.</w:t>
      </w:r>
      <w:r w:rsidRPr="007225C6">
        <w:tab/>
        <w:t>poziva crnogorske vlasti da riješe problem teških životnih uvjeta Roma u Crnoj Gori i diskriminacije s kojom se suočavaju te traži da se donese veći broj mjera za promicanje međukulturnog razumijevanja u školama; poziva crnogorske vlasti da ujedno poduzmu mjere za poboljšanje ozračja društvene uključenosti LGBTI osoba;</w:t>
      </w:r>
    </w:p>
    <w:p w14:paraId="0FF7A7E5" w14:textId="77777777" w:rsidR="00D66A4C" w:rsidRPr="007225C6" w:rsidRDefault="00D66A4C" w:rsidP="00D66A4C">
      <w:pPr>
        <w:pStyle w:val="NormalHanging12a"/>
      </w:pPr>
      <w:r w:rsidRPr="007225C6">
        <w:t>32.</w:t>
      </w:r>
      <w:r w:rsidRPr="007225C6">
        <w:tab/>
        <w:t>pozdravlja činjenicu da je Crna Gora uskladila svoj zakonodavni i institucionalni okvir s pravnom stečevinom EU-a i međunarodnim standardima u području ljudskih prava u pogledu usklađenosti s Konvencijom UN-a o pravima djeteta i njezinim fakultativnim protokolima; potiče vlasti da riješe nedostatke u provedbi, posebno one povezane s odgovornošću i praćenjem;</w:t>
      </w:r>
    </w:p>
    <w:p w14:paraId="2AF0AAE0" w14:textId="77777777" w:rsidR="00D66A4C" w:rsidRPr="007225C6" w:rsidRDefault="00D66A4C" w:rsidP="00D66A4C">
      <w:pPr>
        <w:pStyle w:val="NormalHanging12a"/>
      </w:pPr>
      <w:r w:rsidRPr="007225C6">
        <w:t>33.</w:t>
      </w:r>
      <w:r w:rsidRPr="007225C6">
        <w:tab/>
        <w:t>poziva na to da se strategije za poštovanje prava osoba s invaliditetom zaista provode u svim sektorima i politikama;</w:t>
      </w:r>
    </w:p>
    <w:p w14:paraId="6DD80D11" w14:textId="77777777" w:rsidR="00D66A4C" w:rsidRPr="007225C6" w:rsidRDefault="00D66A4C" w:rsidP="00D66A4C">
      <w:pPr>
        <w:pStyle w:val="NormalHanging12a"/>
      </w:pPr>
      <w:r w:rsidRPr="007225C6">
        <w:t>34.</w:t>
      </w:r>
      <w:r w:rsidRPr="007225C6">
        <w:tab/>
        <w:t>osuđuje svaki govor mržnje, uključujući govor mržnje na internetu i rodno utemeljen govor mržnje, te zločine iz mržnje; pozdravlja kriminalizaciju rasizma i govora mržnje;</w:t>
      </w:r>
    </w:p>
    <w:p w14:paraId="147A4023" w14:textId="77777777" w:rsidR="00D66A4C" w:rsidRPr="007225C6" w:rsidRDefault="00D66A4C" w:rsidP="00D66A4C">
      <w:pPr>
        <w:pStyle w:val="NormalHanging12a"/>
      </w:pPr>
      <w:r w:rsidRPr="007225C6">
        <w:t>35.</w:t>
      </w:r>
      <w:r w:rsidRPr="007225C6">
        <w:tab/>
        <w:t>naglašava da treba ojačati institucionalne mehanizme za rodnu ravnopravnost te poziva crnogorske vlasti da riješe problem razlike u plaćama između spolova i poboljšaju sudjelovanje žena u donošenju odluka, kako u javnoj domeni, posebno u javnoj upravi, pravosudnom i sigurnosnom sektoru, tako i u poslovnom sektoru, da bi se osiguralo veće političko sudjelovanje žena, uvela rodno osjetljiva izrada proračuna te suzbili rodni stereotipi i pojačali napori u borbi protiv diskriminacije žena, posebno u ruralnim područjima; pozdravlja nedavne napore usmjerene na povećanje zastupljenosti žena u znanosti, tehnologiji, inženjerstvu i matematici (STEM) te potiče daljnje napore u tehnološkim sektorima;</w:t>
      </w:r>
    </w:p>
    <w:p w14:paraId="30FB350A" w14:textId="77777777" w:rsidR="00D66A4C" w:rsidRPr="007225C6" w:rsidRDefault="00D66A4C" w:rsidP="00D66A4C">
      <w:pPr>
        <w:pStyle w:val="NormalHanging12a"/>
      </w:pPr>
      <w:r w:rsidRPr="007225C6">
        <w:t>36.</w:t>
      </w:r>
      <w:r w:rsidRPr="007225C6">
        <w:tab/>
        <w:t xml:space="preserve">duboko je zabrinut zbog visokih stopa rodno uvjetovanog nasilja, uključujući nasilje u obitelji i </w:t>
      </w:r>
      <w:proofErr w:type="spellStart"/>
      <w:r w:rsidRPr="007225C6">
        <w:t>femicid</w:t>
      </w:r>
      <w:proofErr w:type="spellEnd"/>
      <w:r w:rsidRPr="007225C6">
        <w:t xml:space="preserve">; poziva Crnu Goru da u potpunosti uskladi svoje definicije rodno uvjetovanog nasilja i nasilja u obitelji s </w:t>
      </w:r>
      <w:proofErr w:type="spellStart"/>
      <w:r w:rsidRPr="007225C6">
        <w:t>Istanbulskom</w:t>
      </w:r>
      <w:proofErr w:type="spellEnd"/>
      <w:r w:rsidRPr="007225C6">
        <w:t xml:space="preserve"> konvencijom i s preporukama međunarodnih tijela, da uspostavi učinkovit mehanizam zaštite i prevencije i centre za potporu te da osigura učinkovito pravosudno praćenje žrtava nasilja u obitelji i seksualnog nasilja kao i strožu kaznenu politiku prema počiniteljima; poziva na prikupljanje raščlanjenih podataka o rodno uvjetovanom nasilju i rodnim razlikama kako bi se poboljšali odgovori u okviru politika;</w:t>
      </w:r>
    </w:p>
    <w:p w14:paraId="302E8E8F" w14:textId="77777777" w:rsidR="00D66A4C" w:rsidRPr="007225C6" w:rsidRDefault="00D66A4C" w:rsidP="00D66A4C">
      <w:pPr>
        <w:pStyle w:val="NormalHanging12a"/>
      </w:pPr>
      <w:r w:rsidRPr="007225C6">
        <w:t>37.</w:t>
      </w:r>
      <w:r w:rsidRPr="007225C6">
        <w:tab/>
        <w:t>žali zbog toga što nacrt zakona o pravnom priznavanju roda nije donesen 2024. unatoč tome što je to jedna od mjera u okviru programa pristupanja Crne Gore Europskoj uniji; potiče Crnu Goru da bez odgode donese taj zakon;</w:t>
      </w:r>
    </w:p>
    <w:p w14:paraId="051FDA32" w14:textId="77777777" w:rsidR="00D66A4C" w:rsidRPr="007225C6" w:rsidRDefault="00D66A4C" w:rsidP="00D66A4C">
      <w:pPr>
        <w:pStyle w:val="NormalHanging12a"/>
      </w:pPr>
      <w:r w:rsidRPr="007225C6">
        <w:t>38.</w:t>
      </w:r>
      <w:r w:rsidRPr="007225C6">
        <w:tab/>
        <w:t xml:space="preserve">pozdravlja nove zakone Crne Gore o medijima i njezinu strategiju za medijsku politiku u cilju jačanja pravnog okvira za učinkovitu zaštitu novinara i ostalih medijskih </w:t>
      </w:r>
      <w:r w:rsidRPr="007225C6">
        <w:lastRenderedPageBreak/>
        <w:t>djelatnika; inzistira na politici nulte tolerancije u pogledu pritiska na novinare, uznemiravanja novinara ili nasilja nad njima, posebice kad ih vrše javne osobe; naglašava da su potrebne učinkovite istrage, kazneni progon svih slučajeva govora mržnje, kampanja ocrnjivanja i strateških tužbi protiv novinara te praćenje prošlih slučajeva; naglašava da je potrebno zajamčiti pravo novinara na pristup informacijama i zadržavanje kritičkog stava; primjećuje znatno poboljšanje slobode medija u Crnoj Gori, što je vidljivo iz njezina napretka na ljestvici Svjetskog indeksa slobode medija;</w:t>
      </w:r>
    </w:p>
    <w:p w14:paraId="32026643" w14:textId="77777777" w:rsidR="00D66A4C" w:rsidRPr="007225C6" w:rsidRDefault="00D66A4C" w:rsidP="00D66A4C">
      <w:pPr>
        <w:pStyle w:val="NormalHanging12a"/>
      </w:pPr>
      <w:r w:rsidRPr="007225C6">
        <w:t>39.</w:t>
      </w:r>
      <w:r w:rsidRPr="007225C6">
        <w:tab/>
        <w:t>izražava zabrinutost zbog slučajeva u kojima su novinari, akademici i organizacije civilnog društva bili izloženi pritisku zbog ostvarivanja prava na slobodu govora, uključujući slučajeve u kojima je policija pokrenula prekršajne postupke protiv njih; zabrinut je zbog sve veće upotrebe strateških tužbi protiv javnog sudjelovanja (SLAPP) kojima se ciljaju novinari;</w:t>
      </w:r>
    </w:p>
    <w:p w14:paraId="2119F7BA" w14:textId="77777777" w:rsidR="00D66A4C" w:rsidRPr="007225C6" w:rsidRDefault="00D66A4C" w:rsidP="00D66A4C">
      <w:pPr>
        <w:pStyle w:val="NormalHanging12a"/>
      </w:pPr>
      <w:r w:rsidRPr="007225C6">
        <w:t>40.</w:t>
      </w:r>
      <w:r w:rsidRPr="007225C6">
        <w:tab/>
        <w:t>žali zbog visoke razine polarizacije u medijima i njihove osjetljivosti na političke interese i strani utjecaj, kao i zbog stranih i domaćih kampanja dezinformiranja kojima se šire diskursi koji negativno utječu na demokratske procese u zemlji i dovode u opasnost europsku perspektivu Crne Gore; poziva Crnu Goru da dodatno razvija poboljšane programe medijske pismenosti i uvede ih u obrazovanje kao jedan od osnovnih predmeta; poziva crnogorske vlasti da zajamče uredničku, institucionalnu i financijsku neovisnost javne radiotelevizije RTCG, kao i zakonitost imenovanja njezine uprave i potpuno poštovanje sudskih presuda koje se odnose na RTCG; podsjeća da RTCG mora poštovati zakone i najviše standarde odgovornosti i integriteta; žali zbog toga što je neovisnost javnih medija oslabljena i ugrožena; poziva sve medijske subjekte da poštuju pravne zahtjeve o transparentnosti javnog financiranja;</w:t>
      </w:r>
    </w:p>
    <w:p w14:paraId="7C4156CF" w14:textId="77777777" w:rsidR="00D66A4C" w:rsidRPr="007225C6" w:rsidRDefault="00D66A4C" w:rsidP="00D66A4C">
      <w:pPr>
        <w:pStyle w:val="NormalHanging12a"/>
      </w:pPr>
      <w:r w:rsidRPr="007225C6">
        <w:t>41.</w:t>
      </w:r>
      <w:r w:rsidRPr="007225C6">
        <w:tab/>
        <w:t xml:space="preserve">pozdravlja objavu rezultata popisa stanovništva iz 2023.; poziva vlasti da izbjegavaju politiziranje tog procesa; potiče dionike da te rezultate koriste na </w:t>
      </w:r>
      <w:proofErr w:type="spellStart"/>
      <w:r w:rsidRPr="007225C6">
        <w:t>nediskriminirajući</w:t>
      </w:r>
      <w:proofErr w:type="spellEnd"/>
      <w:r w:rsidRPr="007225C6">
        <w:t xml:space="preserve"> način;</w:t>
      </w:r>
    </w:p>
    <w:p w14:paraId="71AC44E6" w14:textId="77777777" w:rsidR="00D66A4C" w:rsidRPr="007225C6" w:rsidRDefault="00D66A4C" w:rsidP="00D66A4C">
      <w:pPr>
        <w:pStyle w:val="NormalHanging12a"/>
      </w:pPr>
      <w:r w:rsidRPr="007225C6">
        <w:t>42.</w:t>
      </w:r>
      <w:r w:rsidRPr="007225C6">
        <w:tab/>
        <w:t>pozdravlja dinamično i konstruktivno civilno društvo Crne Gore te ističe njegovu važnost za jačanje demokracije i pluralizma te promicanje dobrog upravljanja i društvenog napretka; izražava zabrinutost zbog sve manjeg prostora za organizacije civilnog društva koje imaju kritički stav te osuđuje sve kampanje ocrnjivanja, zastrašivanje i napade na organizacije civilnog društva, posebno ako ih provode političke ličnosti u kontekstu prijedloga za „zakon o stranim agentima”; napominje da takvi zakoni mogu ugroziti temeljne slobode i funkcioniranje civilnog društva te da nisu u skladu s vrijednostima i standardima EU-a; poziva na uspostavu poticajnog pravnog okvira te jasnih i pravednih kriterija odabira u kontekstu javnog financiranja; poziva Vijeće za suradnju između vlade i nevladinih organizacija da nastavi s radom; naglašava da je važno s civilnim društvom graditi odnose suradnje i istinskog savjetovanja o nacrtima zakonodavstva od rane faze nadalje;</w:t>
      </w:r>
    </w:p>
    <w:p w14:paraId="78DC1593" w14:textId="77777777" w:rsidR="00D66A4C" w:rsidRPr="007225C6" w:rsidRDefault="00D66A4C" w:rsidP="00D66A4C">
      <w:pPr>
        <w:pStyle w:val="Normal12a24b"/>
      </w:pPr>
      <w:r w:rsidRPr="007225C6">
        <w:rPr>
          <w:rStyle w:val="BoldItalic"/>
        </w:rPr>
        <w:t>Pomirenje, dobrosusjedski odnosi i regionalna suradnja</w:t>
      </w:r>
    </w:p>
    <w:p w14:paraId="2E34A981" w14:textId="77777777" w:rsidR="00D66A4C" w:rsidRPr="007225C6" w:rsidRDefault="00D66A4C" w:rsidP="00D66A4C">
      <w:pPr>
        <w:pStyle w:val="NormalHanging12a"/>
      </w:pPr>
      <w:r w:rsidRPr="007225C6">
        <w:t>43.</w:t>
      </w:r>
      <w:r w:rsidRPr="007225C6">
        <w:tab/>
        <w:t>podsjeća na to da su dobrosusjedski odnosi i regionalna suradnja ključni elementi procesa proširenja; pohvaljuje aktivno sudjelovanje Crne Gore u inicijativama za regionalnu suradnju; podsjeća na to da su dobrosusjedski odnosi ključni za napredak u procesu pristupanja;</w:t>
      </w:r>
    </w:p>
    <w:p w14:paraId="35579281" w14:textId="77777777" w:rsidR="00D66A4C" w:rsidRPr="007225C6" w:rsidRDefault="00D66A4C" w:rsidP="00D66A4C">
      <w:pPr>
        <w:pStyle w:val="NormalHanging12a"/>
      </w:pPr>
      <w:r w:rsidRPr="007225C6">
        <w:lastRenderedPageBreak/>
        <w:t>44.</w:t>
      </w:r>
      <w:r w:rsidRPr="007225C6">
        <w:tab/>
        <w:t>žali zbog toga što poglavlje 31. nije bilo moguće zatvoriti u prosincu 2024.; poziva sve uključene strane da pronađu rješenje za otvorena bilateralna pitanja na konstruktivan i dobrosusjedski način te da prednost daju budućim interesima građana zapadnog Balkana; podsjeća da bi trebalo izbjegavati korištenje neriješenih bilateralnih i regionalnih sporova za blokiranje procesa pristupanja zemalja kandidatkinja; pozdravlja bilateralna savjetovanja između Republike Hrvatske i Crne Gore o statusu neriješenih bilateralnih pitanja; potiče vlasti da nastave provoditi mjere za izgradnju povjerenja;</w:t>
      </w:r>
    </w:p>
    <w:p w14:paraId="7B9C3421" w14:textId="77777777" w:rsidR="00D66A4C" w:rsidRPr="007225C6" w:rsidRDefault="00D66A4C" w:rsidP="00D66A4C">
      <w:pPr>
        <w:pStyle w:val="NormalHanging12a"/>
      </w:pPr>
      <w:r w:rsidRPr="007225C6">
        <w:t>45.</w:t>
      </w:r>
      <w:r w:rsidRPr="007225C6">
        <w:tab/>
        <w:t xml:space="preserve">prima na znanje izmjene Zakona Crne Gore o kaznenom postupku kojima se uklanjaju pravne i praktične prepreke za učinkovitu istragu, kazneni progon, suđenje i kažnjavanje ratnih zločina u skladu s relevantnim preporukama; poziva Crnu Goru da primijeni </w:t>
      </w:r>
      <w:proofErr w:type="spellStart"/>
      <w:r w:rsidRPr="007225C6">
        <w:t>proaktivan</w:t>
      </w:r>
      <w:proofErr w:type="spellEnd"/>
      <w:r w:rsidRPr="007225C6">
        <w:t xml:space="preserve"> pristup rješavanju slučajeva ratnih zločina u skladu s međunarodnim pravom i standardima kako bi se identificirali, kazneno gonili i kaznili počinitelji i veličanje ratnih zločina, kako bi se žrtvama osigurao pristup pravdi, pravnoj zaštiti i odšteti te kako bi se razjasnila sudbina nestalih osoba; poziva Crnu Goru da dodijeli dostatna sredstva specijaliziranim tužiteljima i sudovima, da proaktivno istraži sve navode o ratnim zločinima i otvori pitanja zapovjedne odgovornosti te da preispita prošle slučajeve u kojima nije došlo do kaznenog progona u skladu s međunarodnim ili nacionalnim pravom; poziva na regionalnu suradnju u istrazi i kaznenom progonu pojedinaca optuženih za ratne zločine; svjestan je da su rješavanje tih pitanja i zaštita činjenica koje je utvrdio sud važan temelj za povjerenje, demokratske vrijednosti, pomirenje i jačanje bilateralnih odnosa sa susjednim zemljama te potiče Crnu Goru da pojača napore u tom pogledu;</w:t>
      </w:r>
    </w:p>
    <w:p w14:paraId="3288CAF4" w14:textId="77777777" w:rsidR="00D66A4C" w:rsidRPr="007225C6" w:rsidRDefault="00D66A4C" w:rsidP="00D66A4C">
      <w:pPr>
        <w:pStyle w:val="NormalHanging12a"/>
      </w:pPr>
      <w:r w:rsidRPr="007225C6">
        <w:t>46.</w:t>
      </w:r>
      <w:r w:rsidRPr="007225C6">
        <w:tab/>
        <w:t xml:space="preserve">upozorava na opasnosti političkog revizionizma, kojim se iskrivljuju povijesne činjenice u političke svrhe, potkopava odgovornost i produbljuju društvene podjele; oštro osuđuje veličanje ratnih zločinaca i rašireno javno poricanje međunarodnih presuda za ratne zločine, među ostalim od strane crnogorskih vlasti; smatra da je izjava predsjednika Jakova </w:t>
      </w:r>
      <w:proofErr w:type="spellStart"/>
      <w:r w:rsidRPr="007225C6">
        <w:t>Milatovića</w:t>
      </w:r>
      <w:proofErr w:type="spellEnd"/>
      <w:r w:rsidRPr="007225C6">
        <w:t xml:space="preserve"> u kojoj izražava žaljenje zbog sudjelovanja crnogorskih snaga u bombardiranju grada Dubrovnika bila vrijedan doprinos regionalnom miru i pomirenju;</w:t>
      </w:r>
    </w:p>
    <w:p w14:paraId="44DEBAF2" w14:textId="77777777" w:rsidR="00D66A4C" w:rsidRPr="007225C6" w:rsidRDefault="00D66A4C" w:rsidP="00D66A4C">
      <w:pPr>
        <w:pStyle w:val="NormalHanging12a"/>
      </w:pPr>
      <w:r w:rsidRPr="007225C6">
        <w:t>47.</w:t>
      </w:r>
      <w:r w:rsidRPr="007225C6">
        <w:tab/>
        <w:t>ponovno iskazuje potporu inicijativi za uspostavu regionalne komisije za utvrđivanje činjenica o ratnim zločinima i drugim teškim kršenjima ljudskih prava na području bivše Jugoslavije (RECOM);</w:t>
      </w:r>
    </w:p>
    <w:p w14:paraId="2FB6BA9E" w14:textId="77777777" w:rsidR="00D66A4C" w:rsidRPr="007225C6" w:rsidRDefault="00D66A4C" w:rsidP="00D66A4C">
      <w:pPr>
        <w:pStyle w:val="NormalHanging12a"/>
      </w:pPr>
      <w:r w:rsidRPr="007225C6">
        <w:t>48.</w:t>
      </w:r>
      <w:r w:rsidRPr="007225C6">
        <w:tab/>
        <w:t>ponovno poziva na to da se otvore arhivi bivših jugoslavenskih republika i da se omogući pristup dosjeima bivše jugoslavenske tajne službe i kontraobavještajne službe Jugoslavenske narodne armije kako bi se temeljito istražili i riješili zločini iz komunističkog razdoblja;</w:t>
      </w:r>
    </w:p>
    <w:p w14:paraId="10221E09" w14:textId="77777777" w:rsidR="00D66A4C" w:rsidRPr="007225C6" w:rsidRDefault="00D66A4C" w:rsidP="00D66A4C">
      <w:pPr>
        <w:pStyle w:val="Normal12a24b"/>
      </w:pPr>
      <w:r w:rsidRPr="007225C6">
        <w:rPr>
          <w:rStyle w:val="BoldItalic"/>
        </w:rPr>
        <w:t>Socioekonomske reforme</w:t>
      </w:r>
    </w:p>
    <w:p w14:paraId="07E7028F" w14:textId="77777777" w:rsidR="00D66A4C" w:rsidRPr="007225C6" w:rsidRDefault="00D66A4C" w:rsidP="00D66A4C">
      <w:pPr>
        <w:pStyle w:val="NormalHanging12a"/>
      </w:pPr>
      <w:r w:rsidRPr="007225C6">
        <w:t>49.</w:t>
      </w:r>
      <w:r w:rsidRPr="007225C6">
        <w:tab/>
        <w:t>pozdravlja uključivanje Crne Gore u platne sheme SEPA-e, što je smanjilo troškove za građane i poduzeća; ističe da se time otvaraju mogućnosti za širenje poslovanja, povećanje konkurentnosti, inovacije i bolji pristup izravnim stranim ulaganjima;</w:t>
      </w:r>
    </w:p>
    <w:p w14:paraId="4459DFC5" w14:textId="77777777" w:rsidR="00D66A4C" w:rsidRPr="007225C6" w:rsidRDefault="00D66A4C" w:rsidP="00D66A4C">
      <w:pPr>
        <w:pStyle w:val="NormalHanging12a"/>
      </w:pPr>
      <w:r w:rsidRPr="007225C6">
        <w:t>50.</w:t>
      </w:r>
      <w:r w:rsidRPr="007225C6">
        <w:tab/>
        <w:t>pozdravlja Plan rasta za zapadni Balkan, čiji je cilj integrirati regiju u jedinstveno tržište EU-a, promicati regionalnu gospodarsku suradnju i produbiti reforme povezane s EU</w:t>
      </w:r>
      <w:r w:rsidRPr="007225C6">
        <w:noBreakHyphen/>
        <w:t xml:space="preserve">om te koji obuhvaća Instrument za reforme i rast u vrijednosti od 6 milijardi EUR za zapadni Balkan; pozdravlja činjenicu da je Crna Gora usvojila program reformi i potiče njegovu potpunu provedbu; napominje da bi se provedbom utvrđenih reformskih </w:t>
      </w:r>
      <w:r w:rsidRPr="007225C6">
        <w:lastRenderedPageBreak/>
        <w:t xml:space="preserve">mjera u okviru programa reformi Crne Gore za Plan rasta omogućio pristup bespovratnim sredstvima i povoljnim zajmovima u iznosu većem od 380 milijuna EUR, podložno uspješnoj provedbi; naglašava važnost </w:t>
      </w:r>
      <w:proofErr w:type="spellStart"/>
      <w:r w:rsidRPr="007225C6">
        <w:t>uključivih</w:t>
      </w:r>
      <w:proofErr w:type="spellEnd"/>
      <w:r w:rsidRPr="007225C6">
        <w:t> savjetovanja s dionicima, uključujući lokalne i regionalne vlasti, socijalne partnere i civilno društvo, u fazama osmišljavanja, provedbe, praćenja i evaluacije;</w:t>
      </w:r>
    </w:p>
    <w:p w14:paraId="46EA6EC5" w14:textId="77777777" w:rsidR="00D66A4C" w:rsidRPr="007225C6" w:rsidRDefault="00D66A4C" w:rsidP="00D66A4C">
      <w:pPr>
        <w:pStyle w:val="NormalHanging12a"/>
      </w:pPr>
      <w:r w:rsidRPr="007225C6">
        <w:t>51.</w:t>
      </w:r>
      <w:r w:rsidRPr="007225C6">
        <w:tab/>
        <w:t>potiče Crnu Goru da na najbolji način iskoristi sva financijska sredstva EU-a dostupna u okviru Instrumenta pretpristupne pomoći (IPA III), Gospodarskog i investicijskog plana za zapadni Balkan, programa IPARD i Instrumenta za reforme i rast za zapadni Balkan kako bi ubrzala socioekonomsku konvergenciju s EU-om i da svoje zakonodavstvo o sprečavanju prijevara dodatno uskladi s europskim; podsjeća na uvjetovanost financiranja EU-a, koje se može prilagoditi ili obustaviti u slučaju znatnog nazadovanja ili trajnog nedostatka napretka u pogledu temeljnih pitanja;</w:t>
      </w:r>
    </w:p>
    <w:p w14:paraId="2AA84C1E" w14:textId="77777777" w:rsidR="00D66A4C" w:rsidRPr="007225C6" w:rsidRDefault="00D66A4C" w:rsidP="00D66A4C">
      <w:pPr>
        <w:pStyle w:val="NormalHanging12a"/>
      </w:pPr>
      <w:r w:rsidRPr="007225C6">
        <w:t>52.</w:t>
      </w:r>
      <w:r w:rsidRPr="007225C6">
        <w:tab/>
        <w:t>poziva EU i zemlje zapadnog Balkana da uspostave okvir za učinkovitu suradnju između Ureda europskog javnog tužitelja (EPPO) i zemalja pristupnica radi olakšavanja bliske suradnje i kaznenog progona u slučaju zlouporabe sredstava EU-a, među ostalim upućivanjem nacionalnih časnika za vezu u EPPO; potiče Crnu Goru da u potpunosti provede radne dogovore s EPPO-om; poziva Europsku uniju da poduzme potrebne pravne i političke mjere za proširenje nadležnosti Ureda europskog javnog tužitelja na sredstva EU-a namijenjena Crnoj Gori kao zemlji kandidatkinji;</w:t>
      </w:r>
    </w:p>
    <w:p w14:paraId="157CD87E" w14:textId="77777777" w:rsidR="00D66A4C" w:rsidRPr="007225C6" w:rsidRDefault="00D66A4C" w:rsidP="00D66A4C">
      <w:pPr>
        <w:pStyle w:val="NormalHanging12a"/>
      </w:pPr>
      <w:r w:rsidRPr="007225C6">
        <w:t>53.</w:t>
      </w:r>
      <w:r w:rsidRPr="007225C6">
        <w:tab/>
        <w:t>s odobravanjem prima na znanje gospodarski rast Crne Gore; poziva na dodatne korake kako bi se smanjio proračunski deficit i javni dug te ukinula preostala oslobođenja od neizravnog poreza koja nisu u skladu s pravnom stečevinom EU-a; pozdravlja napore za smanjenje tih fiskalnih slabosti; ponovno konstatira da su potrebna veća javna ulaganja u obrazovni sustav za održiv društveni i gospodarski razvoj;</w:t>
      </w:r>
    </w:p>
    <w:p w14:paraId="718A1916" w14:textId="77777777" w:rsidR="00D66A4C" w:rsidRPr="007225C6" w:rsidRDefault="00D66A4C" w:rsidP="00D66A4C">
      <w:pPr>
        <w:pStyle w:val="NormalHanging12a"/>
      </w:pPr>
      <w:r w:rsidRPr="007225C6">
        <w:t>54.</w:t>
      </w:r>
      <w:r w:rsidRPr="007225C6">
        <w:tab/>
        <w:t xml:space="preserve">prima na znanje javni dug Crne Gore prema stranim financijskim institucijama i poduzećima, što se može upotrijebiti kao alat za utjecanje na njezine političke odluke, posebno prema onima koji su povezani s Kinom i Rusijom; pozdravlja napore za smanjenje tih slabosti te poziva vlasti da dodatno smanje gospodarsku ovisnost o Kini i da nastave koristiti Gospodarski i investicijski plan za zapadni Balkan, inicijativu EU-a </w:t>
      </w:r>
      <w:r w:rsidRPr="007225C6">
        <w:rPr>
          <w:i/>
          <w:iCs/>
        </w:rPr>
        <w:t xml:space="preserve">Global </w:t>
      </w:r>
      <w:proofErr w:type="spellStart"/>
      <w:r w:rsidRPr="007225C6">
        <w:rPr>
          <w:i/>
          <w:iCs/>
        </w:rPr>
        <w:t>Gateway</w:t>
      </w:r>
      <w:proofErr w:type="spellEnd"/>
      <w:r w:rsidRPr="007225C6">
        <w:t xml:space="preserve"> i Instrument za reforme i rast kako bi se pronašle zelenije i transparentnije alternative za financiranje infrastrukturnih projekata; poziva Crnu Goru da u budućim infrastrukturnim projektima poveća transparentnost, osigura konkurentne natječaje i izbjegne prekomjernu ovisnost o stranim vjerovnicima;</w:t>
      </w:r>
    </w:p>
    <w:p w14:paraId="59F14D7D" w14:textId="77777777" w:rsidR="00D66A4C" w:rsidRPr="007225C6" w:rsidRDefault="00D66A4C" w:rsidP="00D66A4C">
      <w:pPr>
        <w:pStyle w:val="NormalHanging12a"/>
      </w:pPr>
      <w:r w:rsidRPr="007225C6">
        <w:t>55.</w:t>
      </w:r>
      <w:r w:rsidRPr="007225C6">
        <w:tab/>
        <w:t>poziva crnogorske vlasti da poduzmu mjere za zaustavljanje depopulacije i emigracije, konkretno ulaganjima u obrazovanje i zdravstvenu skrb, a posebno na sjeveru zemlje, te decentralizacijom s pomoću ulaganja u gradove srednje veličine;</w:t>
      </w:r>
    </w:p>
    <w:p w14:paraId="19368EDA" w14:textId="77777777" w:rsidR="00D66A4C" w:rsidRPr="007225C6" w:rsidRDefault="00D66A4C" w:rsidP="00D66A4C">
      <w:pPr>
        <w:pStyle w:val="NormalHanging12a"/>
      </w:pPr>
      <w:r w:rsidRPr="007225C6">
        <w:t>56.</w:t>
      </w:r>
      <w:r w:rsidRPr="007225C6">
        <w:tab/>
        <w:t>potiče crnogorske vlasti da stimuliraju digitalnu transformaciju i provode politike tržišta rada utemeljene na dokazima kako bi se riješio problem trajno visoke stope nezaposlenosti, posebno među ženama i mladima, uz istodobno jačanje institucijskih kapaciteta i temeljnog okvira digitalne politike, te da učinkovito provedu Garanciju za mlade i novu strategiju za mlade; potiče vlasti da hitno riješe problem odljeva mozgova; potiče razvoj ciljanih preventivnih mjera i poticaja za legalizaciju neformalnih poduzeća i zaposlenika jer veliki neformalni sektor i dalje koči gospodarski i društveni razvoj Crne Gore;</w:t>
      </w:r>
    </w:p>
    <w:p w14:paraId="5D12FDE3" w14:textId="77777777" w:rsidR="00D66A4C" w:rsidRPr="007225C6" w:rsidRDefault="00D66A4C" w:rsidP="00D66A4C">
      <w:pPr>
        <w:pStyle w:val="NormalHanging12a"/>
      </w:pPr>
      <w:r w:rsidRPr="007225C6">
        <w:lastRenderedPageBreak/>
        <w:t>57.</w:t>
      </w:r>
      <w:r w:rsidRPr="007225C6">
        <w:tab/>
        <w:t>pozdravlja pozive na brzu integraciju svih zemalja zapadnog Balkana u jedinstveno digitalno tržište EU-a prije stvarnog članstva u Uniji, što bi bilo od ključne važnosti za stvaranje digitalno sigurnog okruženja;</w:t>
      </w:r>
    </w:p>
    <w:p w14:paraId="3CA2CC40" w14:textId="77777777" w:rsidR="00D66A4C" w:rsidRPr="007225C6" w:rsidRDefault="00D66A4C" w:rsidP="00D66A4C">
      <w:pPr>
        <w:pStyle w:val="NormalHanging12a"/>
      </w:pPr>
      <w:r w:rsidRPr="007225C6">
        <w:t>58.</w:t>
      </w:r>
      <w:r w:rsidRPr="007225C6">
        <w:tab/>
        <w:t>poziva na veću transparentnost u javnoj nabavi, posebno za postupke u okviru međuvladinih sporazuma, te na potpunu usklađenost s pravilima i načelima EU-a; poziva Crnu Goru da smanji broj postupaka javne nabave bez obavijesti; izražava zabrinutost zbog financijskog opterećenja i nedostatka transparentnosti u vezi s izgradnjom autoceste Bar-Boljare, koja se financira kineskim zajmom; naglašava da tajnost sporazuma o zajmu i građevinskih ugovora izaziva zabrinutost u pogledu odgovornosti;</w:t>
      </w:r>
    </w:p>
    <w:p w14:paraId="4C828479" w14:textId="77777777" w:rsidR="00D66A4C" w:rsidRPr="007225C6" w:rsidRDefault="00D66A4C" w:rsidP="00D66A4C">
      <w:pPr>
        <w:pStyle w:val="NormalHanging12a"/>
      </w:pPr>
      <w:r w:rsidRPr="007225C6">
        <w:t>59.</w:t>
      </w:r>
      <w:r w:rsidRPr="007225C6">
        <w:tab/>
        <w:t xml:space="preserve">izražava zabrinutost u pogledu svih sporazuma ili projekata kojima se zaobilaze pravila o javnoj nabavi, obveze transparentnosti i zahtjevi za javno savjetovanje, kako je utvrđeno u nacionalnom zakonodavstvu i standardima EU-a; poziva vladu Crne Gore da osigura potpuno poštovanje načela transparentnosti, odgovornosti, </w:t>
      </w:r>
      <w:proofErr w:type="spellStart"/>
      <w:r w:rsidRPr="007225C6">
        <w:t>uključivog</w:t>
      </w:r>
      <w:proofErr w:type="spellEnd"/>
      <w:r w:rsidRPr="007225C6">
        <w:t xml:space="preserve"> donošenja odluka i vladavine prava u svim javnim infrastrukturnim i razvojnim inicijativama;</w:t>
      </w:r>
    </w:p>
    <w:p w14:paraId="4620EBE6" w14:textId="77777777" w:rsidR="00D66A4C" w:rsidRPr="007225C6" w:rsidRDefault="00D66A4C" w:rsidP="00D66A4C">
      <w:pPr>
        <w:pStyle w:val="Normal12a24b"/>
      </w:pPr>
      <w:r w:rsidRPr="007225C6">
        <w:rPr>
          <w:rStyle w:val="BoldItalic"/>
        </w:rPr>
        <w:t>Energija, okoliš, bioraznolikost i povezanost</w:t>
      </w:r>
    </w:p>
    <w:p w14:paraId="7806BD81" w14:textId="77777777" w:rsidR="00D66A4C" w:rsidRPr="007225C6" w:rsidRDefault="00D66A4C" w:rsidP="00D66A4C">
      <w:pPr>
        <w:pStyle w:val="NormalHanging12a"/>
      </w:pPr>
      <w:r w:rsidRPr="007225C6">
        <w:t>60.</w:t>
      </w:r>
      <w:r w:rsidRPr="007225C6">
        <w:tab/>
        <w:t>potiče Crnu Goru da uz financijsku potporu EU-a razvija zelenu tranziciju, poboljša svoj institucionalni i regulatorni okvir te pojača energetsku otpornost konačnim donošenjem i provedbom nacionalnog energetskog i klimatskog plana koji je davno trebao biti donesen, donošenjem zakona o energetskoj učinkovitosti i daljnjom integracijom s energetskim tržištima EU-a; poziva na to da se svi novi projekti zelene tranzicije provedu u skladu sa standardima EU-a u području okoliša, državnih potpora i koncesija;</w:t>
      </w:r>
    </w:p>
    <w:p w14:paraId="35A0EDBB" w14:textId="77777777" w:rsidR="00D66A4C" w:rsidRPr="007225C6" w:rsidRDefault="00D66A4C" w:rsidP="00D66A4C">
      <w:pPr>
        <w:pStyle w:val="NormalHanging12a"/>
      </w:pPr>
      <w:r w:rsidRPr="007225C6">
        <w:t>61.</w:t>
      </w:r>
      <w:r w:rsidRPr="007225C6">
        <w:tab/>
        <w:t xml:space="preserve">žali zbog nedostatka napretka u ključnim sektorskim reformama u području prometne politike; poziva crnogorske vlasti da usklade razvoj prometa te zemlje sa Strategijom za održivu i pametnu mobilnost za zapadni Balkan, s naglaskom na željeznici, </w:t>
      </w:r>
      <w:proofErr w:type="spellStart"/>
      <w:r w:rsidRPr="007225C6">
        <w:t>multimodalnosti</w:t>
      </w:r>
      <w:proofErr w:type="spellEnd"/>
      <w:r w:rsidRPr="007225C6">
        <w:t xml:space="preserve"> i smanjenju emisija CO</w:t>
      </w:r>
      <w:r w:rsidRPr="007225C6">
        <w:rPr>
          <w:vertAlign w:val="subscript"/>
        </w:rPr>
        <w:t>2</w:t>
      </w:r>
      <w:r w:rsidRPr="007225C6">
        <w:t xml:space="preserve"> i drugih utjecaja na okoliš, te da dodatno provedu svoju strategiju razvoja prometa i ojačaju administrativne kapacitete za provedbu transeuropskih prometnih mreža; </w:t>
      </w:r>
    </w:p>
    <w:p w14:paraId="79CD001D" w14:textId="77777777" w:rsidR="00D66A4C" w:rsidRPr="007225C6" w:rsidRDefault="00D66A4C" w:rsidP="00D66A4C">
      <w:pPr>
        <w:pStyle w:val="NormalHanging12a"/>
      </w:pPr>
      <w:r w:rsidRPr="007225C6">
        <w:t>62.</w:t>
      </w:r>
      <w:r w:rsidRPr="007225C6">
        <w:tab/>
        <w:t xml:space="preserve">pozdravlja smanjenje naknada za podatkovni </w:t>
      </w:r>
      <w:r w:rsidRPr="007225C6">
        <w:rPr>
          <w:i/>
          <w:iCs/>
        </w:rPr>
        <w:t>roaming</w:t>
      </w:r>
      <w:r w:rsidRPr="007225C6">
        <w:t xml:space="preserve"> između EU-a i zemalja zapadnog Balkana te poziva vlasti, privatne aktere i sve dionike da poduzmu sve korake koji su potrebni da bi se do 2028. cijene podatkovnog </w:t>
      </w:r>
      <w:r w:rsidRPr="007225C6">
        <w:rPr>
          <w:i/>
          <w:iCs/>
        </w:rPr>
        <w:t>roaminga</w:t>
      </w:r>
      <w:r w:rsidRPr="007225C6">
        <w:t xml:space="preserve"> približile nacionalnim cijenama; pozdravlja stupanje na snagu prve faze provedbe plana za </w:t>
      </w:r>
      <w:r w:rsidRPr="007225C6">
        <w:rPr>
          <w:i/>
          <w:iCs/>
        </w:rPr>
        <w:t>roaming</w:t>
      </w:r>
      <w:r w:rsidRPr="007225C6">
        <w:t xml:space="preserve"> između zapadnog Balkana i EU-a;</w:t>
      </w:r>
    </w:p>
    <w:p w14:paraId="488A48ED" w14:textId="77777777" w:rsidR="00D66A4C" w:rsidRPr="007225C6" w:rsidRDefault="00D66A4C" w:rsidP="00D66A4C">
      <w:pPr>
        <w:pStyle w:val="NormalHanging12a"/>
      </w:pPr>
      <w:r w:rsidRPr="007225C6">
        <w:t>63.</w:t>
      </w:r>
      <w:r w:rsidRPr="007225C6">
        <w:tab/>
        <w:t>potiče donošenje sektorskih strategija za gospodarenje otpadom, kvalitetu zraka i vode, zaštitu prirode i klimatske promjene, uz osiguravanje strateškog planiranja za ulaganja; primjećuje nedostatak napretka i s time povezane rastuće troškove u izgradnji neophodnih postrojenja za pročišćavanje otpadnih voda kako bi se spriječilo zagađenje rijeka i mora otpadnim vodama u sedam općina;</w:t>
      </w:r>
    </w:p>
    <w:p w14:paraId="7C1C979E" w14:textId="77777777" w:rsidR="00D66A4C" w:rsidRPr="007225C6" w:rsidRDefault="00D66A4C" w:rsidP="00D66A4C">
      <w:pPr>
        <w:pStyle w:val="NormalHanging12a"/>
      </w:pPr>
    </w:p>
    <w:p w14:paraId="6FF17B56" w14:textId="77777777" w:rsidR="00D66A4C" w:rsidRPr="007225C6" w:rsidRDefault="00D66A4C" w:rsidP="00D66A4C">
      <w:pPr>
        <w:pStyle w:val="NormalCenter12a"/>
      </w:pPr>
      <w:r w:rsidRPr="007225C6">
        <w:t>°</w:t>
      </w:r>
    </w:p>
    <w:p w14:paraId="1E1584A9" w14:textId="77777777" w:rsidR="00D66A4C" w:rsidRPr="007225C6" w:rsidRDefault="00D66A4C" w:rsidP="00D66A4C">
      <w:pPr>
        <w:pStyle w:val="NormalCenter12a"/>
      </w:pPr>
      <w:r w:rsidRPr="007225C6">
        <w:lastRenderedPageBreak/>
        <w:t>°</w:t>
      </w:r>
      <w:r w:rsidRPr="007225C6">
        <w:tab/>
        <w:t>°</w:t>
      </w:r>
    </w:p>
    <w:p w14:paraId="3A8F08F5" w14:textId="77777777" w:rsidR="00D66A4C" w:rsidRPr="007225C6" w:rsidRDefault="00D66A4C" w:rsidP="00D66A4C">
      <w:pPr>
        <w:pStyle w:val="NormalHanging12a"/>
      </w:pPr>
    </w:p>
    <w:p w14:paraId="1C57765F" w14:textId="77777777" w:rsidR="00AE012F" w:rsidRPr="007225C6" w:rsidRDefault="00D66A4C" w:rsidP="00AE012F">
      <w:pPr>
        <w:pStyle w:val="NormalHanging12a"/>
      </w:pPr>
      <w:r w:rsidRPr="007225C6">
        <w:t>64.</w:t>
      </w:r>
      <w:r w:rsidRPr="007225C6">
        <w:tab/>
        <w:t>nalaže svojoj predsjednici da ovu Rezoluciju proslijedi Vijeću, Komisiji, potpredsjednici Komisije / Visokoj predstavnici Unije za vanjske poslove i sigurnosnu politiku, povjerenici za proširenje, povjerenici za Mediteran, vladama i parlamentima država članica te predsjedniku, vladi i Skupštini Crne Gore te da osigura da se rezolucija prevede i objavi na crnogorskom jeziku.</w:t>
      </w:r>
    </w:p>
    <w:p w14:paraId="6264EC68" w14:textId="77777777" w:rsidR="00E365E1" w:rsidRPr="007225C6" w:rsidRDefault="00E365E1" w:rsidP="003515FE"/>
    <w:sectPr w:rsidR="00E365E1" w:rsidRPr="007225C6" w:rsidSect="00AE01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73A75" w14:textId="77777777" w:rsidR="003515FE" w:rsidRPr="00AE012F" w:rsidRDefault="003515FE">
      <w:r w:rsidRPr="00AE012F">
        <w:separator/>
      </w:r>
    </w:p>
  </w:endnote>
  <w:endnote w:type="continuationSeparator" w:id="0">
    <w:p w14:paraId="3F9C8F66" w14:textId="77777777" w:rsidR="003515FE" w:rsidRPr="00AE012F" w:rsidRDefault="003515FE">
      <w:r w:rsidRPr="00AE012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B0F78" w14:textId="77777777" w:rsidR="00064002" w:rsidRPr="00AE012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0F40" w14:textId="77777777" w:rsidR="00064002" w:rsidRPr="00AE012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39D8F" w14:textId="77777777" w:rsidR="00064002" w:rsidRPr="00AE012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6D50F" w14:textId="77777777" w:rsidR="003515FE" w:rsidRPr="00AE012F" w:rsidRDefault="003515FE">
      <w:r w:rsidRPr="00AE012F">
        <w:separator/>
      </w:r>
    </w:p>
  </w:footnote>
  <w:footnote w:type="continuationSeparator" w:id="0">
    <w:p w14:paraId="026274AB" w14:textId="77777777" w:rsidR="003515FE" w:rsidRPr="00AE012F" w:rsidRDefault="003515FE">
      <w:r w:rsidRPr="00AE012F">
        <w:continuationSeparator/>
      </w:r>
    </w:p>
  </w:footnote>
  <w:footnote w:id="1">
    <w:p w14:paraId="1846DB12" w14:textId="77777777" w:rsidR="00D66A4C" w:rsidRPr="00AE012F" w:rsidRDefault="00D66A4C" w:rsidP="00AE012F">
      <w:pPr>
        <w:pStyle w:val="FootnoteText"/>
        <w:ind w:left="567" w:hanging="567"/>
        <w:rPr>
          <w:sz w:val="24"/>
          <w:lang w:val="hr-HR"/>
        </w:rPr>
      </w:pPr>
      <w:r w:rsidRPr="00AE012F">
        <w:rPr>
          <w:rStyle w:val="FootnoteReference"/>
          <w:sz w:val="24"/>
          <w:lang w:val="hr-HR"/>
        </w:rPr>
        <w:footnoteRef/>
      </w:r>
      <w:r w:rsidR="00AE012F" w:rsidRPr="00AE012F">
        <w:rPr>
          <w:sz w:val="24"/>
          <w:lang w:val="hr-HR"/>
        </w:rPr>
        <w:t xml:space="preserve"> </w:t>
      </w:r>
      <w:r w:rsidR="00AE012F" w:rsidRPr="00AE012F">
        <w:rPr>
          <w:sz w:val="24"/>
          <w:lang w:val="hr-HR"/>
        </w:rPr>
        <w:tab/>
      </w:r>
      <w:r w:rsidRPr="00AE012F">
        <w:rPr>
          <w:sz w:val="24"/>
          <w:lang w:val="hr-HR"/>
        </w:rPr>
        <w:t xml:space="preserve">SL L 108, 29.4.2010., str. 3., ELI: </w:t>
      </w:r>
      <w:hyperlink r:id="rId1" w:history="1">
        <w:r w:rsidRPr="00AE012F">
          <w:rPr>
            <w:rStyle w:val="Hyperlink"/>
            <w:sz w:val="24"/>
            <w:lang w:val="hr-HR"/>
          </w:rPr>
          <w:t>http://data.europa.eu/eli/agree_internation/2010/224/oj</w:t>
        </w:r>
      </w:hyperlink>
      <w:r w:rsidRPr="00AE012F">
        <w:rPr>
          <w:sz w:val="24"/>
          <w:lang w:val="hr-HR"/>
        </w:rPr>
        <w:t xml:space="preserve">. </w:t>
      </w:r>
    </w:p>
  </w:footnote>
  <w:footnote w:id="2">
    <w:p w14:paraId="714EF310" w14:textId="77777777" w:rsidR="00D66A4C" w:rsidRPr="00AE012F" w:rsidRDefault="00D66A4C" w:rsidP="00AE012F">
      <w:pPr>
        <w:pStyle w:val="FootnoteText"/>
        <w:ind w:left="567" w:hanging="567"/>
        <w:rPr>
          <w:sz w:val="24"/>
          <w:lang w:val="hr-HR"/>
        </w:rPr>
      </w:pPr>
      <w:r w:rsidRPr="00AE012F">
        <w:rPr>
          <w:rStyle w:val="FootnoteReference"/>
          <w:sz w:val="24"/>
          <w:lang w:val="hr-HR"/>
        </w:rPr>
        <w:footnoteRef/>
      </w:r>
      <w:r w:rsidR="00AE012F" w:rsidRPr="00AE012F">
        <w:rPr>
          <w:sz w:val="24"/>
          <w:lang w:val="hr-HR"/>
        </w:rPr>
        <w:t xml:space="preserve"> </w:t>
      </w:r>
      <w:r w:rsidR="00AE012F" w:rsidRPr="00AE012F">
        <w:rPr>
          <w:sz w:val="24"/>
          <w:lang w:val="hr-HR"/>
        </w:rPr>
        <w:tab/>
      </w:r>
      <w:r w:rsidRPr="00AE012F">
        <w:rPr>
          <w:sz w:val="24"/>
          <w:lang w:val="hr-HR"/>
        </w:rPr>
        <w:t xml:space="preserve">SL L 330, 20.9.2021., str. 1., ELI: </w:t>
      </w:r>
      <w:hyperlink r:id="rId2" w:history="1">
        <w:r w:rsidRPr="00AE012F">
          <w:rPr>
            <w:rStyle w:val="Hyperlink"/>
            <w:sz w:val="24"/>
            <w:lang w:val="hr-HR"/>
          </w:rPr>
          <w:t>http://data.europa.eu/eli/reg/2021/1529/oj</w:t>
        </w:r>
      </w:hyperlink>
      <w:r w:rsidRPr="00AE012F">
        <w:rPr>
          <w:sz w:val="24"/>
          <w:lang w:val="hr-HR"/>
        </w:rPr>
        <w:t xml:space="preserve">. </w:t>
      </w:r>
    </w:p>
  </w:footnote>
  <w:footnote w:id="3">
    <w:p w14:paraId="7CCFAF7C" w14:textId="77777777" w:rsidR="00D66A4C" w:rsidRPr="00AE012F" w:rsidRDefault="00D66A4C" w:rsidP="00AE012F">
      <w:pPr>
        <w:pStyle w:val="FootnoteText"/>
        <w:ind w:left="567" w:hanging="567"/>
        <w:rPr>
          <w:sz w:val="24"/>
          <w:lang w:val="hr-HR"/>
        </w:rPr>
      </w:pPr>
      <w:r w:rsidRPr="00AE012F">
        <w:rPr>
          <w:rStyle w:val="FootnoteReference"/>
          <w:sz w:val="24"/>
          <w:lang w:val="hr-HR"/>
        </w:rPr>
        <w:footnoteRef/>
      </w:r>
      <w:r w:rsidR="00AE012F" w:rsidRPr="00AE012F">
        <w:rPr>
          <w:sz w:val="24"/>
          <w:lang w:val="hr-HR"/>
        </w:rPr>
        <w:t xml:space="preserve"> </w:t>
      </w:r>
      <w:r w:rsidR="00AE012F" w:rsidRPr="00AE012F">
        <w:rPr>
          <w:sz w:val="24"/>
          <w:lang w:val="hr-HR"/>
        </w:rPr>
        <w:tab/>
      </w:r>
      <w:r w:rsidRPr="00AE012F">
        <w:rPr>
          <w:sz w:val="24"/>
          <w:lang w:val="hr-HR"/>
        </w:rPr>
        <w:t xml:space="preserve">SL L, 2024/1449, 24.5.2024., ELI: </w:t>
      </w:r>
      <w:hyperlink r:id="rId3" w:history="1">
        <w:r w:rsidRPr="00AE012F">
          <w:rPr>
            <w:rStyle w:val="Hyperlink"/>
            <w:sz w:val="24"/>
            <w:lang w:val="hr-HR"/>
          </w:rPr>
          <w:t>http://data.europa.eu/eli/reg/2024/1449/oj</w:t>
        </w:r>
      </w:hyperlink>
      <w:r w:rsidRPr="00AE012F">
        <w:rPr>
          <w:sz w:val="24"/>
          <w:lang w:val="hr-HR"/>
        </w:rPr>
        <w:t xml:space="preserve">. </w:t>
      </w:r>
    </w:p>
  </w:footnote>
  <w:footnote w:id="4">
    <w:p w14:paraId="468C1FDB" w14:textId="77777777" w:rsidR="00D66A4C" w:rsidRPr="00AE012F" w:rsidRDefault="00D66A4C" w:rsidP="00AE012F">
      <w:pPr>
        <w:pStyle w:val="FootnoteText"/>
        <w:ind w:left="567" w:hanging="567"/>
        <w:rPr>
          <w:sz w:val="24"/>
          <w:lang w:val="hr-HR"/>
        </w:rPr>
      </w:pPr>
      <w:r w:rsidRPr="00AE012F">
        <w:rPr>
          <w:rStyle w:val="FootnoteReference"/>
          <w:sz w:val="24"/>
          <w:lang w:val="hr-HR"/>
        </w:rPr>
        <w:footnoteRef/>
      </w:r>
      <w:r w:rsidR="00AE012F" w:rsidRPr="00AE012F">
        <w:rPr>
          <w:sz w:val="24"/>
          <w:lang w:val="hr-HR"/>
        </w:rPr>
        <w:t xml:space="preserve"> </w:t>
      </w:r>
      <w:r w:rsidR="00AE012F" w:rsidRPr="00AE012F">
        <w:rPr>
          <w:sz w:val="24"/>
          <w:lang w:val="hr-HR"/>
        </w:rPr>
        <w:tab/>
      </w:r>
      <w:r w:rsidRPr="00AE012F">
        <w:rPr>
          <w:sz w:val="24"/>
          <w:lang w:val="hr-HR"/>
        </w:rPr>
        <w:t>SL C 167, 11.5.2023., str. 105.</w:t>
      </w:r>
    </w:p>
  </w:footnote>
  <w:footnote w:id="5">
    <w:p w14:paraId="08AEFF7C" w14:textId="77777777" w:rsidR="00D66A4C" w:rsidRPr="00AE012F" w:rsidRDefault="00D66A4C" w:rsidP="00AE012F">
      <w:pPr>
        <w:pStyle w:val="FootnoteText"/>
        <w:ind w:left="567" w:hanging="567"/>
        <w:rPr>
          <w:sz w:val="24"/>
          <w:lang w:val="hr-HR"/>
        </w:rPr>
      </w:pPr>
      <w:r w:rsidRPr="00AE012F">
        <w:rPr>
          <w:rStyle w:val="FootnoteReference"/>
          <w:sz w:val="24"/>
          <w:lang w:val="hr-HR"/>
        </w:rPr>
        <w:footnoteRef/>
      </w:r>
      <w:r w:rsidR="00AE012F" w:rsidRPr="00AE012F">
        <w:rPr>
          <w:sz w:val="24"/>
          <w:lang w:val="hr-HR"/>
        </w:rPr>
        <w:t xml:space="preserve"> </w:t>
      </w:r>
      <w:r w:rsidR="00AE012F" w:rsidRPr="00AE012F">
        <w:rPr>
          <w:sz w:val="24"/>
          <w:lang w:val="hr-HR"/>
        </w:rPr>
        <w:tab/>
      </w:r>
      <w:r w:rsidRPr="00AE012F">
        <w:rPr>
          <w:sz w:val="24"/>
          <w:lang w:val="hr-HR"/>
        </w:rPr>
        <w:t xml:space="preserve">SL C, C/2024/6746, 26.11.2024., ELI: </w:t>
      </w:r>
      <w:hyperlink r:id="rId4" w:history="1">
        <w:r w:rsidRPr="00AE012F">
          <w:rPr>
            <w:rStyle w:val="Hyperlink"/>
            <w:sz w:val="24"/>
            <w:lang w:val="hr-HR"/>
          </w:rPr>
          <w:t>http://data.europa.eu/eli/C/2024/6746/oj</w:t>
        </w:r>
      </w:hyperlink>
      <w:r w:rsidRPr="00AE012F">
        <w:rPr>
          <w:sz w:val="24"/>
          <w:lang w:val="hr-HR"/>
        </w:rPr>
        <w:t xml:space="preserve">. </w:t>
      </w:r>
    </w:p>
  </w:footnote>
  <w:footnote w:id="6">
    <w:p w14:paraId="3C8BF33E" w14:textId="77777777" w:rsidR="00D66A4C" w:rsidRPr="00AE012F" w:rsidRDefault="00D66A4C" w:rsidP="00AE012F">
      <w:pPr>
        <w:pStyle w:val="FootnoteText"/>
        <w:ind w:left="567" w:hanging="567"/>
        <w:rPr>
          <w:sz w:val="24"/>
          <w:lang w:val="hr-HR"/>
        </w:rPr>
      </w:pPr>
      <w:r w:rsidRPr="00AE012F">
        <w:rPr>
          <w:rStyle w:val="FootnoteReference"/>
          <w:sz w:val="24"/>
          <w:lang w:val="hr-HR"/>
        </w:rPr>
        <w:footnoteRef/>
      </w:r>
      <w:r w:rsidR="00AE012F" w:rsidRPr="00AE012F">
        <w:rPr>
          <w:sz w:val="24"/>
          <w:lang w:val="hr-HR"/>
        </w:rPr>
        <w:t xml:space="preserve"> </w:t>
      </w:r>
      <w:r w:rsidR="00AE012F" w:rsidRPr="00AE012F">
        <w:rPr>
          <w:sz w:val="24"/>
          <w:lang w:val="hr-HR"/>
        </w:rPr>
        <w:tab/>
      </w:r>
      <w:hyperlink r:id="rId5" w:history="1">
        <w:r w:rsidRPr="00AE012F">
          <w:rPr>
            <w:rStyle w:val="Hyperlink"/>
            <w:sz w:val="24"/>
            <w:lang w:val="hr-HR"/>
          </w:rPr>
          <w:t>https://www.osce.org/odihr/elections/montenegro</w:t>
        </w:r>
      </w:hyperlink>
      <w:r w:rsidRPr="00AE012F">
        <w:rPr>
          <w:color w:val="0000FF"/>
          <w:sz w:val="24"/>
          <w:u w:val="single" w:color="0000FF"/>
          <w:lang w:val="hr-HR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42432" w14:textId="77777777" w:rsidR="00064002" w:rsidRPr="00AE012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F3E61" w14:textId="77777777" w:rsidR="00064002" w:rsidRPr="00AE012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BE01A" w14:textId="77777777" w:rsidR="00064002" w:rsidRPr="00AE012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94868186">
    <w:abstractNumId w:val="9"/>
  </w:num>
  <w:num w:numId="2" w16cid:durableId="530850070">
    <w:abstractNumId w:val="9"/>
  </w:num>
  <w:num w:numId="3" w16cid:durableId="739864269">
    <w:abstractNumId w:val="7"/>
  </w:num>
  <w:num w:numId="4" w16cid:durableId="1357195974">
    <w:abstractNumId w:val="7"/>
  </w:num>
  <w:num w:numId="5" w16cid:durableId="1343238198">
    <w:abstractNumId w:val="6"/>
  </w:num>
  <w:num w:numId="6" w16cid:durableId="225730618">
    <w:abstractNumId w:val="6"/>
  </w:num>
  <w:num w:numId="7" w16cid:durableId="884483779">
    <w:abstractNumId w:val="5"/>
  </w:num>
  <w:num w:numId="8" w16cid:durableId="459811940">
    <w:abstractNumId w:val="5"/>
  </w:num>
  <w:num w:numId="9" w16cid:durableId="166479772">
    <w:abstractNumId w:val="4"/>
  </w:num>
  <w:num w:numId="10" w16cid:durableId="635646066">
    <w:abstractNumId w:val="4"/>
  </w:num>
  <w:num w:numId="11" w16cid:durableId="1223295367">
    <w:abstractNumId w:val="8"/>
  </w:num>
  <w:num w:numId="12" w16cid:durableId="542402895">
    <w:abstractNumId w:val="8"/>
  </w:num>
  <w:num w:numId="13" w16cid:durableId="1919099186">
    <w:abstractNumId w:val="3"/>
  </w:num>
  <w:num w:numId="14" w16cid:durableId="1017927774">
    <w:abstractNumId w:val="3"/>
  </w:num>
  <w:num w:numId="15" w16cid:durableId="83307570">
    <w:abstractNumId w:val="2"/>
  </w:num>
  <w:num w:numId="16" w16cid:durableId="1850948030">
    <w:abstractNumId w:val="2"/>
  </w:num>
  <w:num w:numId="17" w16cid:durableId="231087756">
    <w:abstractNumId w:val="1"/>
  </w:num>
  <w:num w:numId="18" w16cid:durableId="515920811">
    <w:abstractNumId w:val="1"/>
  </w:num>
  <w:num w:numId="19" w16cid:durableId="1578204997">
    <w:abstractNumId w:val="0"/>
  </w:num>
  <w:num w:numId="20" w16cid:durableId="211772157">
    <w:abstractNumId w:val="0"/>
  </w:num>
  <w:num w:numId="21" w16cid:durableId="1296571024">
    <w:abstractNumId w:val="9"/>
  </w:num>
  <w:num w:numId="22" w16cid:durableId="1469669309">
    <w:abstractNumId w:val="7"/>
  </w:num>
  <w:num w:numId="23" w16cid:durableId="1447314576">
    <w:abstractNumId w:val="6"/>
  </w:num>
  <w:num w:numId="24" w16cid:durableId="1570192455">
    <w:abstractNumId w:val="5"/>
  </w:num>
  <w:num w:numId="25" w16cid:durableId="2139689136">
    <w:abstractNumId w:val="4"/>
  </w:num>
  <w:num w:numId="26" w16cid:durableId="1025790456">
    <w:abstractNumId w:val="8"/>
  </w:num>
  <w:num w:numId="27" w16cid:durableId="571933334">
    <w:abstractNumId w:val="3"/>
  </w:num>
  <w:num w:numId="28" w16cid:durableId="2005740502">
    <w:abstractNumId w:val="2"/>
  </w:num>
  <w:num w:numId="29" w16cid:durableId="1701054437">
    <w:abstractNumId w:val="1"/>
  </w:num>
  <w:num w:numId="30" w16cid:durableId="1863199615">
    <w:abstractNumId w:val="0"/>
  </w:num>
  <w:num w:numId="31" w16cid:durableId="1076710133">
    <w:abstractNumId w:val="9"/>
  </w:num>
  <w:num w:numId="32" w16cid:durableId="770197752">
    <w:abstractNumId w:val="7"/>
  </w:num>
  <w:num w:numId="33" w16cid:durableId="176122463">
    <w:abstractNumId w:val="6"/>
  </w:num>
  <w:num w:numId="34" w16cid:durableId="2031178469">
    <w:abstractNumId w:val="5"/>
  </w:num>
  <w:num w:numId="35" w16cid:durableId="2113740678">
    <w:abstractNumId w:val="4"/>
  </w:num>
  <w:num w:numId="36" w16cid:durableId="50347844">
    <w:abstractNumId w:val="8"/>
  </w:num>
  <w:num w:numId="37" w16cid:durableId="1643197011">
    <w:abstractNumId w:val="3"/>
  </w:num>
  <w:num w:numId="38" w16cid:durableId="1889760953">
    <w:abstractNumId w:val="2"/>
  </w:num>
  <w:num w:numId="39" w16cid:durableId="862286791">
    <w:abstractNumId w:val="1"/>
  </w:num>
  <w:num w:numId="40" w16cid:durableId="803084508">
    <w:abstractNumId w:val="0"/>
  </w:num>
  <w:num w:numId="41" w16cid:durableId="2039236596">
    <w:abstractNumId w:val="10"/>
  </w:num>
  <w:num w:numId="42" w16cid:durableId="244848729">
    <w:abstractNumId w:val="10"/>
  </w:num>
  <w:num w:numId="43" w16cid:durableId="1730687266">
    <w:abstractNumId w:val="10"/>
  </w:num>
  <w:num w:numId="44" w16cid:durableId="123917300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93/2025"/>
    <w:docVar w:name="dvlangue" w:val="HR"/>
    <w:docVar w:name="dvnumam" w:val="0"/>
    <w:docVar w:name="dvpe" w:val="769.896"/>
    <w:docVar w:name="dvrapporteur" w:val="Izvjestitelj: "/>
    <w:docVar w:name="dvtitre" w:val="Rezolucija Europskog parlamenta od .... 2025. o izvješćima Komisije o Crnoj Gori za 2023. i 2024.(2025/2020(INI))"/>
  </w:docVars>
  <w:rsids>
    <w:rsidRoot w:val="003515F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15F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225C6"/>
    <w:rsid w:val="00731ADD"/>
    <w:rsid w:val="00734777"/>
    <w:rsid w:val="00747932"/>
    <w:rsid w:val="00751A4A"/>
    <w:rsid w:val="00756632"/>
    <w:rsid w:val="00762C74"/>
    <w:rsid w:val="00786EC0"/>
    <w:rsid w:val="00794584"/>
    <w:rsid w:val="007D1690"/>
    <w:rsid w:val="007E22AD"/>
    <w:rsid w:val="00817416"/>
    <w:rsid w:val="008351D9"/>
    <w:rsid w:val="00842779"/>
    <w:rsid w:val="00865F67"/>
    <w:rsid w:val="00881A7B"/>
    <w:rsid w:val="008840E5"/>
    <w:rsid w:val="00887B3E"/>
    <w:rsid w:val="008C2AC6"/>
    <w:rsid w:val="009220E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12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6A4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4D76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0FCA1B"/>
  <w15:chartTrackingRefBased/>
  <w15:docId w15:val="{3C24EF6F-A5AE-4294-B7A8-59E8E897A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66A4C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D66A4C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D66A4C"/>
    <w:pPr>
      <w:spacing w:after="240"/>
      <w:jc w:val="center"/>
    </w:pPr>
  </w:style>
  <w:style w:type="character" w:customStyle="1" w:styleId="BoldItalic">
    <w:name w:val="BoldItalic"/>
    <w:uiPriority w:val="1"/>
    <w:rsid w:val="00D66A4C"/>
    <w:rPr>
      <w:b/>
      <w:i/>
      <w:u w:val="none"/>
    </w:rPr>
  </w:style>
  <w:style w:type="character" w:customStyle="1" w:styleId="Italic">
    <w:name w:val="Italic"/>
    <w:uiPriority w:val="1"/>
    <w:rsid w:val="00D66A4C"/>
    <w:rPr>
      <w:i/>
    </w:rPr>
  </w:style>
  <w:style w:type="paragraph" w:customStyle="1" w:styleId="Normal12a24b">
    <w:name w:val="Normal12a24b"/>
    <w:basedOn w:val="Normal"/>
    <w:rsid w:val="00D66A4C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D66A4C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D66A4C"/>
    <w:rPr>
      <w:snapToGrid w:val="0"/>
      <w:sz w:val="24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449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10/224/oj" TargetMode="External"/><Relationship Id="rId5" Type="http://schemas.openxmlformats.org/officeDocument/2006/relationships/hyperlink" Target="https://www.osce.org/odihr/elections/montenegro" TargetMode="External"/><Relationship Id="rId4" Type="http://schemas.openxmlformats.org/officeDocument/2006/relationships/hyperlink" Target="http://data.europa.eu/eli/C/2024/67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372A4-607A-4EC5-8C65-8795231D1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5708</Words>
  <Characters>34931</Characters>
  <Application>Microsoft Office Word</Application>
  <DocSecurity>0</DocSecurity>
  <Lines>1164</Lines>
  <Paragraphs>359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BUTIGAN Gabrijela</cp:lastModifiedBy>
  <cp:revision>2</cp:revision>
  <cp:lastPrinted>2004-11-19T15:42:00Z</cp:lastPrinted>
  <dcterms:created xsi:type="dcterms:W3CDTF">2025-07-23T15:11:00Z</dcterms:created>
  <dcterms:modified xsi:type="dcterms:W3CDTF">2025-07-23T15:11:00Z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A10-0093/2025</vt:lpwstr>
  </property>
  <property fmtid="{D5CDD505-2E9C-101B-9397-08002B2CF9AE}" pid="4" name="&lt;Type&gt;">
    <vt:lpwstr>RR</vt:lpwstr>
  </property>
</Properties>
</file>