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3022" w14:paraId="106128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D5C2AD" w14:textId="77777777" w:rsidR="00751A4A" w:rsidRPr="00393022" w:rsidRDefault="00751685" w:rsidP="0010095E">
            <w:pPr>
              <w:pStyle w:val="EPName"/>
            </w:pPr>
            <w:r w:rsidRPr="00393022">
              <w:t>Európai Parlament</w:t>
            </w:r>
          </w:p>
          <w:p w14:paraId="1A9A5837" w14:textId="77777777" w:rsidR="00751A4A" w:rsidRPr="003930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3022">
              <w:t>2024</w:t>
            </w:r>
            <w:r w:rsidR="00817416" w:rsidRPr="00393022">
              <w:t>-202</w:t>
            </w:r>
            <w:r w:rsidRPr="00393022">
              <w:t>9</w:t>
            </w:r>
          </w:p>
        </w:tc>
        <w:tc>
          <w:tcPr>
            <w:tcW w:w="2268" w:type="dxa"/>
            <w:shd w:val="clear" w:color="auto" w:fill="auto"/>
          </w:tcPr>
          <w:p w14:paraId="2E370901" w14:textId="77777777" w:rsidR="00751A4A" w:rsidRPr="00393022" w:rsidRDefault="00187494" w:rsidP="0010095E">
            <w:pPr>
              <w:pStyle w:val="EPLogo"/>
            </w:pPr>
            <w:r w:rsidRPr="00393022">
              <w:rPr>
                <w:noProof/>
                <w:lang w:eastAsia="hu-HU"/>
              </w:rPr>
              <w:drawing>
                <wp:inline distT="0" distB="0" distL="0" distR="0" wp14:anchorId="194071D4" wp14:editId="585B97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645EB4" w14:textId="77777777" w:rsidR="00D058B8" w:rsidRPr="00393022" w:rsidRDefault="00D058B8" w:rsidP="004C5D52">
      <w:pPr>
        <w:pStyle w:val="LineTop"/>
      </w:pPr>
    </w:p>
    <w:p w14:paraId="7792183F" w14:textId="77777777" w:rsidR="00680577" w:rsidRPr="00393022" w:rsidRDefault="00751685" w:rsidP="00680577">
      <w:pPr>
        <w:pStyle w:val="EPBodyTA1"/>
      </w:pPr>
      <w:r w:rsidRPr="00393022">
        <w:t>ELFOGADOTT SZÖVEGEK</w:t>
      </w:r>
    </w:p>
    <w:p w14:paraId="3AB928A4" w14:textId="77777777" w:rsidR="00D058B8" w:rsidRPr="00393022" w:rsidRDefault="00D058B8" w:rsidP="00D058B8">
      <w:pPr>
        <w:pStyle w:val="LineBottom"/>
      </w:pPr>
    </w:p>
    <w:p w14:paraId="6C58E9E0" w14:textId="77777777" w:rsidR="00751685" w:rsidRPr="00393022" w:rsidRDefault="00751685" w:rsidP="00751685">
      <w:pPr>
        <w:pStyle w:val="ATHeading1"/>
      </w:pPr>
      <w:bookmarkStart w:id="0" w:name="TANumber"/>
      <w:r w:rsidRPr="00393022">
        <w:t>P10_</w:t>
      </w:r>
      <w:proofErr w:type="gramStart"/>
      <w:r w:rsidRPr="00393022">
        <w:t>TA(</w:t>
      </w:r>
      <w:proofErr w:type="gramEnd"/>
      <w:r w:rsidRPr="00393022">
        <w:t>2025)0</w:t>
      </w:r>
      <w:r w:rsidR="00393022" w:rsidRPr="00393022">
        <w:t>130</w:t>
      </w:r>
      <w:bookmarkEnd w:id="0"/>
    </w:p>
    <w:p w14:paraId="2A112F76" w14:textId="77777777" w:rsidR="00751685" w:rsidRPr="00393022" w:rsidRDefault="00751685" w:rsidP="00751685">
      <w:pPr>
        <w:pStyle w:val="ATHeading2"/>
      </w:pPr>
      <w:bookmarkStart w:id="1" w:name="title"/>
      <w:r w:rsidRPr="00393022">
        <w:t>A Montenegróról szóló 2023. és 2024. évi jelentés</w:t>
      </w:r>
      <w:bookmarkEnd w:id="1"/>
    </w:p>
    <w:p w14:paraId="705689B9" w14:textId="77777777" w:rsidR="00751685" w:rsidRPr="00393022" w:rsidRDefault="00751685" w:rsidP="00751685">
      <w:pPr>
        <w:rPr>
          <w:i/>
          <w:vanish/>
        </w:rPr>
      </w:pPr>
      <w:r w:rsidRPr="00393022">
        <w:rPr>
          <w:i/>
        </w:rPr>
        <w:fldChar w:fldCharType="begin"/>
      </w:r>
      <w:r w:rsidRPr="00393022">
        <w:rPr>
          <w:i/>
        </w:rPr>
        <w:instrText xml:space="preserve"> TC"(</w:instrText>
      </w:r>
      <w:bookmarkStart w:id="2" w:name="DocNumber"/>
      <w:r w:rsidRPr="00393022">
        <w:rPr>
          <w:i/>
        </w:rPr>
        <w:instrText>A10-0093/2025</w:instrText>
      </w:r>
      <w:bookmarkEnd w:id="2"/>
      <w:r w:rsidRPr="00393022">
        <w:rPr>
          <w:i/>
        </w:rPr>
        <w:instrText xml:space="preserve"> - Előadó: Marjan Šarec)"\l3 \n&gt; \* MERGEFORMAT </w:instrText>
      </w:r>
      <w:r w:rsidRPr="00393022">
        <w:rPr>
          <w:i/>
        </w:rPr>
        <w:fldChar w:fldCharType="end"/>
      </w:r>
    </w:p>
    <w:p w14:paraId="42EE5F77" w14:textId="77777777" w:rsidR="00751685" w:rsidRPr="00393022" w:rsidRDefault="00751685" w:rsidP="00751685">
      <w:pPr>
        <w:rPr>
          <w:vanish/>
        </w:rPr>
      </w:pPr>
      <w:bookmarkStart w:id="3" w:name="Commission"/>
      <w:r w:rsidRPr="00393022">
        <w:rPr>
          <w:vanish/>
        </w:rPr>
        <w:t>Külügyi Bizottság</w:t>
      </w:r>
      <w:bookmarkEnd w:id="3"/>
    </w:p>
    <w:p w14:paraId="4DD12961" w14:textId="77777777" w:rsidR="00751685" w:rsidRPr="00393022" w:rsidRDefault="00751685" w:rsidP="00751685">
      <w:pPr>
        <w:rPr>
          <w:vanish/>
        </w:rPr>
      </w:pPr>
      <w:bookmarkStart w:id="4" w:name="PE"/>
      <w:r w:rsidRPr="00393022">
        <w:rPr>
          <w:vanish/>
        </w:rPr>
        <w:t>PE769.896</w:t>
      </w:r>
      <w:bookmarkEnd w:id="4"/>
    </w:p>
    <w:p w14:paraId="6C2D3D36" w14:textId="77777777" w:rsidR="00751685" w:rsidRPr="00393022" w:rsidRDefault="00751685" w:rsidP="00751685">
      <w:pPr>
        <w:pStyle w:val="ATHeading3"/>
      </w:pPr>
      <w:bookmarkStart w:id="5" w:name="Sujet"/>
      <w:r w:rsidRPr="00393022">
        <w:t xml:space="preserve">Az Európai Parlament 2025. </w:t>
      </w:r>
      <w:r w:rsidR="000C6CF9" w:rsidRPr="00393022">
        <w:t>június</w:t>
      </w:r>
      <w:r w:rsidRPr="00393022">
        <w:t xml:space="preserve"> </w:t>
      </w:r>
      <w:r w:rsidR="00BC12EF" w:rsidRPr="00393022">
        <w:t>18-</w:t>
      </w:r>
      <w:r w:rsidRPr="00393022">
        <w:t>i állásfoglalása a Bizottság Montenegróról szóló 2023. és 2024. évi jelentéseiről</w:t>
      </w:r>
      <w:bookmarkEnd w:id="5"/>
      <w:r w:rsidRPr="00393022">
        <w:t xml:space="preserve"> </w:t>
      </w:r>
      <w:bookmarkStart w:id="6" w:name="References"/>
      <w:r w:rsidRPr="00393022">
        <w:t>(2025/2020(INI))</w:t>
      </w:r>
      <w:bookmarkEnd w:id="6"/>
    </w:p>
    <w:p w14:paraId="1E922BB1" w14:textId="77777777" w:rsidR="00A253A1" w:rsidRPr="00393022" w:rsidRDefault="00A253A1" w:rsidP="00A253A1">
      <w:pPr>
        <w:pStyle w:val="EPComma"/>
      </w:pPr>
      <w:r w:rsidRPr="00393022">
        <w:rPr>
          <w:rStyle w:val="Italic"/>
        </w:rPr>
        <w:t>Az Európai Parlament,</w:t>
      </w:r>
    </w:p>
    <w:p w14:paraId="68A2EE81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az egyrészről az Európai Közösségek és tagállamaik, másrészről a Montenegrói Köztársaság közötti stabilizációs és társulási megállapodásra</w:t>
      </w:r>
      <w:r w:rsidRPr="00393022">
        <w:rPr>
          <w:rStyle w:val="FootnoteReference"/>
        </w:rPr>
        <w:footnoteReference w:id="1"/>
      </w:r>
      <w:r w:rsidRPr="00393022">
        <w:t>, amely 2010. május 1-jén lépett hatályba,</w:t>
      </w:r>
    </w:p>
    <w:p w14:paraId="4DA4B676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Montenegró európai uniós tagságra irányuló, 2008. december 15-i kérelmére,</w:t>
      </w:r>
    </w:p>
    <w:p w14:paraId="42F8A06A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Bizottság 2010. november 9-i véleményére Montenegró európai uniós tagság iránti kérelméről (</w:t>
      </w:r>
      <w:hyperlink r:id="rId9" w:history="1">
        <w:proofErr w:type="gramStart"/>
        <w:r w:rsidRPr="00393022">
          <w:t>COM(</w:t>
        </w:r>
        <w:proofErr w:type="gramEnd"/>
        <w:r w:rsidRPr="00393022">
          <w:t>2010)0670</w:t>
        </w:r>
      </w:hyperlink>
      <w:r w:rsidRPr="00393022">
        <w:t>), az Európai Tanács 2010. december 16–17-i határozatára a tagjelölti státusz Montenegró részére történő megadásáról és az Európai Tanács 2012. június 29-i határozatára a Montenegróval való uniós csatlakozási tárgyalások megkezdéséről,</w:t>
      </w:r>
    </w:p>
    <w:p w14:paraId="572ECA4A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az Előcsatlakozási Támogatási Eszköz (IPA III) létrehozásáról szóló, 2021. szeptember 15-i (EU) 2021/1529 európai parlamenti és tanácsi rendeletre</w:t>
      </w:r>
      <w:r w:rsidRPr="00393022">
        <w:rPr>
          <w:rStyle w:val="FootnoteReference"/>
        </w:rPr>
        <w:footnoteReference w:id="2"/>
      </w:r>
      <w:r w:rsidRPr="00393022">
        <w:t>,</w:t>
      </w:r>
    </w:p>
    <w:p w14:paraId="3913532C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Nyugat-balkáni Reform- és Növekedéstámogató Eszköz létrehozásáról szóló, 2024. május 14-i (EU) 2024/1449 európai parlamenti és tanácsi rendeletre</w:t>
      </w:r>
      <w:r w:rsidRPr="00393022">
        <w:rPr>
          <w:rStyle w:val="FootnoteReference"/>
        </w:rPr>
        <w:footnoteReference w:id="3"/>
      </w:r>
      <w:r w:rsidRPr="00393022">
        <w:t>,</w:t>
      </w:r>
    </w:p>
    <w:p w14:paraId="356A941B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az Európai Tanács 2003. június 19–20-án, Szalonikiben tartott ülésének elnökségi következtetéseire,</w:t>
      </w:r>
    </w:p>
    <w:p w14:paraId="54C09079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2018. május 17-i EU–Nyugat-Balkán csúcstalálkozón kiadott szófiai nyilatkozatra és az ehhez csatolt kiemelt célkitűzések szófiai menetrendjére,</w:t>
      </w:r>
    </w:p>
    <w:p w14:paraId="7A73426D" w14:textId="77777777" w:rsidR="00A253A1" w:rsidRPr="00393022" w:rsidRDefault="00A253A1" w:rsidP="000C6CF9">
      <w:pPr>
        <w:pStyle w:val="NormalHanging12a"/>
      </w:pPr>
      <w:r w:rsidRPr="00393022">
        <w:lastRenderedPageBreak/>
        <w:t>–</w:t>
      </w:r>
      <w:r w:rsidRPr="00393022">
        <w:tab/>
        <w:t>tekintettel a 2023. december 13-i és a 2024. december 18-i brüsszeli EU–Nyugat-Balkán csúcstalálkozó nyilatkozataira,</w:t>
      </w:r>
    </w:p>
    <w:p w14:paraId="32C852F3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2014. augusztus 28-án megkezdett berlini folyamatra,</w:t>
      </w:r>
    </w:p>
    <w:p w14:paraId="4A22F7CA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„A Nyugat-Balkánra vonatkozó gazdaságélénkítési és beruházási terv” című, 2020. október 6-i bizottsági közleményre (</w:t>
      </w:r>
      <w:hyperlink r:id="rId10" w:history="1">
        <w:proofErr w:type="gramStart"/>
        <w:r w:rsidRPr="00393022">
          <w:t>COM(</w:t>
        </w:r>
        <w:proofErr w:type="gramEnd"/>
        <w:r w:rsidRPr="00393022">
          <w:t>2020)0641</w:t>
        </w:r>
      </w:hyperlink>
      <w:r w:rsidRPr="00393022">
        <w:t>),</w:t>
      </w:r>
    </w:p>
    <w:p w14:paraId="3A88CD1C" w14:textId="3C7AF92F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„2023. évi közlemény az EU bővítési stratégiájáról” című, 2023. </w:t>
      </w:r>
      <w:r w:rsidR="005F39AA">
        <w:t>november</w:t>
      </w:r>
      <w:r w:rsidRPr="00393022">
        <w:t> </w:t>
      </w:r>
      <w:r w:rsidR="005F39AA">
        <w:t>8</w:t>
      </w:r>
      <w:r w:rsidRPr="00393022">
        <w:t>-i bizottsági közleményre (</w:t>
      </w:r>
      <w:hyperlink r:id="rId11" w:history="1">
        <w:r w:rsidRPr="00393022">
          <w:t>COM(2023)0690</w:t>
        </w:r>
      </w:hyperlink>
      <w:r w:rsidRPr="00393022">
        <w:t>) és az azt kísérő, „2023. évi jelentés Montenegróról” című bizottsági szolgálati munkadokumentumra (</w:t>
      </w:r>
      <w:hyperlink r:id="rId12" w:history="1">
        <w:r w:rsidRPr="00393022">
          <w:t>SWD(202</w:t>
        </w:r>
        <w:r w:rsidR="005F39AA">
          <w:t>3</w:t>
        </w:r>
        <w:r w:rsidRPr="00393022">
          <w:t>)0694</w:t>
        </w:r>
      </w:hyperlink>
      <w:r w:rsidRPr="00393022">
        <w:t>),</w:t>
      </w:r>
    </w:p>
    <w:p w14:paraId="2D318503" w14:textId="719603D5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„A Nyugat-Balkánra vonatkozó gazdaságélénkítési és beruházási terv” című, 2023. november 8-i bizottsági közleményre (</w:t>
      </w:r>
      <w:hyperlink r:id="rId13" w:history="1">
        <w:proofErr w:type="gramStart"/>
        <w:r w:rsidRPr="00393022">
          <w:t>COM(</w:t>
        </w:r>
        <w:proofErr w:type="gramEnd"/>
        <w:r w:rsidRPr="00393022">
          <w:t>202</w:t>
        </w:r>
        <w:r w:rsidR="005F39AA">
          <w:t>3</w:t>
        </w:r>
        <w:r w:rsidRPr="00393022">
          <w:t>)0691</w:t>
        </w:r>
      </w:hyperlink>
      <w:r w:rsidRPr="00393022">
        <w:t>),</w:t>
      </w:r>
    </w:p>
    <w:p w14:paraId="5FC895C3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bővítést megelőző reformokról és szakpolitikai felülvizsgálatokról szóló, 2024. március 20-i bizottsági közleményre (</w:t>
      </w:r>
      <w:hyperlink r:id="rId14" w:history="1">
        <w:proofErr w:type="gramStart"/>
        <w:r w:rsidRPr="00393022">
          <w:t>COM(</w:t>
        </w:r>
        <w:proofErr w:type="gramEnd"/>
        <w:r w:rsidRPr="00393022">
          <w:t>2024)0146</w:t>
        </w:r>
      </w:hyperlink>
      <w:r w:rsidRPr="00393022">
        <w:t>),</w:t>
      </w:r>
    </w:p>
    <w:p w14:paraId="2D26333B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„2024. évi jogállamisági jelentés” című, 2024. július 24-i bizottsági közleményre (</w:t>
      </w:r>
      <w:hyperlink r:id="rId15" w:history="1">
        <w:r w:rsidRPr="00393022">
          <w:t>COM(2024)0800</w:t>
        </w:r>
      </w:hyperlink>
      <w:r w:rsidRPr="00393022">
        <w:t>), amelyet a „2024. évi jogállamisági jelentés – Országfejezet – A jogállamiság helyzete Montenegróban” című bizottsági szolgálati munkadokumentum kísér (</w:t>
      </w:r>
      <w:hyperlink r:id="rId16" w:history="1">
        <w:r w:rsidRPr="00393022">
          <w:t>SWD(2024)0829</w:t>
        </w:r>
      </w:hyperlink>
      <w:r w:rsidRPr="00393022">
        <w:t>),</w:t>
      </w:r>
    </w:p>
    <w:p w14:paraId="2D882CA9" w14:textId="51D45A2F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„2024. évi közlemény az EU bővítési stratégiájáról” című, 2024. október 30-i bizottsági közleményre (</w:t>
      </w:r>
      <w:hyperlink r:id="rId17" w:history="1">
        <w:r w:rsidRPr="00393022">
          <w:t>COM(2024)0690</w:t>
        </w:r>
      </w:hyperlink>
      <w:r w:rsidRPr="00393022">
        <w:t>) és az azt kísérő, „2024. évi jelentés Montenegróról” című bizottsági szolgálati munkadokumentumra (</w:t>
      </w:r>
      <w:hyperlink r:id="rId18" w:history="1">
        <w:r w:rsidRPr="00393022">
          <w:t>SWD(202</w:t>
        </w:r>
        <w:r w:rsidR="005F39AA">
          <w:t>4</w:t>
        </w:r>
        <w:r w:rsidRPr="00393022">
          <w:t>)0694</w:t>
        </w:r>
      </w:hyperlink>
      <w:r w:rsidRPr="00393022">
        <w:t>),</w:t>
      </w:r>
    </w:p>
    <w:p w14:paraId="5C261B25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Bizottság 2023. május 31-i és 2024. június 13-i, Montenegró gazdasági reformprogramjáról szóló áttekintésére és országértékeléseire, továbbá az EU, valamint a Nyugat-Balkán és Törökország közötti gazdasági és pénzügyi párbeszédnek a Tanács által 2023. május 16-án elfogadott együttes következtetéseire, valamint az EU és a nyugat-balkáni partnerek, Törökország, Grúzia, a Moldovai Köztársaság és Ukrajna közötti gazdasági és pénzügyi párbeszédnek a Tanács által 2024. május 14-én elfogadott közös következtetéseire,</w:t>
      </w:r>
    </w:p>
    <w:p w14:paraId="3CEC4CC8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2021. június 22-i, 2021. december 13-i, 2024. január 29-i, 2024. június 26-i és 2024. december 16-i, Montenegró Európai Unióhoz történő csatlakozásáról szóló kormányközi konferenciákra,</w:t>
      </w:r>
    </w:p>
    <w:p w14:paraId="504A758A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az EU–Montenegró Stabilizációs és Társulási Tanács 2022. július 14-i 11. ülésére,</w:t>
      </w:r>
    </w:p>
    <w:p w14:paraId="538C03A7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az EU–Montenegró Stabilizációs és Társulási Parlamenti Bizottság 2024. október 31-én és november 1-jén tartott 22. ülésén elfogadott nyilatkozatra és ajánlásokra,</w:t>
      </w:r>
    </w:p>
    <w:p w14:paraId="3D74F350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Montenegró 2017. június 5-i NATO-csatlakozására,</w:t>
      </w:r>
    </w:p>
    <w:p w14:paraId="4AA70F24" w14:textId="77777777" w:rsidR="00A253A1" w:rsidRPr="00393022" w:rsidRDefault="00A253A1" w:rsidP="000C6CF9">
      <w:pPr>
        <w:pStyle w:val="NormalHanging12a"/>
      </w:pPr>
      <w:r w:rsidRPr="00393022">
        <w:lastRenderedPageBreak/>
        <w:t>–</w:t>
      </w:r>
      <w:r w:rsidRPr="00393022">
        <w:tab/>
        <w:t>tekintettel az Európai Számvevőszék 1/2022 sz., „A nyugat-balkáni országok jogállamiságához nyújtott uniós támogatás: a törekvések ellenére nem szűntek meg egyes alapvető problémák” című, 2022. január 10-i különjelentésére,</w:t>
      </w:r>
    </w:p>
    <w:p w14:paraId="05FCB212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az Európa Tanácsnak a nőkkel szembeni erőszak és a kapcsolati erőszak elleni küzdelemről és azok megelőzéséről szóló egyezményére (isztambuli egyezmény), amelyet Montenegró 2013-ban ratifikált, valamint a Bizottság nemek közötti egyenlőségről és a nemi alapú erőszak elleni küzdelemről szóló ajánlásaira,</w:t>
      </w:r>
    </w:p>
    <w:p w14:paraId="4A4815C9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Riporterek Határok Nélkül által évente közzétett sajtószabadság-indexre,</w:t>
      </w:r>
    </w:p>
    <w:p w14:paraId="4A78912B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az ENSZ Menekültügyi Ügynökségének (UNHCR) az ukrajnai menekültek helyzetére vonatkozó, 2025</w:t>
      </w:r>
      <w:r w:rsidR="000C6CF9" w:rsidRPr="00393022">
        <w:t>.</w:t>
      </w:r>
      <w:r w:rsidRPr="00393022">
        <w:t xml:space="preserve"> áprilisi adataira,</w:t>
      </w:r>
    </w:p>
    <w:p w14:paraId="0E65ED99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Tanácshoz, a Bizottsághoz és a Bizottság alelnökéhez/az Unió külügyi és biztonságpolitikai főképviselőjéhez intézett, az új uniós bővítési stratégiára vonatkozó, 2022. november 23-i ajánlására</w:t>
      </w:r>
      <w:r w:rsidRPr="00393022">
        <w:rPr>
          <w:rStyle w:val="FootnoteReference"/>
        </w:rPr>
        <w:footnoteReference w:id="4"/>
      </w:r>
      <w:r w:rsidRPr="00393022">
        <w:t>,</w:t>
      </w:r>
    </w:p>
    <w:p w14:paraId="7758CB4A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Montenegróról szóló korábbi állásfoglalásaira,</w:t>
      </w:r>
    </w:p>
    <w:p w14:paraId="247BC561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„Az uniós integráció elmélyítéséről a jövőbeli bővítésre tekintettel” című, 2024. február 29-i állásfoglalására</w:t>
      </w:r>
      <w:r w:rsidRPr="00393022">
        <w:rPr>
          <w:vertAlign w:val="superscript"/>
        </w:rPr>
        <w:footnoteReference w:id="5"/>
      </w:r>
      <w:r w:rsidRPr="00393022">
        <w:t>,</w:t>
      </w:r>
    </w:p>
    <w:p w14:paraId="3B4FD881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eljárási szabályzata 55. cikkére,</w:t>
      </w:r>
    </w:p>
    <w:p w14:paraId="0131A489" w14:textId="77777777" w:rsidR="00A253A1" w:rsidRPr="00393022" w:rsidRDefault="00A253A1" w:rsidP="000C6CF9">
      <w:pPr>
        <w:pStyle w:val="NormalHanging12a"/>
      </w:pPr>
      <w:r w:rsidRPr="00393022">
        <w:t>–</w:t>
      </w:r>
      <w:r w:rsidRPr="00393022">
        <w:tab/>
        <w:t>tekintettel a Külügyi Bizottság jelentésére (A10-0093/2025),</w:t>
      </w:r>
    </w:p>
    <w:p w14:paraId="6881BCD0" w14:textId="77777777" w:rsidR="00A253A1" w:rsidRPr="00393022" w:rsidRDefault="00A253A1" w:rsidP="000C6CF9">
      <w:pPr>
        <w:pStyle w:val="NormalHanging12a"/>
      </w:pPr>
      <w:r w:rsidRPr="00393022">
        <w:t>A.</w:t>
      </w:r>
      <w:r w:rsidRPr="00393022">
        <w:tab/>
        <w:t>mivel a bővítés kulcsfontosságú uniós külpolitikai eszköz, továbbá geostratégiai befektetés a békébe, a stabilitásba, a biztonságba és a jólétbe;</w:t>
      </w:r>
    </w:p>
    <w:p w14:paraId="5435555F" w14:textId="77777777" w:rsidR="00A253A1" w:rsidRPr="00393022" w:rsidRDefault="00A253A1" w:rsidP="000C6CF9">
      <w:pPr>
        <w:pStyle w:val="NormalHanging12a"/>
      </w:pPr>
      <w:r w:rsidRPr="00393022">
        <w:t>B.</w:t>
      </w:r>
      <w:r w:rsidRPr="00393022">
        <w:tab/>
        <w:t>mivel az újabb bővítési törekvések, melyeknek a megváltozott geopolitikai valóság, valamint több keleti partnerország uniós tagságra irányuló kérelme adott lendületet, arra sarkallták az EU-t, hogy felgyorsítsa a Nyugat-Balkán felé tett kötelezettségvállalásainak régóta időszerű beváltására irányuló erőfeszítéseket; mivel a nyugat-balkáni országok jövőjét az Európai Unió jelenti;</w:t>
      </w:r>
    </w:p>
    <w:p w14:paraId="1D1912B4" w14:textId="77777777" w:rsidR="00A253A1" w:rsidRPr="00393022" w:rsidRDefault="00A253A1" w:rsidP="000C6CF9">
      <w:pPr>
        <w:pStyle w:val="NormalHanging12a"/>
      </w:pPr>
      <w:r w:rsidRPr="00393022">
        <w:t>C.</w:t>
      </w:r>
      <w:r w:rsidRPr="00393022">
        <w:tab/>
        <w:t>mivel minden országot a koppenhágai kritériumok teljesítése terén elért érdemei alapján ítélnek meg, beleértve a demokrácia, a jogállamiság, a jó kormányzás és az alapvető uniós értékek teljes körű tiszteletben tartását, valamint az uniós kül- és biztonságpolitikához való igazodást is; mivel az „alapkérdéseket” érintő szükséges reformok végrehajtása határozza meg a csatlakozási folyamat menetrendjét és előrehaladását;</w:t>
      </w:r>
    </w:p>
    <w:p w14:paraId="65EF3A29" w14:textId="77777777" w:rsidR="00A253A1" w:rsidRPr="00393022" w:rsidRDefault="00A253A1" w:rsidP="000C6CF9">
      <w:pPr>
        <w:pStyle w:val="NormalHanging12a"/>
      </w:pPr>
      <w:r w:rsidRPr="00393022">
        <w:t>D.</w:t>
      </w:r>
      <w:r w:rsidRPr="00393022">
        <w:tab/>
        <w:t>mivel Montenegró jutott a legmesszebbre a csatlakozási folyamatban, miután megnyitotta az uniós vívmányok mind a 33 fejezetét, és ideiglenesen lezárt hat fejezetet, és a csatlakozás jelentős társadalmi támogatottságot élvez;</w:t>
      </w:r>
    </w:p>
    <w:p w14:paraId="25972EA2" w14:textId="77777777" w:rsidR="00A253A1" w:rsidRPr="00393022" w:rsidRDefault="00A253A1" w:rsidP="000C6CF9">
      <w:pPr>
        <w:pStyle w:val="NormalHanging12a"/>
      </w:pPr>
      <w:r w:rsidRPr="00393022">
        <w:lastRenderedPageBreak/>
        <w:t>E</w:t>
      </w:r>
      <w:r w:rsidR="00460ACF" w:rsidRPr="00393022">
        <w:t>.</w:t>
      </w:r>
      <w:r w:rsidRPr="00393022">
        <w:tab/>
        <w:t xml:space="preserve">mivel az Unió Montenegró legjelentősebb kereskedelmi és beruházási partnere, és a legnagyobb pénzügyi támogatást nyújtja számára; </w:t>
      </w:r>
    </w:p>
    <w:p w14:paraId="33E4BA5E" w14:textId="77777777" w:rsidR="00A253A1" w:rsidRPr="00393022" w:rsidRDefault="00A253A1" w:rsidP="000C6CF9">
      <w:pPr>
        <w:pStyle w:val="NormalHanging12a"/>
      </w:pPr>
      <w:r w:rsidRPr="00393022">
        <w:t>F</w:t>
      </w:r>
      <w:r w:rsidR="00460ACF" w:rsidRPr="00393022">
        <w:t>.</w:t>
      </w:r>
      <w:r w:rsidRPr="00393022">
        <w:tab/>
        <w:t>mivel Montenegró rosszindulatú külföldi befolyásnak, dezinformációs kampányoknak és a befolyásolás egyéb formáinak van kitéve, beleértve a választási beavatkozást, a hibrid hadviselési stratégiákat és a nem uniós szereplők, különösen Oroszország és Kína kedvezőtlen beruházásait, amelyek megpróbálják befolyásolni Montenegró politikai, gazdasági és stratégiai pályáját, és veszélyeztetik a demokratikus folyamatokat és a média integritását, veszélyeztetve az ország uniós csatlakozási kilátásait;</w:t>
      </w:r>
    </w:p>
    <w:p w14:paraId="68CE86DB" w14:textId="77777777" w:rsidR="00A253A1" w:rsidRPr="00393022" w:rsidRDefault="00A253A1" w:rsidP="000C6CF9">
      <w:pPr>
        <w:pStyle w:val="NormalHanging12a"/>
      </w:pPr>
      <w:r w:rsidRPr="00393022">
        <w:t>G.</w:t>
      </w:r>
      <w:r w:rsidRPr="00393022">
        <w:tab/>
        <w:t>mivel 2024. június 8-án magas rangú parlamenti tisztviselők részvételével „Egy nép, egy nemzetgyűlés” szlogennel egy „össz-szerb gyűlésre” került sor Belgrádban;</w:t>
      </w:r>
    </w:p>
    <w:p w14:paraId="5618702D" w14:textId="77777777" w:rsidR="00A253A1" w:rsidRPr="00393022" w:rsidRDefault="00A253A1" w:rsidP="000C6CF9">
      <w:pPr>
        <w:pStyle w:val="Normal12a24b"/>
        <w:widowControl/>
        <w:spacing w:before="0"/>
        <w:ind w:left="567" w:hanging="567"/>
      </w:pPr>
      <w:r w:rsidRPr="00393022">
        <w:rPr>
          <w:rStyle w:val="BoldItalic"/>
        </w:rPr>
        <w:t>Az uniós csatlakozás iránti elkötelezettség</w:t>
      </w:r>
    </w:p>
    <w:p w14:paraId="0294486A" w14:textId="77777777" w:rsidR="00A253A1" w:rsidRPr="00393022" w:rsidRDefault="00A253A1" w:rsidP="000C6CF9">
      <w:pPr>
        <w:pStyle w:val="NormalHanging12a"/>
      </w:pPr>
      <w:r w:rsidRPr="00393022">
        <w:t>1.</w:t>
      </w:r>
      <w:r w:rsidRPr="00393022">
        <w:tab/>
        <w:t>elismeri Montenegró uniós csatlakozás iránti szilárd elkötelezettségét, és megerősíti, hogy teljes mértékben támogatja az ország jövőbeli uniós tagságát; üdvözli, hogy Montenegró a régión belül első helyen áll az uniós csatlakozási folyamatban, és hogy állampolgárai és politikai szereplőinek többsége elsöprő többséggel támogatják a 2028-as uniós csatlakozást;</w:t>
      </w:r>
    </w:p>
    <w:p w14:paraId="0DAACABA" w14:textId="77777777" w:rsidR="00A253A1" w:rsidRPr="00393022" w:rsidRDefault="00A253A1" w:rsidP="000C6CF9">
      <w:pPr>
        <w:pStyle w:val="NormalHanging12a"/>
      </w:pPr>
      <w:r w:rsidRPr="00393022">
        <w:t>2.</w:t>
      </w:r>
      <w:r w:rsidRPr="00393022">
        <w:tab/>
        <w:t>üdvözli, hogy Montenegró pozitív eredményeket ért el az EU-val kapcsolatos reformok és intézkedések végrehajtása terén, amelyeket egy ambiciózus ütemterv támaszt alá, és felszólít a politikai szereplők, a civil társadalom és a polgárok közös erőfeszítéseire; elismerését fejezi ki Montenegrónak azért, hogy teljesítette a 23. és 24. fejezetre vonatkozó időközi kritériumokat, amelyek meghatározók a tárgyalások általános üteme szempontjából, és hogy az időközi kritériumok értékeléséről kedvező jelentést kapott; üdvözli, hogy három további tárgyalási fejezet lezárásra került, így a lezárt tárgyalási fejezetek teljes száma hat;</w:t>
      </w:r>
    </w:p>
    <w:p w14:paraId="6C2FE83C" w14:textId="77777777" w:rsidR="00A253A1" w:rsidRPr="00393022" w:rsidRDefault="00A253A1" w:rsidP="000C6CF9">
      <w:pPr>
        <w:pStyle w:val="NormalHanging12a"/>
      </w:pPr>
      <w:r w:rsidRPr="00393022">
        <w:t>3.</w:t>
      </w:r>
      <w:r w:rsidRPr="00393022">
        <w:tab/>
        <w:t>ösztönzi az összes politikai szereplőt, hogy továbbra is az uniós integrációra és a szükséges reformokra összpontosítsanak; hangsúlyozza, hogy politikai stabilitásra, elkötelezettségre és a pártok közötti konszenzus kialakításában konstruktív együttműködésre van szükség a további fejezetek lezárása felé való gyorsabb és hatékonyabb elmozdulás érdekében, hogy tartani lehessen az ország ambiciózus ütemtervét; hangsúlyozza, hogy az elfogadott reformokat hatékonyan és következetesen kell végrehajtani a valódi előrehaladás és az uniós jogszabályokkal való teljes összhang biztosítása érdekében; felszólít az állami intézmények működésének és koordinációjának megerősítésére a politikai stabilitás elérése és az EU-val kapcsolatos kulcsfontosságú reformok végrehajtása terén elért jelentős előrehaladás továbbvitele érdekében, különös tekintettel a választási és igazságügyi reformokra, valamint a szervezett bűnözés és a korrupció elleni küzdelemre;</w:t>
      </w:r>
    </w:p>
    <w:p w14:paraId="04ED2C27" w14:textId="77777777" w:rsidR="00A253A1" w:rsidRPr="00393022" w:rsidRDefault="00A253A1" w:rsidP="000C6CF9">
      <w:pPr>
        <w:pStyle w:val="NormalHanging12a"/>
      </w:pPr>
      <w:r w:rsidRPr="00393022">
        <w:t>4.</w:t>
      </w:r>
      <w:r w:rsidRPr="00393022">
        <w:tab/>
        <w:t>hangsúlyozza, hogy az EU hitelességének – és ezen belül a bővítési politika egésze hitelességének is – árthat, ha az egyes nyugat-balkáni országok által elért kézzelfogható eredmények nem eredményeznek egyértelmű előrelépéseket az uniós csatlakozás felé vezető úton;</w:t>
      </w:r>
    </w:p>
    <w:p w14:paraId="19C38C71" w14:textId="77777777" w:rsidR="00A253A1" w:rsidRPr="00393022" w:rsidRDefault="00A253A1" w:rsidP="000C6CF9">
      <w:pPr>
        <w:pStyle w:val="NormalHanging12a"/>
      </w:pPr>
      <w:r w:rsidRPr="00393022">
        <w:t>5.</w:t>
      </w:r>
      <w:r w:rsidRPr="00393022">
        <w:tab/>
        <w:t xml:space="preserve">üdvözli, hogy Montenegró továbbra is teljes mértékben igazodik az EU közös kül- és biztonságpolitikájához (KKBP), beleértve az EU korlátozó intézkedéseit, többek között az Oroszország Ukrajna elleni agressziós háborújával kapcsolatos és a kibertámadások </w:t>
      </w:r>
      <w:r w:rsidRPr="00393022">
        <w:lastRenderedPageBreak/>
        <w:t>elhárítását célzó intézkedéseket, valamint hogy támogatja a nemzetközi szabályokon alapuló rendet az ENSZ szintjén; ösztönzi Montenegrót, hogy erősítse meg a korlátozó intézkedések végrehajtását és kerülje azok kijátszását, valamint foglalja le a szankciókkal érintett személyek eszközeit; felszólítja a kormány valamennyi képviselőjét, hogy tartsák tiszteletben és mozdítsák elő a KKBP-hez való igazodást és az uniós értékeket, és tartózkodjanak minden olyan tevékenységtől, amely veszélyeztetheti Montenegró uniós tagsághoz vezető stratégiai útját és szuverenitását; ebben az összefüggésben rendkívül aggasztónak tartja a magas rangú tisztviselőknek a Bosznia-Hercegovina szuverenitását és területi integritását aláásó Milorad Dodikot, a Boszniai Szerb Köztársaság entitás elnökét támogató nyilatkozatait; sajnálatát fejezi ki a montenegrói parlament magas rangú tisztviselőinek a belgrádi „össz-szerb gyűlésen” való részvétele miatt, és amiatt, hogy támogatták az ott elfogadott, Montenegró, Bosznia-Hercegovina és Koszovó szuverenitását aláásó nyilatkozatot;</w:t>
      </w:r>
    </w:p>
    <w:p w14:paraId="7DEF8E55" w14:textId="77777777" w:rsidR="00A253A1" w:rsidRPr="00393022" w:rsidRDefault="00A253A1" w:rsidP="000C6CF9">
      <w:pPr>
        <w:pStyle w:val="NormalHanging12a"/>
      </w:pPr>
      <w:r w:rsidRPr="00393022">
        <w:t>6.</w:t>
      </w:r>
      <w:r w:rsidRPr="00393022">
        <w:tab/>
        <w:t>kiemeli Montenegró NATO-tagságának stratégiai fontosságát, és üdvözli Montenegró aktív részvételét az EU közös biztonság- és védelempolitikai misszióiban és műveleteiben, köztük az EU Atalanta haditengerészeti műveletében, valamint a NATO- és más nemzetközi, illetve többoldalú missziókban; üdvözli Montenegró védelmi és biztonsági tanácsának azon döntését, hogy jóváhagyja fegyveres erőinek részvételét az EU Ukrajnát támogató katonai segítségnyújtási missziójában, valamint a NATO Ukrajna javára folytatott biztonsági segítségnyújtási és kiképzési missziójában, és felszólítja a montenegrói parlamentet, hogy fogadja el ezeket a határozatokat, megerősítve ezáltal az ország kollektív biztonság iránti elkötelezettségét;</w:t>
      </w:r>
    </w:p>
    <w:p w14:paraId="6A34576D" w14:textId="77777777" w:rsidR="00A253A1" w:rsidRPr="00393022" w:rsidRDefault="00A253A1" w:rsidP="000C6CF9">
      <w:pPr>
        <w:pStyle w:val="NormalHanging12a"/>
      </w:pPr>
      <w:r w:rsidRPr="00393022">
        <w:t>7.</w:t>
      </w:r>
      <w:r w:rsidRPr="00393022">
        <w:tab/>
        <w:t>elismerését fejezi ki Montenegrónak az Ukrajna számára nyújtott humanitárius és anyagi támogatásáért, valamint az ideiglenes védelmi mechanizmus meghosszabbításáért, amely az Ukrajnából menekülőknek jogot biztosít arra, hogy egy évig Montenegróban tartózkodjanak; emlékeztet arra, hogy Montenegró a legtöbb ukrán menekültet befogadó nyugat-balkáni országok közé tartozik, és az UNHCR statisztikái szerint 2025. január 31-ig több mint 18 800 Ukrajnából érkező menekültet regisztráltak Montenegróban;</w:t>
      </w:r>
    </w:p>
    <w:p w14:paraId="750AD6DF" w14:textId="77777777" w:rsidR="00A253A1" w:rsidRPr="00393022" w:rsidRDefault="00A253A1" w:rsidP="000C6CF9">
      <w:pPr>
        <w:pStyle w:val="NormalHanging12a"/>
      </w:pPr>
      <w:r w:rsidRPr="00393022">
        <w:t>8.</w:t>
      </w:r>
      <w:r w:rsidRPr="00393022">
        <w:tab/>
        <w:t>továbbra is komolyan aggódik a rosszindulatú külföldi beavatkozás, a destabilizációra irányuló erőfeszítések, a kibertámadások, a hibrid fenyegetések és a dezinformációs kampányok miatt – beleértve harmadik országbeli szereplőknek a politikai folyamatok és a közvélemény befolyásolására irányuló kísérleteit –, amelyek az EU hiteltelenítését célozzák, és aláássák Montenegró csatlakozási menetrendjének előrehaladását; sürgeti Montenegrót, hogy az EU-val és a NATO-val való szorosabb együttműködés, valamint a nyugat-balkáni országok közötti fokozott regionális együttműködés révén fogadjon el ellenintézkedéseket; megjegyzi, hogy a vallási intézmények a külső befolyásolás eszközeként használhatók, és elítéli a Szerb Ortodox Egyház ezzel kapcsolatos bármely indokolatlan beavatkozását; ismételten hangsúlyozza a külföldi információmanipulációval és beavatkozással szembeni reziliencia kiépítésének fontosságát, többek között a médiakörnyezet fokozottabb felügyelete, a közvélemény figyelmét felkeltő kampányok és a médiatudatossági programok révén; javasolja, hogy Montenegró hozzon létre egy hibrid fenyegetésekkel foglalkozó munkacsoportot;</w:t>
      </w:r>
    </w:p>
    <w:p w14:paraId="3BE226E4" w14:textId="77777777" w:rsidR="00A253A1" w:rsidRPr="00393022" w:rsidRDefault="00A253A1" w:rsidP="000C6CF9">
      <w:pPr>
        <w:pStyle w:val="NormalHanging12a"/>
      </w:pPr>
      <w:r w:rsidRPr="00393022">
        <w:t>9.</w:t>
      </w:r>
      <w:r w:rsidRPr="00393022">
        <w:tab/>
        <w:t xml:space="preserve">sürgeti a Bizottságot, az Európai Külügyi Szolgálatot (EKSZ), az EU montenegrói küldöttségét és a montenegrói hatóságokat, hogy fokozzák a montenegrói polgárokat a bővítési folyamat és az uniós tagság előnyeiről, valamint azokról a konkrét csatlakozási kritériumokról tájékoztató stratégiai kommunikációt, amelyeket Montenegrónak még </w:t>
      </w:r>
      <w:r w:rsidRPr="00393022">
        <w:lastRenderedPageBreak/>
        <w:t>teljesítenie kell ahhoz, hogy igazodjon az uniós követelményekhez; sürgeti továbbá őket, hogy javítsák az EU láthatóságát az országban, többek között az uniós finanszírozású projektek tekintetében is; kéri hogy a StratCom keretében végzett ellenőrzést terjesszék ki a nyugat-balkáni országokban és szomszédaikban tapasztalható, határokon átnyúló dezinformációs fenyegetésekre; felhívja a Bizottságot, hogy továbbra is támogassa az EKSZ és a nyugat-balkáni stratégiai kommunikációval foglalkozó munkacsoport arra irányuló erőfeszítéseit, hogy kiterjesszék tájékoztatási tevékenységeiket azáltal, hogy növelik a láthatóságot a helyi médiában, tényellenőrzési jelentéseket tesznek közzé, és együttműködnek a civil társadalmi szervezetekkel a hamis narratívák elleni hatékonyabb fellépés érdekében;</w:t>
      </w:r>
    </w:p>
    <w:p w14:paraId="6DFAD8A9" w14:textId="77777777" w:rsidR="00A253A1" w:rsidRPr="00393022" w:rsidRDefault="00A253A1" w:rsidP="000C6CF9">
      <w:pPr>
        <w:pStyle w:val="NormalHanging12a"/>
      </w:pPr>
      <w:r w:rsidRPr="00393022">
        <w:t>10.</w:t>
      </w:r>
      <w:r w:rsidRPr="00393022">
        <w:tab/>
        <w:t>üdvözli, hogy a montenegrói parlament ismét részt vesz a Stabilizációs és Társulási Parlamenti Bizottságban;</w:t>
      </w:r>
    </w:p>
    <w:p w14:paraId="4B56B172" w14:textId="77777777" w:rsidR="00A253A1" w:rsidRPr="00393022" w:rsidRDefault="00A253A1" w:rsidP="000C6CF9">
      <w:pPr>
        <w:pStyle w:val="Normal12a24b"/>
        <w:widowControl/>
        <w:spacing w:before="0"/>
        <w:ind w:left="567" w:hanging="567"/>
      </w:pPr>
      <w:r w:rsidRPr="00393022">
        <w:rPr>
          <w:rStyle w:val="BoldItalic"/>
        </w:rPr>
        <w:t>Demokrácia és jogállamiság</w:t>
      </w:r>
    </w:p>
    <w:p w14:paraId="57E24B8A" w14:textId="77777777" w:rsidR="00A253A1" w:rsidRPr="00393022" w:rsidRDefault="00A253A1" w:rsidP="000C6CF9">
      <w:pPr>
        <w:pStyle w:val="NormalHanging12a"/>
      </w:pPr>
      <w:r w:rsidRPr="00393022">
        <w:t>11.</w:t>
      </w:r>
      <w:r w:rsidRPr="00393022">
        <w:tab/>
        <w:t>elismeri a montenegrói parlament kulcsfontosságú szerepét a csatlakozási folyamatban, különösen a csatlakozással kapcsolatos jogszabályok elfogadása tekintetében, és hangsúlyozza e tekintetben a parlamenti együttműködés fontosságát; megismétli, hogy az Európai Parlament készen áll arra, hogy politikai és technikai erőforrásait felhasználja az EU-val kapcsolatos reformprogram előmozdítására, többek között demokráciatámogatási tevékenységek révén; aggodalommal veszi tudomásul az újra kibontakozó feszültségeket és az etnikai polarizációt, amelyek lassítják a reformfolyamatot; konstruktív párbeszédre és konszenzusépítésre szólít fel a politikai spektrum egészében, előnyben részesítve a jogalkotás minőségét, és határozottan sürgeti, hogy parlamenti párbeszéd révén találjanak megoldásokat; felszólít annak megakadályozására, hogy az identitáspolitika elterelje a figyelmet az uniós menetrendről vagy feszültté tegye a szomszédos országokkal való kapcsolatokat, biztosítva, hogy Montenegró határozottan az EU felé vezető úton maradjon; üdvözli a montenegrói miniszterelnök és az ellenzéki vezetők közötti megállapodást, amely szerint véleményezésre kérik fel a Velencei Bizottságot Dragana Đuranović alkotmánybírósági bíró megbízatásának megszüntetése és az ellenzék parlamentbe való visszatérése ügyében;</w:t>
      </w:r>
    </w:p>
    <w:p w14:paraId="1F78C0E8" w14:textId="77777777" w:rsidR="00A253A1" w:rsidRPr="00393022" w:rsidRDefault="00A253A1" w:rsidP="000C6CF9">
      <w:pPr>
        <w:pStyle w:val="NormalHanging12a"/>
      </w:pPr>
      <w:r w:rsidRPr="00393022">
        <w:t>12.</w:t>
      </w:r>
      <w:r w:rsidRPr="00393022">
        <w:tab/>
        <w:t>aggodalmát fejezi ki a montenegrói állampolgárságról szóló törvény parlamenti módosítására irányuló kísérletek miatt, amelyek súlyos és hosszú távú következményekkel járhatnak az ország döntéshozatali folyamataira és identitására nézve, ugyanakkor hangsúlyozza, hogy a további polarizáció elkerülése érdekében az identitáspolitikáról szóló vitákat a legnagyobb érzékenységgel kell kezelni, és széles körű társadalmi konszenzusra kell törekedni; ösztönzi a montenegrói hatóságokat, hogy konzultáljanak és egyeztessenek az EU-val az állampolgárságról szóló törvény esetleges módosításairól, és hangsúlyozza annak fontosságát, hogy konszenzus szülessen az e tárgyhoz kapcsolódó valamennyi kérdésben, mivel ez kulcsfontosságú Montenegró identitása és függetlensége szempontjából;</w:t>
      </w:r>
    </w:p>
    <w:p w14:paraId="768D3A9A" w14:textId="77777777" w:rsidR="00A253A1" w:rsidRPr="00393022" w:rsidRDefault="00A253A1" w:rsidP="000C6CF9">
      <w:pPr>
        <w:pStyle w:val="NormalHanging12a"/>
      </w:pPr>
      <w:r w:rsidRPr="00393022">
        <w:t>13.</w:t>
      </w:r>
      <w:r w:rsidRPr="00393022">
        <w:tab/>
        <w:t>határozottan ösztönzi a montenegrói parlamentet, hogy tartson inkluzív és átlátható nyilvános konzultációkat, és a döntéshozatal során folytasson rendszeres és érdemi együttműködést a civil társadalommal a jogalkotási folyamat korai szakaszától kezdve, különösen az uniós reformfolyamat kulcsfontosságú jogszabályai tekintetében; ösztönzi a női parlamenti képviselők csoportjának aktívabb szerepvállalását;</w:t>
      </w:r>
    </w:p>
    <w:p w14:paraId="230E1A3C" w14:textId="77777777" w:rsidR="00A253A1" w:rsidRPr="00393022" w:rsidRDefault="00A253A1" w:rsidP="000C6CF9">
      <w:pPr>
        <w:pStyle w:val="NormalHanging12a"/>
      </w:pPr>
      <w:r w:rsidRPr="00393022">
        <w:lastRenderedPageBreak/>
        <w:t>14.</w:t>
      </w:r>
      <w:r w:rsidRPr="00393022">
        <w:tab/>
        <w:t>felszólítja Montenegrót, hogy teljes mértékben hangolja össze választási jogi keretét az uniós normákkal, különösen a választási jogszabályok harmonizálása, a szavazati és jelöltségi jogok korlátozása, az átláthatóság, a vitarendezési mechanizmusok, a kampány és a média felügyelete, valamint a politikai pártok és választási kampányok finanszírozása tekintetében, és hajtsa végre az Európai Biztonsági és Együttműködési Szervezet Demokratikus Intézmények és Emberi Jogok Hivatalának ajánlásait</w:t>
      </w:r>
      <w:r w:rsidRPr="00393022">
        <w:rPr>
          <w:rStyle w:val="FootnoteReference"/>
        </w:rPr>
        <w:footnoteReference w:id="6"/>
      </w:r>
      <w:r w:rsidRPr="00393022">
        <w:t>; sürgeti Montenegrót, hogy növelje a politikai pártok kiadásainak átláthatóságát és felügyeletét, és akadályozza meg az állami forrásokkal való visszaélést a vonatkozó jogszabályok uniós normákkal való összehangolása, valamint a harmadik felek általi finanszírozásra vonatkozó szabályok érvényesítése és a jogsértésekre vonatkozó szankciók megerősítése révén; kiemeli a Korrupciómegelőzési Ügynökség (APC) szerepét e tekintetben, és fokozott együttműködésre szólít fel az APC és a pénzügyi hírszerző hatóságok között a politikai kampányok külföldi befolyásolásának felderítése és megelőzése érdekében; felszólítja továbbá Montenegrót, hogy hajtsa végre a nőkkel szembeni hátrányos megkülönböztetés felszámolásával foglalkozó ENSZ-bizottságnak (CEDAW) a nemek közötti egyenlőség választási listákon való érvényesítésére vonatkozó ajánlásait;</w:t>
      </w:r>
    </w:p>
    <w:p w14:paraId="6F114609" w14:textId="77777777" w:rsidR="00A253A1" w:rsidRPr="00393022" w:rsidRDefault="00A253A1" w:rsidP="000C6CF9">
      <w:pPr>
        <w:pStyle w:val="NormalHanging12a"/>
      </w:pPr>
      <w:r w:rsidRPr="00393022">
        <w:t>15.</w:t>
      </w:r>
      <w:r w:rsidRPr="00393022">
        <w:tab/>
        <w:t>ismételten felhívja a montenegrói hatóságokat, hogy a kormányzás hatékonyságának növelése, a politikai feszültségek csökkentése, valamint az önkormányzati és állami intézmények stabilitásának és hatékonyságának erősítése érdekében jelöljenek ki egy országos választási napot a helyhatósági választások lebonyolítására a helyi önkormányzatokról szóló törvény rendelkezéseinek megfelelően; emlékeztet arra, hogy a Reform- és Növekedéstámogató Eszköz keretében történő jövőbeli kifizetések e reform végrehajtásától függnek, összhangban Montenegró reformprogramjában foglalt kötelezettségvállalásokkal, és azt prioritásként kell kezelni; üdvözli, hogy 2022-ben 14 településen ugyanazon a napon tartották a választásokat; e tekintetben egy szilárd jogszabályi keret kialakítását szorgalmazza; aggodalmát fejezi ki a Šavnik településen lezajlott választás során elkövetett visszaélések miatt;</w:t>
      </w:r>
    </w:p>
    <w:p w14:paraId="04B8CA19" w14:textId="77777777" w:rsidR="00A253A1" w:rsidRPr="00393022" w:rsidRDefault="00A253A1" w:rsidP="000C6CF9">
      <w:pPr>
        <w:pStyle w:val="NormalHanging12a"/>
      </w:pPr>
      <w:r w:rsidRPr="00393022">
        <w:t>16.</w:t>
      </w:r>
      <w:r w:rsidRPr="00393022">
        <w:tab/>
        <w:t>felhívja a montenegrói hatóságokat, hogy fogadják el a kormányzásról szóló törvényt, amely lehetővé teszi a jobb irányítási keret létrejöttét és a közigazgatás optimalizálását;</w:t>
      </w:r>
    </w:p>
    <w:p w14:paraId="402DDA41" w14:textId="77777777" w:rsidR="00A253A1" w:rsidRPr="00393022" w:rsidRDefault="00A253A1" w:rsidP="000C6CF9">
      <w:pPr>
        <w:pStyle w:val="NormalHanging12a"/>
      </w:pPr>
      <w:r w:rsidRPr="00393022">
        <w:t>17.</w:t>
      </w:r>
      <w:r w:rsidRPr="00393022">
        <w:tab/>
        <w:t>hangsúlyozza a professzionális, érdemeken alapuló, átlátható és politikamentes közszolgálat fontosságát; felszólítja Montenegrót, hogy módosítsa és hajtsa végre a vonatkozó jogszabályokat annak érdekében, hogy keretet biztosítson az államigazgatás professzionalizálásához, optimalizálásához és észszerűsítéséhez, a kinevezésekkel és elbocsátásokkal kapcsolatos politikai indíttatású döntésekkel szembeni eljárási biztosítékokat, valamint a vezetői pozíciókra vonatkozó magas szintű normákat; sajnálatát fejezi ki amiatt, hogy nem történt jelentős előrelépés az ilyen jogszabályok elfogadása és hatékony végrehajtása terén, és kiemeli, hogy ez lehetővé teszi, hogy a közszolgálati munkaerőfelvétel továbbra is politikai befolyás tárgya legyen;</w:t>
      </w:r>
    </w:p>
    <w:p w14:paraId="3A1AB9CB" w14:textId="77777777" w:rsidR="00A253A1" w:rsidRPr="00393022" w:rsidRDefault="00A253A1" w:rsidP="000C6CF9">
      <w:pPr>
        <w:pStyle w:val="NormalHanging12a"/>
      </w:pPr>
      <w:r w:rsidRPr="00393022">
        <w:t>18.</w:t>
      </w:r>
      <w:r w:rsidRPr="00393022">
        <w:tab/>
        <w:t>üdvözli, hogy Montenegró szerepel a Bizottság 2024. évi jogállamisági jelentésében; aggodalommal veszi tudomásul a feltárt hiányosságokat, többek között a bírói kinevezéseket és az ügyészség függetlenségét érintően;</w:t>
      </w:r>
    </w:p>
    <w:p w14:paraId="2E5673D8" w14:textId="77777777" w:rsidR="00A253A1" w:rsidRPr="00393022" w:rsidRDefault="00A253A1" w:rsidP="000C6CF9">
      <w:pPr>
        <w:pStyle w:val="NormalHanging12a"/>
      </w:pPr>
      <w:r w:rsidRPr="00393022">
        <w:lastRenderedPageBreak/>
        <w:t>19.</w:t>
      </w:r>
      <w:r w:rsidRPr="00393022">
        <w:tab/>
        <w:t>üdvözli a kulcsfontosságú igazságügyi reformok végrehajtása, az új stratégiai keret elfogadása és a régóta húzódó bírói kinevezések véglegesítése terén elért eredményeket; felszólítja Montenegrót, hogy töltse be a fennmaradó magas szintű bírói tisztségeket;</w:t>
      </w:r>
    </w:p>
    <w:p w14:paraId="45A6E9CE" w14:textId="77777777" w:rsidR="00A253A1" w:rsidRPr="00393022" w:rsidRDefault="00A253A1" w:rsidP="000C6CF9">
      <w:pPr>
        <w:pStyle w:val="NormalHanging12a"/>
      </w:pPr>
      <w:r w:rsidRPr="00393022">
        <w:t>20.</w:t>
      </w:r>
      <w:r w:rsidRPr="00393022">
        <w:tab/>
        <w:t>sürgeti Montenegrót, hogy még jobban hangolja össze jogi keretét, többek között az alkotmányt is – különösen  a Bírói Tanács összetétele és döntéshozatali folyamata tekintetében – az igazságszolgáltatás függetlenségére, elszámoltathatóságára, pártatlanságára, integritására és szakmaiságára vonatkozó uniós jogszabályokkal és normákkal, hogy folytassa a kinevezések depolitizálását a függetlenség megerősítése érdekében, hajtsa végre a még nem teljesített nemzetközi ajánlásokat, és az európai normákkal összhangban és az alkotmány teljes körű tiszteletben tartásával határozza meg a bírák és ügyészek nyugdíjazására vonatkozó kritériumokat; sajnálatát fejezi ki a függőben lévő ügyhátralék miatt, és felszólítja Montenegrót, hogy hozzon intézkedéseket a bírósági eljárások időtartamának csökkentésére, főként a súlyos bűncselekményekkel és a szervezett bűnözéssel, különösen a pénzmosással kapcsolatos kapcsolatos ügyekben; javasolja, hogy Montenegró az uniós csatlakozási tárgyalások végső szakaszában fogadja el az alkotmánymódosításokat;</w:t>
      </w:r>
    </w:p>
    <w:p w14:paraId="2F64507D" w14:textId="77777777" w:rsidR="00A253A1" w:rsidRPr="00393022" w:rsidRDefault="00A253A1" w:rsidP="000C6CF9">
      <w:pPr>
        <w:pStyle w:val="NormalHanging12a"/>
      </w:pPr>
      <w:r w:rsidRPr="00393022">
        <w:t>21.</w:t>
      </w:r>
      <w:r w:rsidRPr="00393022">
        <w:tab/>
        <w:t>tudomásul veszi a korrupció elleni küzdelem terén tett lépéseket, beleértve a visszaélést bejelentő személyek védelméről szóló új jogszabályokat és rendelkezéseket, a korrupció elleni küzdelemmel foglalkozó új nemzeti tanács létrehozását, valamint a 2024–2028-as időszakra vonatkozó új korrupció elleni stratégiát; ösztönzi Montenegrót, hogy folytassa az uniós vívmányokhoz</w:t>
      </w:r>
      <w:r w:rsidRPr="00393022">
        <w:rPr>
          <w:rStyle w:val="Italic"/>
        </w:rPr>
        <w:t xml:space="preserve"> </w:t>
      </w:r>
      <w:r w:rsidRPr="00393022">
        <w:t>és az uniós normákhoz való igazodást, és foglalkozzon a Bizottság, a Velencei Bizottság és a Korrupció Elleni Államok Csoportja (GRECO) ajánlásaival; ösztönzi a montenegrói hatóságokat, hogy folytassák a szervezett bűnözéssel kapcsolatos ügyek kezelése, valamint a bűncselekményből származó vagyon lefoglalása és elkobzása terén meglévő hiányosságok felszámolását;</w:t>
      </w:r>
    </w:p>
    <w:p w14:paraId="36709E48" w14:textId="77777777" w:rsidR="00A253A1" w:rsidRPr="00393022" w:rsidRDefault="00A253A1" w:rsidP="000C6CF9">
      <w:pPr>
        <w:pStyle w:val="NormalHanging12a"/>
      </w:pPr>
      <w:r w:rsidRPr="00393022">
        <w:t>22.</w:t>
      </w:r>
      <w:r w:rsidRPr="00393022">
        <w:tab/>
        <w:t>sürgeti Montenegrót, hogy fokozza a magas szinten elkövetett korrupcióra a büntető igazságszolgáltatás által adandó választ – többek között a hatályos büntető jogszabályok hatékony végrehajtásának megerősítése és hatékony és visszatartó erejű szankciók kiszabása révén –, és teremtse meg a feltételeket ahhoz, hogy az igazságügyi intézmények és a korrupcióval foglalkozó független szervek politikai befolyástól mentesen, hatékonyan működhessenek;</w:t>
      </w:r>
    </w:p>
    <w:p w14:paraId="197505F4" w14:textId="77777777" w:rsidR="00A253A1" w:rsidRPr="00393022" w:rsidRDefault="00A253A1" w:rsidP="000C6CF9">
      <w:pPr>
        <w:pStyle w:val="NormalHanging12a"/>
      </w:pPr>
      <w:r w:rsidRPr="00393022">
        <w:t>23.</w:t>
      </w:r>
      <w:r w:rsidRPr="00393022">
        <w:tab/>
        <w:t>tudomásul veszi a Korrupciómegelőzési Ügynökség munkáját, és kéri, hogy biztosítsanak számára elegendő finanszírozást, és gondoskodjanak politikamentességéről; elvárja, hogy az Ügynökség kézzelfogható eredményeket érjen el, és nem szelektív módon lépjen fel integritása megerősítése és hatáskörei hatékony gyakorlása érdekében; erősebb keretet szorgalmaz a korrupció megelőzésére;</w:t>
      </w:r>
    </w:p>
    <w:p w14:paraId="3972144B" w14:textId="77777777" w:rsidR="00A253A1" w:rsidRPr="00393022" w:rsidRDefault="00A253A1" w:rsidP="000C6CF9">
      <w:pPr>
        <w:pStyle w:val="NormalHanging12a"/>
      </w:pPr>
      <w:r w:rsidRPr="00393022">
        <w:t>24.</w:t>
      </w:r>
      <w:r w:rsidRPr="00393022">
        <w:tab/>
        <w:t xml:space="preserve">sürgeti Montenegrót, hogy fegyverekre vonatkozó jogszabályait hangolja össze az uniós joggal és a nemzetközi normákkal, különös tekintettel a tűzfegyverek jelölésére és hatástalanítási eljárásaira vonatkozó műszaki előírásokra, valamint a riasztó- és jelzőfegyverekre vonatkozó előírásokra, valamint hozzon létre szabványosított és hatékony adatgyűjtési és jelentéstételi rendszert a tűzfegyverekre vonatkozóan; megdöbbenését fejezi ki a cetinjei tragikus tömeges lövöldözés miatt, és részvétét fejezi ki az áldozatok családjainak; aggodalmát fejezi ki e tragédia dezinformációra és etnikai polarizációra való felhasználása miatt; sürgeti Montenegrót, hogy erősítse meg válságkommunikációját a dezinformáció elleni fellépés érdekében, és biztosítsa a média felelős tájékoztatását az erőszakos eseményeket követően; szisztematikus fellépésekre </w:t>
      </w:r>
      <w:r w:rsidRPr="00393022">
        <w:lastRenderedPageBreak/>
        <w:t>szólít fel a biztonság, a mentális jóllét és az intézményi átláthatóság területén, valamint kéri az állampolgárok oktatását, a nyilvánosság tudatosságának formálását, és tájékoztatási és oktatási kezdeményezéseket a tűzfegyverek veszélyeivel és kockázataival kapcsolatban, a polgárok elvárásainak és a társadalmi igényeknek megfelelően;</w:t>
      </w:r>
    </w:p>
    <w:p w14:paraId="688152FE" w14:textId="77777777" w:rsidR="00A253A1" w:rsidRPr="00393022" w:rsidRDefault="00A253A1" w:rsidP="000C6CF9">
      <w:pPr>
        <w:pStyle w:val="NormalHanging12a"/>
      </w:pPr>
      <w:r w:rsidRPr="00393022">
        <w:t>25.</w:t>
      </w:r>
      <w:r w:rsidRPr="00393022">
        <w:tab/>
        <w:t>felszólítja Montenegrót, hogy sürgősen és teljes mértékben hangolja össze vízumpolitikáját az EU vízumpolitikájával, különösen az EU számára az illegális migrációval összefüggő vagy biztonsági kockázatot jelentő országok tekintetében; aggodalmát fejezi ki amiatt, hogy a várakozásokkal ellentétben két további országot is felvettek a vízummentességi rendszerbe, és hogy az orosz és belarusz útlevéllel rendelkezők továbbra is élvezik a vízummentesség előnyeit; megjegyzi, hogy a vízumpolitika harmonizálásáról a Reform- és Növekedéstámogató Eszköz keretében végrehajtandó montenegrói reformprogram is rendelkezik;</w:t>
      </w:r>
    </w:p>
    <w:p w14:paraId="4459BAA2" w14:textId="77777777" w:rsidR="00A253A1" w:rsidRPr="00393022" w:rsidRDefault="00A253A1" w:rsidP="000C6CF9">
      <w:pPr>
        <w:pStyle w:val="NormalHanging12a"/>
      </w:pPr>
      <w:r w:rsidRPr="00393022">
        <w:t>26.</w:t>
      </w:r>
      <w:r w:rsidRPr="00393022">
        <w:tab/>
        <w:t>üdvözli Montenegró folyamatos együttműködését az Európai Határ- és Partvédelmi Ügynökséggel (Frontex), az Europollal, az Eurojusttal és az Európai Unió Bűnüldözési Képzési Ügynökséggel (CEPOL), és megjegyzi, hogy ez az együttműködés fontos szerepet játszik a határokon átnyúló bűnözés, többek között a fegyver-, kábítószer- és emberkereskedelem elleni fellépésben, valamint a terrorizmus és a szélsőségesség elleni küzdelemben; üdvözli a Frontexszel kötött, a határigazgatás terén folytatott operatív együttműködésről szóló továbbfejlesztett megállapodás 2023. július 1-jei hatálybalépését, és ösztönzi a Montenegró és a Frontex közötti további együttműködést a határigazgatás megerősítése, a menekültügyi eljárások támogatása, a csempészet elleni küzdelem és a visszafogadás fokozása érdekében;</w:t>
      </w:r>
    </w:p>
    <w:p w14:paraId="4159A2F5" w14:textId="77777777" w:rsidR="00A253A1" w:rsidRPr="00393022" w:rsidRDefault="00A253A1" w:rsidP="000C6CF9">
      <w:pPr>
        <w:pStyle w:val="Normal12a24b"/>
        <w:widowControl/>
        <w:spacing w:before="0"/>
        <w:ind w:left="567" w:hanging="567"/>
      </w:pPr>
      <w:r w:rsidRPr="00393022">
        <w:rPr>
          <w:rStyle w:val="BoldItalic"/>
        </w:rPr>
        <w:t>Alapvető szabadságok és emberi jogok</w:t>
      </w:r>
    </w:p>
    <w:p w14:paraId="26CD5D22" w14:textId="77777777" w:rsidR="00A253A1" w:rsidRPr="00393022" w:rsidRDefault="00A253A1" w:rsidP="000C6CF9">
      <w:pPr>
        <w:pStyle w:val="NormalHanging12a"/>
      </w:pPr>
      <w:r w:rsidRPr="00393022">
        <w:t>27.</w:t>
      </w:r>
      <w:r w:rsidRPr="00393022">
        <w:tab/>
        <w:t>sajnálja, hogy a társadalom legkiszolgáltatottabb csoportjai még mindig hátrányos megkülönböztetéssel szembesülnek; felszólítja Montenegrót, hogy fogadjon el új törvényt és kapcsolódó stratégiákat a megkülönböztetés tilalmáról a leginkább érintetteket aktívan bevonó inkluzív, átlátható és érdemi folyamat révén, hogy a kiszolgáltatott csoportok hatékonyabban élhessenek jogaikkal; hangsúlyozza, hogy valamennyi nemzeti kisebbség jogainak tiszteletben tartása az uniós vívmányok szerves részét képezi; felszólít a valamennyi etnikai, vallási, nemzeti és társadalmi csoporttal szembeni egyenlő bánásmód erőteljesebb megvalósítására, biztosítva, hogy egyenlő jogokat és lehetőségeket élvezzenek, valamint teljes körűen részt tudjanak venni a társadalmi, politikai és gazdasági életben;</w:t>
      </w:r>
    </w:p>
    <w:p w14:paraId="2F7AA9CF" w14:textId="77777777" w:rsidR="00A253A1" w:rsidRPr="00393022" w:rsidRDefault="00A253A1" w:rsidP="000C6CF9">
      <w:pPr>
        <w:pStyle w:val="NormalHanging12a"/>
      </w:pPr>
      <w:r w:rsidRPr="00393022">
        <w:t>28.</w:t>
      </w:r>
      <w:r w:rsidRPr="00393022">
        <w:tab/>
        <w:t>üdvözli Montenegró többnemzetiségű identitását, és kéri a helyi közösségek és a nemzeti kisebbségek nyelveinek, kulturális örökségének és hagyományainak további előmozdítását és tiszteletben tartását, mivel ez szorosan összefügg Montenegró európai perspektívájával;</w:t>
      </w:r>
    </w:p>
    <w:p w14:paraId="0FD1367B" w14:textId="77777777" w:rsidR="00A253A1" w:rsidRPr="00393022" w:rsidRDefault="00A253A1" w:rsidP="000C6CF9">
      <w:pPr>
        <w:pStyle w:val="NormalHanging12a"/>
      </w:pPr>
      <w:r w:rsidRPr="00393022">
        <w:t>29.</w:t>
      </w:r>
      <w:r w:rsidRPr="00393022">
        <w:tab/>
        <w:t>hangsúlyozza a Kotori-öböl többnemzetiségű identitását; hangsúlyozza, hogy Montenegró európai perspektívája szorosan összefügg a kisebbségek és kulturális örökségük védelmével; felhívja a montenegrói hatóságokat, hogy ápolják az állam többnemzetiségű jellegét, beleértve a horvát közösség hagyományait és kulturális örökségét a Kotori-öbölben;</w:t>
      </w:r>
    </w:p>
    <w:p w14:paraId="6823BCB6" w14:textId="77777777" w:rsidR="00A253A1" w:rsidRPr="00393022" w:rsidRDefault="00A253A1" w:rsidP="000C6CF9">
      <w:pPr>
        <w:pStyle w:val="NormalHanging12a"/>
      </w:pPr>
      <w:r w:rsidRPr="00393022">
        <w:lastRenderedPageBreak/>
        <w:t>30.</w:t>
      </w:r>
      <w:r w:rsidRPr="00393022">
        <w:tab/>
        <w:t>komoly aggodalmának ad hangot az olyan veszélyeztetett montenegrói örökségi helyszínek miatt, mint a Kotori-öböl és Sveti Stefan; hangsúlyozza, hogy Sveti Stefan a Miločer parkkal együtt 2023-ban bekerült „Európa hét legveszélyeztetettebb örökségi helyszíne” közé;</w:t>
      </w:r>
    </w:p>
    <w:p w14:paraId="3E0B7C84" w14:textId="77777777" w:rsidR="00A253A1" w:rsidRPr="00393022" w:rsidRDefault="00A253A1" w:rsidP="000C6CF9">
      <w:pPr>
        <w:pStyle w:val="NormalHanging12a"/>
      </w:pPr>
      <w:r w:rsidRPr="00393022">
        <w:t>31.</w:t>
      </w:r>
      <w:r w:rsidRPr="00393022">
        <w:tab/>
        <w:t>felhívja a montenegrói hatóságokat, hogy foglalkozzanak a montenegrói romák nehéz életkörülményeivel és az őket érő megkülönböztetéssel, és több intézkedéseket szorgalmaz az iskolákban a kultúrák közötti megértés előmozdítására; felhívja a montenegrói hatóságokat, hogy hozzanak intézkedéseket az LMBTI-személyek társadalmi befogadása légkörének javítása érdekében is;</w:t>
      </w:r>
    </w:p>
    <w:p w14:paraId="59B4AB18" w14:textId="77777777" w:rsidR="00A253A1" w:rsidRPr="00393022" w:rsidRDefault="00A253A1" w:rsidP="000C6CF9">
      <w:pPr>
        <w:pStyle w:val="NormalHanging12a"/>
      </w:pPr>
      <w:r w:rsidRPr="00393022">
        <w:t>32.</w:t>
      </w:r>
      <w:r w:rsidRPr="00393022">
        <w:tab/>
        <w:t>üdvözli, hogy Montenegró összehangolta jogszabályi és intézményi keretét az uniós vívmányokkal és a nemzetközi emberi jogi normákkal a gyermek jogairól szóló ENSZ-egyezménynek és annak fakultatív jegyzőkönyveinek való megfelelés tekintetében; sürgeti a hatóságokat, hogy orvosolják a végrehajtás hiányosságait, nevezetesen az elszámoltathatóság és a nyomon követés tekintetében;</w:t>
      </w:r>
    </w:p>
    <w:p w14:paraId="03149B14" w14:textId="77777777" w:rsidR="00A253A1" w:rsidRPr="00393022" w:rsidRDefault="00A253A1" w:rsidP="000C6CF9">
      <w:pPr>
        <w:pStyle w:val="NormalHanging12a"/>
      </w:pPr>
      <w:r w:rsidRPr="00393022">
        <w:t>33.</w:t>
      </w:r>
      <w:r w:rsidRPr="00393022">
        <w:tab/>
        <w:t>kéri a fogyatékossággal élő személyek jogainak érvényesítésére szolgáló stratégiák minden ágazatban és politikában való tényleges végrehajtását;</w:t>
      </w:r>
    </w:p>
    <w:p w14:paraId="488DFC32" w14:textId="77777777" w:rsidR="00A253A1" w:rsidRPr="00393022" w:rsidRDefault="00A253A1" w:rsidP="000C6CF9">
      <w:pPr>
        <w:pStyle w:val="NormalHanging12a"/>
      </w:pPr>
      <w:r w:rsidRPr="00393022">
        <w:t>34.</w:t>
      </w:r>
      <w:r w:rsidRPr="00393022">
        <w:tab/>
        <w:t>elítél minden gyűlöletbeszédet – beleértve az online és nemi alapú gyűlöletbeszédet – és a gyűlölet-bűncselekményeket; üdvözli a rasszizmus és a gyűlöletbeszéd kriminalizálását;</w:t>
      </w:r>
    </w:p>
    <w:p w14:paraId="0A10F145" w14:textId="77777777" w:rsidR="00A253A1" w:rsidRPr="00393022" w:rsidRDefault="00A253A1" w:rsidP="000C6CF9">
      <w:pPr>
        <w:pStyle w:val="NormalHanging12a"/>
      </w:pPr>
      <w:r w:rsidRPr="00393022">
        <w:t>35.</w:t>
      </w:r>
      <w:r w:rsidRPr="00393022">
        <w:tab/>
        <w:t>hangsúlyozza, hogy meg kell erősíteni a nemek közötti egyenlőségre vonatkozó intézményi mechanizmusokat, és felszólítja a montenegrói hatóságokat, hogy foglalkozzanak a nemek közötti bérszakadékkal, javítsák a nők döntéshozatalban való részvételét – mind a közszférában, különösen a közigazgatásban, mind az igazságügyi és biztonsági ágazatban, valamint az üzleti életben –, biztosítsák a nők fokozott politikai részvételét, vezessenek be a nemek közötti egyenlőség szempontját érvényesítő költségvetés-tervezést, küzdjenek a nemi sztereotípiák ellen, és fokozzák a nőkkel szembeni megkülönböztetés elleni küzdelemre irányuló erőfeszítéseiket, különösen a vidéki területeken; üdvözli a nők természettudományokban, technológiában, műszaki tudományokban és matematikában (STEM) való képviseletének fokozására irányuló közelmúltbeli erőfeszítéseket, és további erőfeszítésekre ösztönöz a technológiai ágazatokban;</w:t>
      </w:r>
    </w:p>
    <w:p w14:paraId="4704AC26" w14:textId="77777777" w:rsidR="00A253A1" w:rsidRPr="00393022" w:rsidRDefault="00A253A1" w:rsidP="000C6CF9">
      <w:pPr>
        <w:pStyle w:val="NormalHanging12a"/>
      </w:pPr>
      <w:r w:rsidRPr="00393022">
        <w:t>36.</w:t>
      </w:r>
      <w:r w:rsidRPr="00393022">
        <w:tab/>
        <w:t>mély aggodalmát fejezi ki a nemi alapú erőszak, többek között a kapcsolati erőszak és a nőgyilkosságok magas aránya miatt; felszólítja Montenegrót, hogy teljes mértékben hangolja össze a nemi alapú erőszakra és a kapcsolati erőszakra vonatkozó fogalommeghatározásait az isztambuli egyezménnyel és a nemzetközi testületek ajánlásaival, hozzon létre hatékony védelmi és prevenciós mechanizmusokat és támogató központokat, és biztosítsa a kapcsolati és szexuális erőszak áldozatai számára a hatékony bírósági eljárás megindításának lehetőségét, valamint erőteljesebb büntetőpolitika alkalmazását az elkövetőkkel szemben; felszólít a nemi alapú erőszakra és a nemek közötti egyenlőtlenségekre vonatkozó lebontott adatok gyűjtésére a szakpolitikai válaszlépések javítása érdekében;</w:t>
      </w:r>
    </w:p>
    <w:p w14:paraId="194CFD9B" w14:textId="77777777" w:rsidR="00A253A1" w:rsidRPr="00393022" w:rsidRDefault="00A253A1" w:rsidP="000C6CF9">
      <w:pPr>
        <w:pStyle w:val="NormalHanging12a"/>
      </w:pPr>
      <w:r w:rsidRPr="00393022">
        <w:t>37.</w:t>
      </w:r>
      <w:r w:rsidRPr="00393022">
        <w:tab/>
        <w:t xml:space="preserve">sajnálatát fejezi ki amiatt, hogy a nemek jogi elismeréséről szóló törvénytervezetet nem fogadták el 2024-ben, annak ellenére, hogy az Montenegró uniós csatlakozási </w:t>
      </w:r>
      <w:r w:rsidRPr="00393022">
        <w:lastRenderedPageBreak/>
        <w:t>programjának egyik intézkedése volt; sürgeti Montenegrót, hogy haladéktalanul fogadja el a törvényt;</w:t>
      </w:r>
    </w:p>
    <w:p w14:paraId="39A9E7F2" w14:textId="77777777" w:rsidR="00A253A1" w:rsidRPr="00393022" w:rsidRDefault="00A253A1" w:rsidP="000C6CF9">
      <w:pPr>
        <w:pStyle w:val="NormalHanging12a"/>
      </w:pPr>
      <w:r w:rsidRPr="00393022">
        <w:t>38.</w:t>
      </w:r>
      <w:r w:rsidRPr="00393022">
        <w:tab/>
        <w:t>üdvözli Montenegró új médiatörvényeit és médiapolitikai stratégiáját, melyek célja az újságírók és más médiamunkások hatékony védelmét szolgáló a jogi keret megerősítése; kitart amellett, hogy a zéró tolerancia politikáját kell alkalmazni az újságírókat célzó – különösen közéleti személyiségek által elkövetett – nyomásgyakorlás, zaklatás vagy erőszak tekintetében; hangsúlyozza, hogy az újságírók elleni gyűlöletbeszédet, lejárató kampányokat és stratégiai pereket minden esetben hatékonyan ki kell vizsgálni, és büntetőeljárás tárgyává kell tenni, ideértve a múltbeli ilyen esetek kivizsgálását; hangsúlyozza, hogy biztosítani kell az újságírók információhoz való hozzáféréshez és a kritikus álláspont fenntartásához való jogát; megjegyzi, hogy Montenegró sajtószabadsága jelentősen javult, amit a sajtószabadság-ranglistán elért előrelépése is bizonyít;</w:t>
      </w:r>
    </w:p>
    <w:p w14:paraId="4633F113" w14:textId="77777777" w:rsidR="00A253A1" w:rsidRPr="00393022" w:rsidRDefault="00A253A1" w:rsidP="000C6CF9">
      <w:pPr>
        <w:pStyle w:val="NormalHanging12a"/>
      </w:pPr>
      <w:r w:rsidRPr="00393022">
        <w:t>39.</w:t>
      </w:r>
      <w:r w:rsidRPr="00393022">
        <w:tab/>
        <w:t>aggodalmát fejezi ki azon esetek miatt, amikor újságírók, tudományos szakemberek és civil társadalmi szervezetek nyomás alá kerültek a szólásszabadság gyakorlása miatt, beleértve azokat az eseteket is, amikor a rendőrség szabálysértési eljárást indított velük szemben; aggodalmát fejezi ki a közéleti részvételt akadályozó stratégiai perek újságírókkal szembeni alkalmazása miatt;</w:t>
      </w:r>
    </w:p>
    <w:p w14:paraId="51B44EA7" w14:textId="77777777" w:rsidR="00A253A1" w:rsidRPr="00393022" w:rsidRDefault="00A253A1" w:rsidP="000C6CF9">
      <w:pPr>
        <w:pStyle w:val="NormalHanging12a"/>
      </w:pPr>
      <w:r w:rsidRPr="00393022">
        <w:t>40.</w:t>
      </w:r>
      <w:r w:rsidRPr="00393022">
        <w:tab/>
        <w:t>sajnálatát fejezi ki a médiában tapasztalható nagyfokú polarizáció, valamint a média politikai érdekekkel és külföldi befolyással szembeni kiszolgáltatottsága, továbbá a külföldi és helyi dezinformációs kampányok miatt, amelyek az országban zajló demokratikus folyamatokat negatívan befolyásoló etnikai-nacionalista narratívákat terjesztenek, és veszélyeztetik Montenegró európai perspektíváját; felszólítja Montenegrót, hogy folytassa médiatudatossági programjainak fejlesztését, és építse be azokat az oktatásba alapvető tantárgyként; felhívja a montenegrói hatóságokat, hogy biztosítsák a montenegrói rádió és televízió műsorszórási tanács (RTCG) közszolgálati műsorszolgáltató szerkesztői, intézményi és pénzügyi függetlenségét, továbbá vezetősége kinevezésének jogszerűségét és az RTCG-re vonatkozó jogerős bírósági ítéletek teljes körű tiszteletben tartását; emlékeztet arra, hogy meg kell felelnie a jogszabályoknak, valamint az elszámoltathatóság és a feddhetetlenség legmagasabb szintű normáinak; sajnálatát fejezi ki amiatt, hogy folyamatban van a közmédia függetlenségének meggyengítése és aláásása; felszólít minden médiaszervezetet, hogy tegyen eleget a közfinanszírozás átláthatóságára vonatkozó jogi követelményeknek;</w:t>
      </w:r>
    </w:p>
    <w:p w14:paraId="0D3A33F6" w14:textId="77777777" w:rsidR="00A253A1" w:rsidRPr="00393022" w:rsidRDefault="00A253A1" w:rsidP="000C6CF9">
      <w:pPr>
        <w:pStyle w:val="NormalHanging12a"/>
      </w:pPr>
      <w:r w:rsidRPr="00393022">
        <w:t>41.</w:t>
      </w:r>
      <w:r w:rsidRPr="00393022">
        <w:tab/>
        <w:t>üdvözli a 2023. évi népszámlálás eredményeinek közzétételét; felhívja a hatóságokat, hogy kerüljék el a folyamat átpolitizálódását; ösztönzi az érdekelt feleket, hogy ezeket az eredményeket megkülönböztetésmentes módon használják;</w:t>
      </w:r>
    </w:p>
    <w:p w14:paraId="0CE82F4D" w14:textId="77777777" w:rsidR="00A253A1" w:rsidRPr="00393022" w:rsidRDefault="00A253A1" w:rsidP="000C6CF9">
      <w:pPr>
        <w:pStyle w:val="NormalHanging12a"/>
      </w:pPr>
      <w:r w:rsidRPr="00393022">
        <w:t>42.</w:t>
      </w:r>
      <w:r w:rsidRPr="00393022">
        <w:tab/>
        <w:t xml:space="preserve">üdvözli Montenegró élénk és konstruktív civil társadalmát, és hangsúlyozza annak fontosságát a demokrácia és a pluralizmus erősítésében, valamint a jó kormányzás és a társadalmi haladás előmozdításában; aggodalmát fejezi ki a kritikus álláspontot képviselő civil társadalmi szervezetek mozgásterének szűkülése miatt, és elítéli a civil társadalmi szervezetek elleni lejárató kampányokat, megfélemlítést és támadásokat, különösen azokat, amelyeket politikai szereplők intéznek a „külföldi ügynökökről szóló törvényre” irányuló javaslatok formájában; megjegyzi, hogy az ilyen jogszabályok alááshatják az alapvető szabadságokat és a civil társadalom működését, és nincsenek összhangban az uniós értékekkel és normákkal; támogató jogi keretet, valamint egyértelmű és tisztességes kiválasztási kritériumokat szorgalmaz a közfinanszírozással </w:t>
      </w:r>
      <w:r w:rsidRPr="00393022">
        <w:lastRenderedPageBreak/>
        <w:t>kapcsolatban; kéri, hogy a kormány és a nem kormányzati szervezetek közötti együttműködési tanács folytassa munkáját; hangsúlyozza az együttműködésen alapuló kapcsolatok kiépítésének, továbbá annak fontosságát, hogy ténylegesen konzultáljanak a civil társadalommal a jogszabálytervezetekről már a korai szakasztól kezdve;</w:t>
      </w:r>
    </w:p>
    <w:p w14:paraId="426B42A9" w14:textId="77777777" w:rsidR="00A253A1" w:rsidRPr="00393022" w:rsidRDefault="00A253A1" w:rsidP="000C6CF9">
      <w:pPr>
        <w:pStyle w:val="Normal12a24b"/>
        <w:widowControl/>
        <w:spacing w:before="0"/>
        <w:ind w:left="567" w:hanging="567"/>
      </w:pPr>
      <w:r w:rsidRPr="00393022">
        <w:rPr>
          <w:rStyle w:val="BoldItalic"/>
        </w:rPr>
        <w:t>Megbékélés, jószomszédi kapcsolatok és regionális együttműködés</w:t>
      </w:r>
    </w:p>
    <w:p w14:paraId="27E9353F" w14:textId="77777777" w:rsidR="00A253A1" w:rsidRPr="00393022" w:rsidRDefault="00A253A1" w:rsidP="000C6CF9">
      <w:pPr>
        <w:pStyle w:val="NormalHanging12a"/>
      </w:pPr>
      <w:r w:rsidRPr="00393022">
        <w:t>43.</w:t>
      </w:r>
      <w:r w:rsidRPr="00393022">
        <w:tab/>
        <w:t>emlékeztet arra, hogy a jószomszédi kapcsolatok és a regionális együttműködés a bővítési folyamat lényeges részét képezik; elismerését fejezi ki Montenegrónak a regionális együttműködési kezdeményezésekben való aktív részvételéért; emlékeztet arra, hogy a jószomszédi kapcsolatok kulcsfontosságúak a csatlakozási folyamat előrehaladásához;</w:t>
      </w:r>
    </w:p>
    <w:p w14:paraId="38AC8249" w14:textId="77777777" w:rsidR="00A253A1" w:rsidRPr="00393022" w:rsidRDefault="00A253A1" w:rsidP="000C6CF9">
      <w:pPr>
        <w:pStyle w:val="NormalHanging12a"/>
      </w:pPr>
      <w:r w:rsidRPr="00393022">
        <w:t>44.</w:t>
      </w:r>
      <w:r w:rsidRPr="00393022">
        <w:tab/>
        <w:t>sajnálja, hogy a 31. fejezetet 2024 decemberében nem lehetett lezárni; felhívja az összes érintett felet, hogy jó szomszédokhoz méltón találjanak konstruktív megoldást a lezáratlan kétoldalú kérdésekre, és kezeljék prioritásként a nyugat-balkáni polgárok jövőbeli érdekeit; emlékeztet arra, hogy el kell kerülni, hogy a megoldatlan kétoldalú és regionális vitákat a tagjelölt országok csatlakozási folyamatának akadályozására használják fel; üdvözli a Horvát Köztársaság és Montenegró közötti kétoldalú konzultációkat a megoldatlan kétoldalú kérdésekről; ösztönzi a hatóságokat, hogy folytassák a bizalomépítő intézkedéseket;</w:t>
      </w:r>
    </w:p>
    <w:p w14:paraId="4D0F0089" w14:textId="77777777" w:rsidR="00A253A1" w:rsidRPr="00393022" w:rsidRDefault="00A253A1" w:rsidP="000C6CF9">
      <w:pPr>
        <w:pStyle w:val="NormalHanging12a"/>
      </w:pPr>
      <w:r w:rsidRPr="00393022">
        <w:t>45.</w:t>
      </w:r>
      <w:r w:rsidRPr="00393022">
        <w:tab/>
        <w:t>tudomásul veszi Montenegró büntetőeljárási törvénykönyvének azon módosításait, amelyek célja a háborús bűncselekmények hatékony kivizsgálása, az azokkal kapcsolatos bűnvádi eljárás kezdeményezése, valamint a bűnösök bíróság elé állítása és büntetése előtt álló jogi és gyakorlati akadályok felszámolása a vonatkozó ajánlásokkal összhangban; felhívja Montenegrót, hogy a nemzetközi joggal és normákkal összhangban alkalmazzon proaktív megközelítést a háborús bűncselekményekkel kapcsolatos ügyek kezelése során, hogy azonosítsa, vonja büntetőeljárás alá és büntesse az elkövetőket és a háborús bűncselekmények dicsőítését, biztosítsa az áldozatok számára az igazságszolgáltatáshoz való hozzáférést, a jogorvoslatot és a jóvátételt, és derítse fel az eltűnt személyek sorsát; felszólítja Montenegrót, hogy különítsen el elegendő forrást a szakosodott ügyészek és bíróságok számára, és proaktívan vizsgálja ki a háborús bűncselekményekkel kapcsolatos összes állítást, és vesse fel a parancsnoki felelősség kérdését, valamint vizsgálja felül azokat a régi ügyeket, amelyekkel kapcsolatban nem indult büntetőeljárás a nemzetközi vagy a nemzeti jognak megfelelően; regionális együttműködésre szólít fel a háborús bűncselekményekkel vádolt személyek kivizsgálása és büntetőeljárás alá vonása terén; elismeri, hogy ezen ügyek kivizsgálása és a bíróság által alátámasztott tények védelme alapvetően fontos a bizalom, a demokratikus értékek, a megbékélés és a szomszédos országokkal fenntartott kétoldalú kapcsolatok megerősítéséhez, és ösztönzi Montenegrót, hogy fokozza ezeket az erőfeszítéseket;</w:t>
      </w:r>
    </w:p>
    <w:p w14:paraId="539475B0" w14:textId="77777777" w:rsidR="00A253A1" w:rsidRPr="00393022" w:rsidRDefault="00A253A1" w:rsidP="000C6CF9">
      <w:pPr>
        <w:pStyle w:val="NormalHanging12a"/>
      </w:pPr>
      <w:r w:rsidRPr="00393022">
        <w:t>46.</w:t>
      </w:r>
      <w:r w:rsidRPr="00393022">
        <w:tab/>
        <w:t>figyelmeztet a politikai revizionizmus veszélyeire, amely politikai célokból torzítja a történelmi tényeket, aláássa az elszámoltathatóságot, és elmélyíti a társadalmi megosztottságot; határozottan elítéli a háborús bűnösök dicsőítését és a háborús bűncselekményekkel kapcsolatos nemzetközi ítéletek széles körű nyilvános elutasítását, többek között a montenegrói hatóságok részéről; úgy véli, hogy Jakov Milatović elnök nyilatkozata, amelyben sajnálatát fejezte ki amiatt, hogy Dubrovnik bombázásában montenegrói erők is részt vettek, nagyban hozzájárult a regionális békéhez és megbékéléshez;</w:t>
      </w:r>
    </w:p>
    <w:p w14:paraId="0173CCB0" w14:textId="77777777" w:rsidR="00A253A1" w:rsidRPr="00393022" w:rsidRDefault="00A253A1" w:rsidP="000C6CF9">
      <w:pPr>
        <w:pStyle w:val="NormalHanging12a"/>
      </w:pPr>
      <w:r w:rsidRPr="00393022">
        <w:lastRenderedPageBreak/>
        <w:t>47.</w:t>
      </w:r>
      <w:r w:rsidRPr="00393022">
        <w:tab/>
        <w:t>megismétli, hogy támogatja azt a kezdeményezést, hogy létrehozzák a volt Jugoszláviában elkövetett háborús bűncselekményeket és az emberi jogok megsértésének más súlyos eseteit vizsgáló regionális tényfeltáró bizottságot (RECOM);</w:t>
      </w:r>
    </w:p>
    <w:p w14:paraId="5280370E" w14:textId="77777777" w:rsidR="00A253A1" w:rsidRPr="00393022" w:rsidRDefault="00A253A1" w:rsidP="000C6CF9">
      <w:pPr>
        <w:pStyle w:val="NormalHanging12a"/>
      </w:pPr>
      <w:r w:rsidRPr="00393022">
        <w:t>48.</w:t>
      </w:r>
      <w:r w:rsidRPr="00393022">
        <w:tab/>
        <w:t>megismétli felhívását a volt Jugoszláv Köztársaságra vonatkozó levéltárak megnyitására, valamint a volt jugoszláv titkosszolgálat és a jugoszláv néphadsereg titkosszolgálata irataihoz való hozzáférés biztosítására a kommunista korszak bűneinek alapos feltárása és kezelése érdekében;</w:t>
      </w:r>
    </w:p>
    <w:p w14:paraId="1BCCF9FE" w14:textId="77777777" w:rsidR="00A253A1" w:rsidRPr="00393022" w:rsidRDefault="00A253A1" w:rsidP="000C6CF9">
      <w:pPr>
        <w:pStyle w:val="Normal12a24b"/>
        <w:widowControl/>
        <w:spacing w:before="0"/>
        <w:ind w:left="567" w:hanging="567"/>
      </w:pPr>
      <w:r w:rsidRPr="00393022">
        <w:rPr>
          <w:rStyle w:val="BoldItalic"/>
        </w:rPr>
        <w:t>Társadalmi-gazdasági reformok</w:t>
      </w:r>
    </w:p>
    <w:p w14:paraId="219F456A" w14:textId="77777777" w:rsidR="00A253A1" w:rsidRPr="00393022" w:rsidRDefault="00A253A1" w:rsidP="000C6CF9">
      <w:pPr>
        <w:pStyle w:val="NormalHanging12a"/>
      </w:pPr>
      <w:r w:rsidRPr="00393022">
        <w:t>49.</w:t>
      </w:r>
      <w:r w:rsidRPr="00393022">
        <w:tab/>
        <w:t>üdvözli, hogy Montenegró bekerült a SEPA átutalási rendszerébe, csökkentve a polgárok és a vállalkozások költségeit; hangsúlyozza, hogy ez lehetőségeket teremt az üzleti tevékenység kiterjesztésére, a versenyképesség növelésére, az innovációra és a közvetlen külföldi befektetésekhez való jobb hozzáférésre;</w:t>
      </w:r>
    </w:p>
    <w:p w14:paraId="7636B990" w14:textId="77777777" w:rsidR="00A253A1" w:rsidRPr="00393022" w:rsidRDefault="00A253A1" w:rsidP="000C6CF9">
      <w:pPr>
        <w:pStyle w:val="NormalHanging12a"/>
      </w:pPr>
      <w:r w:rsidRPr="00393022">
        <w:t>50.</w:t>
      </w:r>
      <w:r w:rsidRPr="00393022">
        <w:tab/>
        <w:t>üdvözli a Nyugat-Balkánra vonatkozó növekedési tervet, amelynek célja, hogy integrálja a régiót az EU egységes piacába, előmozdítsa a regionális gazdasági együttműködést, valamint elmélyítse az EU-val kapcsolatos reformokat, és amely magában foglalja a 6 milliárd eurós Nyugat-balkáni Reform- és Növekedéstámogató Eszközt; üdvözli, hogy Montenegró reformprogramot fogadott el, és ösztönzi annak teljes körű végrehajtását; megjegyzi, hogy a növekedési tervre vonatkozó montenegrói reformprogram keretében meghatározott reformintézkedések végrehajtása – sikeres végrehajtás esetén – több mint 380 millió EUR összegű támogatáshoz és kedvező hitelhez biztosítana hozzáférést; hangsúlyozza az érdekelt felekkel – köztük a helyi és regionális önkormányzatokkal, a szociális partnerekkel és a civil társadalommal – folytatott konzultációk fontosságát a tervezési, végrehajtási, nyomonkövetési és értékelési szakaszban;</w:t>
      </w:r>
    </w:p>
    <w:p w14:paraId="2C79C326" w14:textId="77777777" w:rsidR="00A253A1" w:rsidRPr="00393022" w:rsidRDefault="00A253A1" w:rsidP="000C6CF9">
      <w:pPr>
        <w:pStyle w:val="NormalHanging12a"/>
      </w:pPr>
      <w:r w:rsidRPr="00393022">
        <w:t>51.</w:t>
      </w:r>
      <w:r w:rsidRPr="00393022">
        <w:tab/>
        <w:t>ösztönzi Montenegrót, hogy a lehető legjobban használja ki az Előcsatlakozási Támogatási Eszköz (IPA III), a Nyugat-Balkánra vonatkozó gazdaságélénkítési és beruházási terv, az IPARD program és a Nyugat-balkáni Reform- és Növekedéstámogató Eszköz keretében rendelkezésre álló összes uniós finanszírozást az EU-val való társadalmi-gazdasági konvergencia felgyorsítása érdekében, és folytassa a csalás megelőzésére vonatkozó jogszabályainak összehangolását az EU-val; emlékeztet arra, hogy az uniós finanszírozáshoz való hozzáférésnek feltételei vannak, és az modulálható vagy felfüggeszthető jelentős visszalépés vagy az alapvető területeken való előrehaladás tartós hiánya esetén;</w:t>
      </w:r>
    </w:p>
    <w:p w14:paraId="564049C4" w14:textId="77777777" w:rsidR="00A253A1" w:rsidRPr="00393022" w:rsidRDefault="00A253A1" w:rsidP="000C6CF9">
      <w:pPr>
        <w:pStyle w:val="NormalHanging12a"/>
      </w:pPr>
      <w:r w:rsidRPr="00393022">
        <w:t>52.</w:t>
      </w:r>
      <w:r w:rsidRPr="00393022">
        <w:tab/>
        <w:t>kéri az Uniót és a nyugat-balkáni országokat, hogy a szoros együttműködés és az uniós forrásokkal való visszaéléssel kapcsolatos büntetőeljárások elősegítése érdekében hozzák létre az Európai Ügyészség (EPPO) és a csatlakozásra váró országok közötti hatékony együttműködés keretét, többek között nemzeti összekötő tisztviselők EPPO-hoz való kirendelése révén; ösztönzi Montenegrót, hogy maradéktalanul hajtsa végre az Európai Ügyészséggel kötött munkamegállapodásokat; felhívja az EU-t, hogy tegye meg a szükséges jogi és politikai intézkedéseket annak érdekében, hogy az Európai Ügyészség hatásköre kiterjedjen a Montenegrónak mint tagjelölt országnak szánt uniós forrásokra;</w:t>
      </w:r>
    </w:p>
    <w:p w14:paraId="7B5AD08C" w14:textId="77777777" w:rsidR="00A253A1" w:rsidRPr="00393022" w:rsidRDefault="00A253A1" w:rsidP="000C6CF9">
      <w:pPr>
        <w:pStyle w:val="NormalHanging12a"/>
      </w:pPr>
      <w:r w:rsidRPr="00393022">
        <w:t>53.</w:t>
      </w:r>
      <w:r w:rsidRPr="00393022">
        <w:tab/>
        <w:t xml:space="preserve">pozitívan értékeli Montenegró gazdasági növekedését; további lépésekre szólít fel a költségvetési hiány és az államadósság csökkentése, valamint az uniós vívmányokhoz </w:t>
      </w:r>
      <w:r w:rsidRPr="00393022">
        <w:lastRenderedPageBreak/>
        <w:t>nem igazodó közvetett adómentességek további megszüntetése érdekében; üdvözli az e költségvetési sebezhetőségek csökkentésére irányuló erőfeszítéseket; megismétli, hogy a fenntartható társadalmi és gazdasági fejlődés érdekében növelni kell az oktatási rendszerbe történő állami beruházásokat;</w:t>
      </w:r>
    </w:p>
    <w:p w14:paraId="65FF7DB9" w14:textId="77777777" w:rsidR="00A253A1" w:rsidRPr="00393022" w:rsidRDefault="00A253A1" w:rsidP="000C6CF9">
      <w:pPr>
        <w:pStyle w:val="NormalHanging12a"/>
      </w:pPr>
      <w:r w:rsidRPr="00393022">
        <w:t>54.</w:t>
      </w:r>
      <w:r w:rsidRPr="00393022">
        <w:tab/>
        <w:t>felhívja a figyelmet Montenegró külföldi pénzügyi intézményekkel és vállalatokkal szembeni államadósságára, amely eszközként használható politikai döntéseinek – különösen a Kínával és Oroszországgal kapcsolatos döntéseinek – befolyásolására; üdvözli az e sebezhetőségek csökkentésére irányuló erőfeszítéseket, és felhívja a hatóságokat, hogy csökkentsék tovább a Kínától való gazdasági függőséget, és továbbra is használják fel a Nyugat-Balkánra vonatkozó gazdaságélénkítési és beruházási tervet, az EU Global Gateway kezdeményezését és a Nyugat-balkáni Reform- és Növekedéstámogató Eszközt annak érdekében, hogy környezetbarátabb és átláthatóbb alternatívákat találjanak az infrastrukturális projektek finanszírozására; felhívja Montenegrót, hogy növelje a jövőbeli infrastrukturális projektek átláthatóságát, biztosítsa a kompetitív licitálási eljárást, és kerülje a külföldi hitelezőktől való túlzott adósságfüggőséget;</w:t>
      </w:r>
    </w:p>
    <w:p w14:paraId="15870D95" w14:textId="77777777" w:rsidR="00A253A1" w:rsidRPr="00393022" w:rsidRDefault="00A253A1" w:rsidP="000C6CF9">
      <w:pPr>
        <w:pStyle w:val="NormalHanging12a"/>
      </w:pPr>
      <w:r w:rsidRPr="00393022">
        <w:t>55.</w:t>
      </w:r>
      <w:r w:rsidRPr="00393022">
        <w:tab/>
        <w:t>felhívja a montenegrói hatóságokat, hogy hozzanak intézkedéseket az elnéptelenedés és az elvándorlás ellen, különösen az oktatásba és az egészségügybe történő beruházások – kivált az ország északi részén –, valamint a közepes méretű városokba irányuló beruházásokkal történő decentralizáció révén;</w:t>
      </w:r>
    </w:p>
    <w:p w14:paraId="7920CBC4" w14:textId="77777777" w:rsidR="00A253A1" w:rsidRPr="00393022" w:rsidRDefault="00A253A1" w:rsidP="000C6CF9">
      <w:pPr>
        <w:pStyle w:val="NormalHanging12a"/>
      </w:pPr>
      <w:r w:rsidRPr="00393022">
        <w:t>56.</w:t>
      </w:r>
      <w:r w:rsidRPr="00393022">
        <w:tab/>
        <w:t>ösztönzi a montenegrói hatóságokat, hogy mozdítsák elő a digitális átalakulást, és folytassanak tényeken alapuló munkaerőpiaci szakpolitikát a tartósan magas munkanélküliségi ráta kezelése érdekében, különösen a nők és a fiatalok körében, ugyanakkor erősítsék meg az intézményi kapacitást és javítsák az alapul szolgáló digitális szakpolitikai keretet, valamint hatékonyan hajtsák végre az ifjúsági garanciát és az új ifjúsági stratégiát; sürgeti a hatóságot, hogy haladéktalanul orvosolja az agyelszívás problémáját; célzott megelőző intézkedések és ösztönzők kidolgozására buzdít az informális vállalkozások és munkavállalók legalizálása érdekében, mivel az informális szektor továbbra is akadályozza Montenegró gazdasági és társadalmi fejlődését;</w:t>
      </w:r>
    </w:p>
    <w:p w14:paraId="7A3618B5" w14:textId="77777777" w:rsidR="00A253A1" w:rsidRPr="00393022" w:rsidRDefault="00A253A1" w:rsidP="000C6CF9">
      <w:pPr>
        <w:pStyle w:val="NormalHanging12a"/>
      </w:pPr>
      <w:r w:rsidRPr="00393022">
        <w:t>57.</w:t>
      </w:r>
      <w:r w:rsidRPr="00393022">
        <w:tab/>
        <w:t>üdvözli a felhívást, hogy valamennyi nyugat-balkáni országot még a tényleges uniós tagság előtt haladéktalanul integráljanak az EU digitális egységes piacába, ami döntően elősegítené a digitális értelemben biztonságos környezet megteremtését;</w:t>
      </w:r>
    </w:p>
    <w:p w14:paraId="085ED75C" w14:textId="77777777" w:rsidR="00A253A1" w:rsidRPr="00393022" w:rsidRDefault="00A253A1" w:rsidP="000C6CF9">
      <w:pPr>
        <w:pStyle w:val="NormalHanging12a"/>
      </w:pPr>
      <w:r w:rsidRPr="00393022">
        <w:t>58.</w:t>
      </w:r>
      <w:r w:rsidRPr="00393022">
        <w:tab/>
        <w:t>felszólít a közbeszerzések átláthatóságának növelésére, különösen a kormányközi megállapodásokon keresztül zajló eljárások tekintetében, valamint az uniós szabályoknak és elveknek való teljes körű megfelelésre; felszólítja Montenegrót, hogy csökkentse a felhívás nélküli közbeszerzési eljárások számát; aggodalmát fejezi ki a Bar-Boljare autópálya kínai hitelből finanszírozott építési projektjével kapcsolatos pénzügyi terhek és az átláthatóság hiánya miatt; hangsúlyozza, hogy a hitelmegállapodásokat és az építési szerződéseket övező titoktartás aggályokat vet fel az elszámoltathatósággal kapcsolatban;</w:t>
      </w:r>
    </w:p>
    <w:p w14:paraId="3978A4C9" w14:textId="77777777" w:rsidR="00A253A1" w:rsidRPr="00393022" w:rsidRDefault="00A253A1" w:rsidP="000C6CF9">
      <w:pPr>
        <w:pStyle w:val="NormalHanging12a"/>
      </w:pPr>
      <w:r w:rsidRPr="00393022">
        <w:t>59.</w:t>
      </w:r>
      <w:r w:rsidRPr="00393022">
        <w:tab/>
        <w:t xml:space="preserve">aggodalmát fejezi ki minden olyan megállapodás vagy projekt miatt, amely megkerüli a nemzeti jogszabályokban és az uniós szabványokban meghatározott közbeszerzési szabályokat, átláthatósági kötelezettségeket és nyilvános konzultációs követelményeket; felhívja Montenegró kormányát, hogy valamennyi állami infrastrukturális és fejlesztési </w:t>
      </w:r>
      <w:r w:rsidRPr="00393022">
        <w:lastRenderedPageBreak/>
        <w:t>kezdeményezésben biztosítsa az átláthatóság, az elszámoltathatóság, az inkluzív döntéshozatal és a jogállamiság elvének teljes körű tiszteletben tartását;</w:t>
      </w:r>
    </w:p>
    <w:p w14:paraId="64568DFB" w14:textId="77777777" w:rsidR="00A253A1" w:rsidRPr="00393022" w:rsidRDefault="00A253A1" w:rsidP="000C6CF9">
      <w:pPr>
        <w:pStyle w:val="Normal12a24b"/>
        <w:widowControl/>
        <w:spacing w:before="0"/>
        <w:ind w:left="567" w:hanging="567"/>
      </w:pPr>
      <w:r w:rsidRPr="00393022">
        <w:rPr>
          <w:rStyle w:val="BoldItalic"/>
        </w:rPr>
        <w:t>Energia, környezetvédelem, biológiai sokféleség és konnektivitás</w:t>
      </w:r>
    </w:p>
    <w:p w14:paraId="6791C3A7" w14:textId="77777777" w:rsidR="00A253A1" w:rsidRPr="00393022" w:rsidRDefault="00A253A1" w:rsidP="000C6CF9">
      <w:pPr>
        <w:pStyle w:val="NormalHanging12a"/>
      </w:pPr>
      <w:r w:rsidRPr="00393022">
        <w:t>60.</w:t>
      </w:r>
      <w:r w:rsidRPr="00393022">
        <w:tab/>
        <w:t>sürgeti Montenegrót, hogy a nemzeti energia- és klímaterv régóta esedékes elfogadása és végrehajtása, az energiahatékonysági jogszabályok elfogadása és az uniós energiapiacokhoz való további integráció révén, uniós támogatás felhasználásával mozdítsa elő a zöld átállást, javítsa intézményi és szabályozási keretét, és fokozza az energetikai rezilienciát; kéri, hogy minden új zöld átállással kapcsolatos projektet az EU környezetvédelmi, állami támogatási és koncessziós normáival összhangban hajsták végre;</w:t>
      </w:r>
    </w:p>
    <w:p w14:paraId="5E0BC5F7" w14:textId="77777777" w:rsidR="00A253A1" w:rsidRPr="00393022" w:rsidRDefault="00A253A1" w:rsidP="000C6CF9">
      <w:pPr>
        <w:pStyle w:val="NormalHanging12a"/>
      </w:pPr>
      <w:r w:rsidRPr="00393022">
        <w:t>61.</w:t>
      </w:r>
      <w:r w:rsidRPr="00393022">
        <w:tab/>
        <w:t xml:space="preserve">sajnálja, hogy a közlekedéspolitika területén nem történt előrelépés a kulcsfontosságú ágazati reformok terén; felhívja a montenegrói hatóságokat, hogy hangolják össze az ország közlekedésfejlesztését a Nyugat-Balkánra vonatkozó fenntartható és intelligens mobilitási stratégiával, a vasútra, a multimodalitásra, valamint a szén-dioxid-kibocsátás és egyéb környezeti hatások csökkentésére összpontosítva, és folytassák a közlekedésfejlesztési stratégia végrehajtását, és erősítsék meg a transzeurópai közlekedési hálózatok megvalósításához szükséges adminisztratív kapacitásokat; </w:t>
      </w:r>
    </w:p>
    <w:p w14:paraId="04B68EF1" w14:textId="77777777" w:rsidR="00A253A1" w:rsidRPr="00393022" w:rsidRDefault="00A253A1" w:rsidP="000C6CF9">
      <w:pPr>
        <w:pStyle w:val="NormalHanging12a"/>
      </w:pPr>
      <w:r w:rsidRPr="00393022">
        <w:t>62.</w:t>
      </w:r>
      <w:r w:rsidRPr="00393022">
        <w:tab/>
        <w:t>üdvözli az EU és a nyugat-balkáni országok közötti adatroaming-díjak csökkentését, és kéri a hatóságokat, a magánszereplőket és valamennyi érdekelt felet, hogy tegyenek meg minden szükséges lépést annak érdekében, hogy az adatroaming-díjak 2028-ra megközelítsék a belföldi árakat; üdvözli a Nyugat-Balkán és az EU közötti barangolásra vonatkozó ütemterv végrehajtása első szakaszának hatálybalépését;</w:t>
      </w:r>
    </w:p>
    <w:p w14:paraId="6A9670D7" w14:textId="77777777" w:rsidR="00A253A1" w:rsidRPr="00393022" w:rsidRDefault="00A253A1" w:rsidP="000C6CF9">
      <w:pPr>
        <w:pStyle w:val="NormalHanging12a"/>
      </w:pPr>
      <w:r w:rsidRPr="00393022">
        <w:t>63.</w:t>
      </w:r>
      <w:r w:rsidRPr="00393022">
        <w:tab/>
        <w:t>ösztönzi a hulladékgazdálkodásra, a levegő- és vízminőségre, a természetvédelemre és az éghajlatváltozásra vonatkozó ágazati stratégiák elfogadását, biztosítva a beruházások stratégiai tervezését; megállapítja, hogy nem történt előrelépés hét településen a folyók és a tengerek szennyvízszennyezésének megelőzése érdekében nélkülözhetetlen szennyvíztisztító telepek építése terén, és növekedtek az ezzel járó költségek;</w:t>
      </w:r>
    </w:p>
    <w:p w14:paraId="2873D846" w14:textId="77777777" w:rsidR="00A253A1" w:rsidRPr="00393022" w:rsidRDefault="00A253A1" w:rsidP="000C6CF9">
      <w:pPr>
        <w:pStyle w:val="NormalCenter12a"/>
        <w:widowControl/>
        <w:ind w:left="567" w:hanging="567"/>
      </w:pPr>
      <w:r w:rsidRPr="00393022">
        <w:t>°</w:t>
      </w:r>
    </w:p>
    <w:p w14:paraId="7F3CCC0B" w14:textId="77777777" w:rsidR="00A253A1" w:rsidRPr="00393022" w:rsidRDefault="00A253A1" w:rsidP="000C6CF9">
      <w:pPr>
        <w:pStyle w:val="NormalCenter12a"/>
        <w:widowControl/>
        <w:ind w:left="567" w:hanging="567"/>
      </w:pPr>
      <w:r w:rsidRPr="00393022">
        <w:t>°</w:t>
      </w:r>
      <w:r w:rsidRPr="00393022">
        <w:tab/>
        <w:t>°</w:t>
      </w:r>
    </w:p>
    <w:p w14:paraId="5A6CC14C" w14:textId="77777777" w:rsidR="001D3750" w:rsidRPr="001D3750" w:rsidRDefault="00A253A1" w:rsidP="000C6CF9">
      <w:pPr>
        <w:pStyle w:val="NormalHanging12a"/>
      </w:pPr>
      <w:r w:rsidRPr="00393022">
        <w:t>64.</w:t>
      </w:r>
      <w:r w:rsidRPr="00393022">
        <w:tab/>
        <w:t>utasítja elnökét, hogy továbbítsa ezt az állásfoglalást a Tanácsnak, a Bizottságnak, a Bizottság alelnökének/az Unió kül- és biztonságpolitikai főképviselőjének, a bővítésért felelős biztosnak, a Földközi-tenger térségének ügyeiért felelős biztosnak, a tagállamok kormányainak és parlamentjeinek, valamint Montenegró elnökének, kormányának és parlamentjének, továbbá gondoskodjon annak montenegrói nyelvre történő lefordításáról és közzétételéről.</w:t>
      </w:r>
    </w:p>
    <w:sectPr w:rsidR="001D3750" w:rsidRPr="001D3750" w:rsidSect="001D375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BD5D8" w14:textId="77777777" w:rsidR="00751685" w:rsidRPr="001D3750" w:rsidRDefault="00751685">
      <w:r w:rsidRPr="001D3750">
        <w:separator/>
      </w:r>
    </w:p>
  </w:endnote>
  <w:endnote w:type="continuationSeparator" w:id="0">
    <w:p w14:paraId="4050FB28" w14:textId="77777777" w:rsidR="00751685" w:rsidRPr="001D3750" w:rsidRDefault="00751685">
      <w:r w:rsidRPr="001D37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FA84" w14:textId="77777777" w:rsidR="00064002" w:rsidRPr="001D37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90BAA" w14:textId="77777777" w:rsidR="00064002" w:rsidRPr="001D37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E992E" w14:textId="77777777" w:rsidR="00064002" w:rsidRPr="001D37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3971D" w14:textId="77777777" w:rsidR="00751685" w:rsidRPr="001D3750" w:rsidRDefault="00751685">
      <w:r w:rsidRPr="001D3750">
        <w:separator/>
      </w:r>
    </w:p>
  </w:footnote>
  <w:footnote w:type="continuationSeparator" w:id="0">
    <w:p w14:paraId="6A27B047" w14:textId="77777777" w:rsidR="00751685" w:rsidRPr="001D3750" w:rsidRDefault="00751685">
      <w:r w:rsidRPr="001D3750">
        <w:continuationSeparator/>
      </w:r>
    </w:p>
  </w:footnote>
  <w:footnote w:id="1">
    <w:p w14:paraId="3F169A6A" w14:textId="77777777" w:rsidR="00A253A1" w:rsidRPr="001D3750" w:rsidRDefault="00A253A1" w:rsidP="001D3750">
      <w:pPr>
        <w:pStyle w:val="FootnoteText"/>
        <w:ind w:left="567" w:hanging="567"/>
        <w:rPr>
          <w:sz w:val="24"/>
          <w:lang w:val="hu-HU"/>
        </w:rPr>
      </w:pPr>
      <w:r w:rsidRPr="001D3750">
        <w:rPr>
          <w:rStyle w:val="FootnoteReference"/>
          <w:sz w:val="24"/>
          <w:lang w:val="hu-HU"/>
        </w:rPr>
        <w:footnoteRef/>
      </w:r>
      <w:r w:rsidR="001D3750" w:rsidRPr="001D3750">
        <w:rPr>
          <w:sz w:val="24"/>
          <w:lang w:val="hu-HU"/>
        </w:rPr>
        <w:t xml:space="preserve"> </w:t>
      </w:r>
      <w:r w:rsidR="001D3750" w:rsidRPr="001D3750">
        <w:rPr>
          <w:sz w:val="24"/>
          <w:lang w:val="hu-HU"/>
        </w:rPr>
        <w:tab/>
      </w:r>
      <w:r w:rsidRPr="001D3750">
        <w:rPr>
          <w:sz w:val="24"/>
          <w:lang w:val="hu-HU"/>
        </w:rPr>
        <w:t xml:space="preserve">HL L 108., 2010.4.29., 3. o., ELI: </w:t>
      </w:r>
      <w:hyperlink r:id="rId1" w:history="1">
        <w:r w:rsidRPr="001D3750">
          <w:rPr>
            <w:rStyle w:val="Hyperlink"/>
            <w:sz w:val="24"/>
            <w:lang w:val="hu-HU"/>
          </w:rPr>
          <w:t>http://data.europa.eu/eli/agree_internation/2010/224/oj</w:t>
        </w:r>
      </w:hyperlink>
      <w:r w:rsidRPr="001D3750">
        <w:rPr>
          <w:sz w:val="24"/>
          <w:lang w:val="hu-HU"/>
        </w:rPr>
        <w:t xml:space="preserve">. </w:t>
      </w:r>
    </w:p>
  </w:footnote>
  <w:footnote w:id="2">
    <w:p w14:paraId="612EAC2C" w14:textId="77777777" w:rsidR="00A253A1" w:rsidRPr="001D3750" w:rsidRDefault="00A253A1" w:rsidP="001D3750">
      <w:pPr>
        <w:pStyle w:val="FootnoteText"/>
        <w:ind w:left="567" w:hanging="567"/>
        <w:rPr>
          <w:sz w:val="24"/>
          <w:lang w:val="hu-HU"/>
        </w:rPr>
      </w:pPr>
      <w:r w:rsidRPr="001D3750">
        <w:rPr>
          <w:rStyle w:val="FootnoteReference"/>
          <w:sz w:val="24"/>
          <w:lang w:val="hu-HU"/>
        </w:rPr>
        <w:footnoteRef/>
      </w:r>
      <w:r w:rsidR="001D3750" w:rsidRPr="001D3750">
        <w:rPr>
          <w:sz w:val="24"/>
          <w:lang w:val="hu-HU"/>
        </w:rPr>
        <w:t xml:space="preserve"> </w:t>
      </w:r>
      <w:r w:rsidR="001D3750" w:rsidRPr="001D3750">
        <w:rPr>
          <w:sz w:val="24"/>
          <w:lang w:val="hu-HU"/>
        </w:rPr>
        <w:tab/>
      </w:r>
      <w:r w:rsidRPr="001D3750">
        <w:rPr>
          <w:sz w:val="24"/>
          <w:lang w:val="hu-HU"/>
        </w:rPr>
        <w:t xml:space="preserve">HL L 330., 2021.9.20., 1. o., ELI: </w:t>
      </w:r>
      <w:hyperlink r:id="rId2" w:history="1">
        <w:r w:rsidRPr="001D3750">
          <w:rPr>
            <w:rStyle w:val="Hyperlink"/>
            <w:sz w:val="24"/>
            <w:lang w:val="hu-HU"/>
          </w:rPr>
          <w:t>http://data.europa.eu/eli/reg/2021/1529/oj</w:t>
        </w:r>
      </w:hyperlink>
      <w:r w:rsidRPr="001D3750">
        <w:rPr>
          <w:sz w:val="24"/>
          <w:lang w:val="hu-HU"/>
        </w:rPr>
        <w:t xml:space="preserve">. </w:t>
      </w:r>
    </w:p>
  </w:footnote>
  <w:footnote w:id="3">
    <w:p w14:paraId="569001C1" w14:textId="77777777" w:rsidR="00A253A1" w:rsidRPr="001D3750" w:rsidRDefault="00A253A1" w:rsidP="001D3750">
      <w:pPr>
        <w:pStyle w:val="FootnoteText"/>
        <w:ind w:left="567" w:hanging="567"/>
        <w:rPr>
          <w:sz w:val="24"/>
          <w:lang w:val="hu-HU"/>
        </w:rPr>
      </w:pPr>
      <w:r w:rsidRPr="001D3750">
        <w:rPr>
          <w:rStyle w:val="FootnoteReference"/>
          <w:sz w:val="24"/>
          <w:lang w:val="hu-HU"/>
        </w:rPr>
        <w:footnoteRef/>
      </w:r>
      <w:r w:rsidR="001D3750" w:rsidRPr="001D3750">
        <w:rPr>
          <w:sz w:val="24"/>
          <w:lang w:val="hu-HU"/>
        </w:rPr>
        <w:t xml:space="preserve"> </w:t>
      </w:r>
      <w:r w:rsidR="001D3750" w:rsidRPr="001D3750">
        <w:rPr>
          <w:sz w:val="24"/>
          <w:lang w:val="hu-HU"/>
        </w:rPr>
        <w:tab/>
      </w:r>
      <w:r w:rsidRPr="001D3750">
        <w:rPr>
          <w:sz w:val="24"/>
          <w:lang w:val="hu-HU"/>
        </w:rPr>
        <w:t xml:space="preserve">HL L, 2024/1449, 2024.5.24., ELI: </w:t>
      </w:r>
      <w:hyperlink r:id="rId3" w:history="1">
        <w:r w:rsidRPr="001D3750">
          <w:rPr>
            <w:rStyle w:val="Hyperlink"/>
            <w:sz w:val="24"/>
            <w:lang w:val="hu-HU"/>
          </w:rPr>
          <w:t>http://data.europa.eu/eli/reg/2024/1449/oj</w:t>
        </w:r>
      </w:hyperlink>
      <w:r w:rsidRPr="001D3750">
        <w:rPr>
          <w:sz w:val="24"/>
          <w:lang w:val="hu-HU"/>
        </w:rPr>
        <w:t xml:space="preserve">. </w:t>
      </w:r>
    </w:p>
  </w:footnote>
  <w:footnote w:id="4">
    <w:p w14:paraId="6DA026EC" w14:textId="0778D78E" w:rsidR="00A253A1" w:rsidRPr="001D3750" w:rsidRDefault="00A253A1" w:rsidP="001D3750">
      <w:pPr>
        <w:pStyle w:val="FootnoteText"/>
        <w:ind w:left="567" w:hanging="567"/>
        <w:rPr>
          <w:sz w:val="24"/>
          <w:lang w:val="hu-HU"/>
        </w:rPr>
      </w:pPr>
      <w:r w:rsidRPr="001D3750">
        <w:rPr>
          <w:rStyle w:val="FootnoteReference"/>
          <w:sz w:val="24"/>
          <w:lang w:val="hu-HU"/>
        </w:rPr>
        <w:footnoteRef/>
      </w:r>
      <w:r w:rsidR="001D3750" w:rsidRPr="001D3750">
        <w:rPr>
          <w:sz w:val="24"/>
          <w:lang w:val="hu-HU"/>
        </w:rPr>
        <w:t xml:space="preserve"> </w:t>
      </w:r>
      <w:r w:rsidR="001D3750" w:rsidRPr="001D3750">
        <w:rPr>
          <w:sz w:val="24"/>
          <w:lang w:val="hu-HU"/>
        </w:rPr>
        <w:tab/>
      </w:r>
      <w:r w:rsidRPr="001D3750">
        <w:rPr>
          <w:sz w:val="24"/>
          <w:lang w:val="hu-HU"/>
        </w:rPr>
        <w:t>HL C 167.</w:t>
      </w:r>
      <w:r w:rsidRPr="001D3750">
        <w:rPr>
          <w:sz w:val="24"/>
          <w:lang w:val="hu-HU"/>
        </w:rPr>
        <w:t>, 2023.</w:t>
      </w:r>
      <w:r w:rsidR="005F39AA">
        <w:rPr>
          <w:sz w:val="24"/>
          <w:lang w:val="hu-HU"/>
        </w:rPr>
        <w:t>5</w:t>
      </w:r>
      <w:r w:rsidRPr="001D3750">
        <w:rPr>
          <w:sz w:val="24"/>
          <w:lang w:val="hu-HU"/>
        </w:rPr>
        <w:t>.</w:t>
      </w:r>
      <w:r w:rsidR="005F39AA">
        <w:rPr>
          <w:sz w:val="24"/>
          <w:lang w:val="hu-HU"/>
        </w:rPr>
        <w:t>11</w:t>
      </w:r>
      <w:r w:rsidRPr="001D3750">
        <w:rPr>
          <w:sz w:val="24"/>
          <w:lang w:val="hu-HU"/>
        </w:rPr>
        <w:t>., 105. o.</w:t>
      </w:r>
    </w:p>
  </w:footnote>
  <w:footnote w:id="5">
    <w:p w14:paraId="34021576" w14:textId="77777777" w:rsidR="00A253A1" w:rsidRPr="001D3750" w:rsidRDefault="00A253A1" w:rsidP="001D3750">
      <w:pPr>
        <w:pStyle w:val="FootnoteText"/>
        <w:ind w:left="567" w:hanging="567"/>
        <w:rPr>
          <w:sz w:val="24"/>
          <w:lang w:val="hu-HU"/>
        </w:rPr>
      </w:pPr>
      <w:r w:rsidRPr="001D3750">
        <w:rPr>
          <w:rStyle w:val="FootnoteReference"/>
          <w:sz w:val="24"/>
          <w:lang w:val="hu-HU"/>
        </w:rPr>
        <w:footnoteRef/>
      </w:r>
      <w:r w:rsidR="001D3750" w:rsidRPr="001D3750">
        <w:rPr>
          <w:sz w:val="24"/>
          <w:lang w:val="hu-HU"/>
        </w:rPr>
        <w:t xml:space="preserve"> </w:t>
      </w:r>
      <w:r w:rsidR="001D3750" w:rsidRPr="001D3750">
        <w:rPr>
          <w:sz w:val="24"/>
          <w:lang w:val="hu-HU"/>
        </w:rPr>
        <w:tab/>
      </w:r>
      <w:r w:rsidRPr="001D3750">
        <w:rPr>
          <w:sz w:val="24"/>
          <w:lang w:val="hu-HU"/>
        </w:rPr>
        <w:t xml:space="preserve">HL C, C/2024/6746, 2024.11.26., ELI: </w:t>
      </w:r>
      <w:hyperlink r:id="rId4" w:history="1">
        <w:r w:rsidRPr="001D3750">
          <w:rPr>
            <w:rStyle w:val="Hyperlink"/>
            <w:sz w:val="24"/>
            <w:lang w:val="hu-HU"/>
          </w:rPr>
          <w:t>http://data.europa.eu/eli/C/2024/6746/oj</w:t>
        </w:r>
      </w:hyperlink>
      <w:r w:rsidRPr="001D3750">
        <w:rPr>
          <w:sz w:val="24"/>
          <w:lang w:val="hu-HU"/>
        </w:rPr>
        <w:t xml:space="preserve">. </w:t>
      </w:r>
    </w:p>
  </w:footnote>
  <w:footnote w:id="6">
    <w:p w14:paraId="4EFE0EBB" w14:textId="77777777" w:rsidR="00A253A1" w:rsidRPr="001D3750" w:rsidRDefault="00A253A1" w:rsidP="001D3750">
      <w:pPr>
        <w:pStyle w:val="FootnoteText"/>
        <w:ind w:left="567" w:hanging="567"/>
        <w:rPr>
          <w:sz w:val="24"/>
          <w:lang w:val="hu-HU"/>
        </w:rPr>
      </w:pPr>
      <w:r w:rsidRPr="001D3750">
        <w:rPr>
          <w:rStyle w:val="FootnoteReference"/>
          <w:sz w:val="24"/>
          <w:lang w:val="hu-HU"/>
        </w:rPr>
        <w:footnoteRef/>
      </w:r>
      <w:r w:rsidR="001D3750" w:rsidRPr="001D3750">
        <w:rPr>
          <w:sz w:val="24"/>
          <w:lang w:val="hu-HU"/>
        </w:rPr>
        <w:t xml:space="preserve"> </w:t>
      </w:r>
      <w:r w:rsidR="001D3750" w:rsidRPr="001D3750">
        <w:rPr>
          <w:sz w:val="24"/>
          <w:lang w:val="hu-HU"/>
        </w:rPr>
        <w:tab/>
      </w:r>
      <w:hyperlink r:id="rId5" w:history="1">
        <w:r w:rsidRPr="001D3750">
          <w:rPr>
            <w:rStyle w:val="Hyperlink"/>
            <w:sz w:val="24"/>
            <w:lang w:val="hu-HU"/>
          </w:rPr>
          <w:t>https://www.osce.org/odihr/elections/montenegro</w:t>
        </w:r>
      </w:hyperlink>
      <w:r w:rsidRPr="001D3750">
        <w:rPr>
          <w:color w:val="0000FF"/>
          <w:sz w:val="24"/>
          <w:u w:val="single" w:color="0000FF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659F6" w14:textId="77777777" w:rsidR="00064002" w:rsidRPr="001D37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2B73D" w14:textId="77777777" w:rsidR="00064002" w:rsidRPr="001D37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08B36" w14:textId="77777777" w:rsidR="00064002" w:rsidRPr="001D37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7150298">
    <w:abstractNumId w:val="9"/>
  </w:num>
  <w:num w:numId="2" w16cid:durableId="1535729374">
    <w:abstractNumId w:val="9"/>
  </w:num>
  <w:num w:numId="3" w16cid:durableId="218058825">
    <w:abstractNumId w:val="7"/>
  </w:num>
  <w:num w:numId="4" w16cid:durableId="1108231668">
    <w:abstractNumId w:val="7"/>
  </w:num>
  <w:num w:numId="5" w16cid:durableId="1918903415">
    <w:abstractNumId w:val="6"/>
  </w:num>
  <w:num w:numId="6" w16cid:durableId="1537505548">
    <w:abstractNumId w:val="6"/>
  </w:num>
  <w:num w:numId="7" w16cid:durableId="970407334">
    <w:abstractNumId w:val="5"/>
  </w:num>
  <w:num w:numId="8" w16cid:durableId="1881092523">
    <w:abstractNumId w:val="5"/>
  </w:num>
  <w:num w:numId="9" w16cid:durableId="35399371">
    <w:abstractNumId w:val="4"/>
  </w:num>
  <w:num w:numId="10" w16cid:durableId="1575355099">
    <w:abstractNumId w:val="4"/>
  </w:num>
  <w:num w:numId="11" w16cid:durableId="720329076">
    <w:abstractNumId w:val="8"/>
  </w:num>
  <w:num w:numId="12" w16cid:durableId="661658882">
    <w:abstractNumId w:val="8"/>
  </w:num>
  <w:num w:numId="13" w16cid:durableId="1092244459">
    <w:abstractNumId w:val="3"/>
  </w:num>
  <w:num w:numId="14" w16cid:durableId="481583585">
    <w:abstractNumId w:val="3"/>
  </w:num>
  <w:num w:numId="15" w16cid:durableId="1824199928">
    <w:abstractNumId w:val="2"/>
  </w:num>
  <w:num w:numId="16" w16cid:durableId="1188256118">
    <w:abstractNumId w:val="2"/>
  </w:num>
  <w:num w:numId="17" w16cid:durableId="1638337888">
    <w:abstractNumId w:val="1"/>
  </w:num>
  <w:num w:numId="18" w16cid:durableId="1697317095">
    <w:abstractNumId w:val="1"/>
  </w:num>
  <w:num w:numId="19" w16cid:durableId="1380327048">
    <w:abstractNumId w:val="0"/>
  </w:num>
  <w:num w:numId="20" w16cid:durableId="85813129">
    <w:abstractNumId w:val="0"/>
  </w:num>
  <w:num w:numId="21" w16cid:durableId="417947229">
    <w:abstractNumId w:val="9"/>
  </w:num>
  <w:num w:numId="22" w16cid:durableId="1235047671">
    <w:abstractNumId w:val="7"/>
  </w:num>
  <w:num w:numId="23" w16cid:durableId="754976349">
    <w:abstractNumId w:val="6"/>
  </w:num>
  <w:num w:numId="24" w16cid:durableId="761875763">
    <w:abstractNumId w:val="5"/>
  </w:num>
  <w:num w:numId="25" w16cid:durableId="1241872064">
    <w:abstractNumId w:val="4"/>
  </w:num>
  <w:num w:numId="26" w16cid:durableId="914902947">
    <w:abstractNumId w:val="8"/>
  </w:num>
  <w:num w:numId="27" w16cid:durableId="713576501">
    <w:abstractNumId w:val="3"/>
  </w:num>
  <w:num w:numId="28" w16cid:durableId="1680161348">
    <w:abstractNumId w:val="2"/>
  </w:num>
  <w:num w:numId="29" w16cid:durableId="206722940">
    <w:abstractNumId w:val="1"/>
  </w:num>
  <w:num w:numId="30" w16cid:durableId="1349286804">
    <w:abstractNumId w:val="0"/>
  </w:num>
  <w:num w:numId="31" w16cid:durableId="1977951172">
    <w:abstractNumId w:val="9"/>
  </w:num>
  <w:num w:numId="32" w16cid:durableId="1297683935">
    <w:abstractNumId w:val="7"/>
  </w:num>
  <w:num w:numId="33" w16cid:durableId="1000232492">
    <w:abstractNumId w:val="6"/>
  </w:num>
  <w:num w:numId="34" w16cid:durableId="2126070477">
    <w:abstractNumId w:val="5"/>
  </w:num>
  <w:num w:numId="35" w16cid:durableId="53043260">
    <w:abstractNumId w:val="4"/>
  </w:num>
  <w:num w:numId="36" w16cid:durableId="1500077409">
    <w:abstractNumId w:val="8"/>
  </w:num>
  <w:num w:numId="37" w16cid:durableId="703138710">
    <w:abstractNumId w:val="3"/>
  </w:num>
  <w:num w:numId="38" w16cid:durableId="376897993">
    <w:abstractNumId w:val="2"/>
  </w:num>
  <w:num w:numId="39" w16cid:durableId="388237375">
    <w:abstractNumId w:val="1"/>
  </w:num>
  <w:num w:numId="40" w16cid:durableId="1816991732">
    <w:abstractNumId w:val="0"/>
  </w:num>
  <w:num w:numId="41" w16cid:durableId="824709181">
    <w:abstractNumId w:val="10"/>
  </w:num>
  <w:num w:numId="42" w16cid:durableId="139543150">
    <w:abstractNumId w:val="10"/>
  </w:num>
  <w:num w:numId="43" w16cid:durableId="2115243554">
    <w:abstractNumId w:val="10"/>
  </w:num>
  <w:num w:numId="44" w16cid:durableId="16662748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3/2025"/>
    <w:docVar w:name="dvlangue" w:val="HU"/>
    <w:docVar w:name="dvnumam" w:val="0"/>
    <w:docVar w:name="dvpe" w:val="769.896"/>
    <w:docVar w:name="dvrapporteur" w:val="Előadó: "/>
    <w:docVar w:name="dvtitre" w:val="Az Európai Parlament 2025.  ...-i állásfoglalása a Bizottság Montenegróról szóló 2023. és 2024. évi jelentéseiről(2025/2020(INI))"/>
  </w:docVars>
  <w:rsids>
    <w:rsidRoot w:val="00751685"/>
    <w:rsid w:val="00002272"/>
    <w:rsid w:val="00064002"/>
    <w:rsid w:val="000677B9"/>
    <w:rsid w:val="000831BA"/>
    <w:rsid w:val="000A42CC"/>
    <w:rsid w:val="000C6CF9"/>
    <w:rsid w:val="000E7DD9"/>
    <w:rsid w:val="0010095E"/>
    <w:rsid w:val="00125B37"/>
    <w:rsid w:val="00187494"/>
    <w:rsid w:val="001A333D"/>
    <w:rsid w:val="001D3750"/>
    <w:rsid w:val="001F32AE"/>
    <w:rsid w:val="002767FF"/>
    <w:rsid w:val="002B18FE"/>
    <w:rsid w:val="002B5493"/>
    <w:rsid w:val="00343214"/>
    <w:rsid w:val="00361C00"/>
    <w:rsid w:val="00393022"/>
    <w:rsid w:val="00395FA1"/>
    <w:rsid w:val="003E15D4"/>
    <w:rsid w:val="00411CCE"/>
    <w:rsid w:val="0041666E"/>
    <w:rsid w:val="00421060"/>
    <w:rsid w:val="00460AC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9AA"/>
    <w:rsid w:val="006037C0"/>
    <w:rsid w:val="006631B6"/>
    <w:rsid w:val="00680577"/>
    <w:rsid w:val="006F74FA"/>
    <w:rsid w:val="00731ADD"/>
    <w:rsid w:val="00734777"/>
    <w:rsid w:val="00747932"/>
    <w:rsid w:val="00751685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3A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2E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74B9"/>
    <w:rsid w:val="00EB006A"/>
    <w:rsid w:val="00EB4772"/>
    <w:rsid w:val="00ED169E"/>
    <w:rsid w:val="00ED4235"/>
    <w:rsid w:val="00F04346"/>
    <w:rsid w:val="00F075DC"/>
    <w:rsid w:val="00F149E9"/>
    <w:rsid w:val="00F447F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7AB24"/>
  <w15:chartTrackingRefBased/>
  <w15:docId w15:val="{E53CD831-AC50-4713-B3C2-2DE2A802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53A1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A253A1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A253A1"/>
    <w:pPr>
      <w:spacing w:after="240"/>
      <w:jc w:val="center"/>
    </w:pPr>
  </w:style>
  <w:style w:type="character" w:customStyle="1" w:styleId="BoldItalic">
    <w:name w:val="BoldItalic"/>
    <w:uiPriority w:val="1"/>
    <w:rsid w:val="00A253A1"/>
    <w:rPr>
      <w:b/>
      <w:i/>
      <w:u w:val="none"/>
    </w:rPr>
  </w:style>
  <w:style w:type="character" w:customStyle="1" w:styleId="Italic">
    <w:name w:val="Italic"/>
    <w:uiPriority w:val="1"/>
    <w:rsid w:val="00A253A1"/>
    <w:rPr>
      <w:i/>
    </w:rPr>
  </w:style>
  <w:style w:type="paragraph" w:customStyle="1" w:styleId="Normal12a24b">
    <w:name w:val="Normal12a24b"/>
    <w:basedOn w:val="Normal"/>
    <w:rsid w:val="00A253A1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A253A1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253A1"/>
    <w:rPr>
      <w:snapToGrid w:val="0"/>
      <w:sz w:val="24"/>
      <w:lang w:val="hu-HU" w:eastAsia="en-US"/>
    </w:rPr>
  </w:style>
  <w:style w:type="paragraph" w:styleId="BalloonText">
    <w:name w:val="Balloon Text"/>
    <w:basedOn w:val="Normal"/>
    <w:link w:val="BalloonTextChar"/>
    <w:rsid w:val="00BC12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12EF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ur-lex.europa.eu/legal-content/HU/ALL/?uri=CELEX:52023DC0691" TargetMode="External"/><Relationship Id="rId18" Type="http://schemas.openxmlformats.org/officeDocument/2006/relationships/hyperlink" Target="https://eur-lex.europa.eu/legal-content/EN/ALL/?uri=CELEX:52024SC069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HU/ALL/?uri=CELEX:52023SC0694" TargetMode="External"/><Relationship Id="rId17" Type="http://schemas.openxmlformats.org/officeDocument/2006/relationships/hyperlink" Target="https://eur-lex.europa.eu/legal-content/HU/ALL/?uri=CELEX:52024DC069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ur-lex.europa.eu/legal-content/EN/ALL/?uri=CELEX:52024SC082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HU/ALL/?uri=CELEX:52023DC0690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EN/ALL/?uri=CELEX:52024DC0800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eur-lex.europa.eu/legal-content/HU/ALL/?uri=CELEX:52020DC0641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HU/ALL/?uri=CELEX:52010DC0670" TargetMode="External"/><Relationship Id="rId14" Type="http://schemas.openxmlformats.org/officeDocument/2006/relationships/hyperlink" Target="https://eur-lex.europa.eu/legal-content/HU/ALL/?uri=CELEX:52024DC0146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0/224/oj" TargetMode="External"/><Relationship Id="rId5" Type="http://schemas.openxmlformats.org/officeDocument/2006/relationships/hyperlink" Target="https://www.osce.org/odihr/elections/montenegro" TargetMode="External"/><Relationship Id="rId4" Type="http://schemas.openxmlformats.org/officeDocument/2006/relationships/hyperlink" Target="http://data.europa.eu/eli/C/2024/67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E1A00-BEE9-44D5-8C41-31F95DF70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5562</Words>
  <Characters>42525</Characters>
  <Application>Microsoft Office Word</Application>
  <DocSecurity>0</DocSecurity>
  <Lines>354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2025-07-16T15:01:00Z</dcterms:created>
  <dcterms:modified xsi:type="dcterms:W3CDTF">2025-07-16T15:01:00Z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A10-0093/2025</vt:lpwstr>
  </property>
  <property fmtid="{D5CDD505-2E9C-101B-9397-08002B2CF9AE}" pid="4" name="&lt;Type&gt;">
    <vt:lpwstr>RR</vt:lpwstr>
  </property>
</Properties>
</file>