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645E" w14:paraId="15AEF1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0444E8" w14:textId="77777777" w:rsidR="00751A4A" w:rsidRPr="0064645E" w:rsidRDefault="00E91696" w:rsidP="0010095E">
            <w:pPr>
              <w:pStyle w:val="EPName"/>
            </w:pPr>
            <w:r w:rsidRPr="0064645E">
              <w:t>Parlamento europeo</w:t>
            </w:r>
          </w:p>
          <w:p w14:paraId="34D47BA2" w14:textId="77777777" w:rsidR="00751A4A" w:rsidRPr="006464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45E">
              <w:t>2024</w:t>
            </w:r>
            <w:r w:rsidR="00817416" w:rsidRPr="0064645E">
              <w:t>-202</w:t>
            </w:r>
            <w:r w:rsidRPr="0064645E">
              <w:t>9</w:t>
            </w:r>
          </w:p>
        </w:tc>
        <w:tc>
          <w:tcPr>
            <w:tcW w:w="2268" w:type="dxa"/>
            <w:shd w:val="clear" w:color="auto" w:fill="auto"/>
          </w:tcPr>
          <w:p w14:paraId="5697B95C" w14:textId="77777777" w:rsidR="00751A4A" w:rsidRPr="0064645E" w:rsidRDefault="00187494" w:rsidP="0010095E">
            <w:pPr>
              <w:pStyle w:val="EPLogo"/>
            </w:pPr>
            <w:r w:rsidRPr="0064645E">
              <w:rPr>
                <w:noProof/>
                <w:lang w:val="en-GB"/>
              </w:rPr>
              <w:drawing>
                <wp:inline distT="0" distB="0" distL="0" distR="0" wp14:anchorId="5094D3AE" wp14:editId="7889AD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74086D" w14:textId="77777777" w:rsidR="00D058B8" w:rsidRPr="0064645E" w:rsidRDefault="00D058B8" w:rsidP="004C5D52">
      <w:pPr>
        <w:pStyle w:val="LineTop"/>
      </w:pPr>
    </w:p>
    <w:p w14:paraId="457435A2" w14:textId="77777777" w:rsidR="00680577" w:rsidRPr="0064645E" w:rsidRDefault="00E91696" w:rsidP="00680577">
      <w:pPr>
        <w:pStyle w:val="EPBodyTA1"/>
      </w:pPr>
      <w:r w:rsidRPr="0064645E">
        <w:t>TESTI APPROVATI</w:t>
      </w:r>
    </w:p>
    <w:p w14:paraId="163A6165" w14:textId="77777777" w:rsidR="00D058B8" w:rsidRPr="0064645E" w:rsidRDefault="00D058B8" w:rsidP="00D058B8">
      <w:pPr>
        <w:pStyle w:val="LineBottom"/>
      </w:pPr>
    </w:p>
    <w:p w14:paraId="58B7157D" w14:textId="1B9256C1" w:rsidR="00E91696" w:rsidRPr="0064645E" w:rsidRDefault="00E91696" w:rsidP="00E91696">
      <w:pPr>
        <w:pStyle w:val="ATHeading1"/>
      </w:pPr>
      <w:bookmarkStart w:id="0" w:name="TANumber"/>
      <w:r w:rsidRPr="0064645E">
        <w:t>P10</w:t>
      </w:r>
      <w:bookmarkStart w:id="1" w:name="_GoBack"/>
      <w:bookmarkEnd w:id="1"/>
      <w:r w:rsidRPr="0064645E">
        <w:t>_TA(2025)0</w:t>
      </w:r>
      <w:r w:rsidR="0064645E" w:rsidRPr="0064645E">
        <w:t>130</w:t>
      </w:r>
      <w:bookmarkEnd w:id="0"/>
    </w:p>
    <w:p w14:paraId="02C0464A" w14:textId="77777777" w:rsidR="00E91696" w:rsidRPr="0064645E" w:rsidRDefault="00E91696" w:rsidP="00E91696">
      <w:pPr>
        <w:pStyle w:val="ATHeading2"/>
      </w:pPr>
      <w:bookmarkStart w:id="2" w:name="title"/>
      <w:r w:rsidRPr="0064645E">
        <w:t>Relazioni 2023 e 2024 della Commissione sul Montenegro</w:t>
      </w:r>
      <w:bookmarkEnd w:id="2"/>
    </w:p>
    <w:p w14:paraId="25552B40" w14:textId="77777777" w:rsidR="00E91696" w:rsidRPr="0064645E" w:rsidRDefault="00E91696" w:rsidP="00E91696">
      <w:pPr>
        <w:rPr>
          <w:i/>
          <w:vanish/>
        </w:rPr>
      </w:pPr>
      <w:r w:rsidRPr="0064645E">
        <w:rPr>
          <w:i/>
        </w:rPr>
        <w:fldChar w:fldCharType="begin"/>
      </w:r>
      <w:r w:rsidRPr="0064645E">
        <w:rPr>
          <w:i/>
        </w:rPr>
        <w:instrText xml:space="preserve"> TC"(</w:instrText>
      </w:r>
      <w:bookmarkStart w:id="3" w:name="DocNumber"/>
      <w:r w:rsidRPr="0064645E">
        <w:rPr>
          <w:i/>
        </w:rPr>
        <w:instrText>A10-0093/2025</w:instrText>
      </w:r>
      <w:bookmarkEnd w:id="3"/>
      <w:r w:rsidRPr="0064645E">
        <w:rPr>
          <w:i/>
        </w:rPr>
        <w:instrText xml:space="preserve"> - Relatore: Marjan Šarec)"\l3 \n&gt; \* MERGEFORMAT </w:instrText>
      </w:r>
      <w:r w:rsidRPr="0064645E">
        <w:rPr>
          <w:i/>
        </w:rPr>
        <w:fldChar w:fldCharType="end"/>
      </w:r>
    </w:p>
    <w:p w14:paraId="4F68E9BA" w14:textId="77777777" w:rsidR="00E91696" w:rsidRPr="0064645E" w:rsidRDefault="00E91696" w:rsidP="00E91696">
      <w:pPr>
        <w:rPr>
          <w:vanish/>
        </w:rPr>
      </w:pPr>
      <w:bookmarkStart w:id="4" w:name="Commission"/>
      <w:r w:rsidRPr="0064645E">
        <w:rPr>
          <w:vanish/>
        </w:rPr>
        <w:t>Commissione per gli affari esteri</w:t>
      </w:r>
      <w:bookmarkEnd w:id="4"/>
    </w:p>
    <w:p w14:paraId="06DB6D40" w14:textId="77777777" w:rsidR="00E91696" w:rsidRPr="0064645E" w:rsidRDefault="00E91696" w:rsidP="00E91696">
      <w:pPr>
        <w:rPr>
          <w:vanish/>
        </w:rPr>
      </w:pPr>
      <w:bookmarkStart w:id="5" w:name="PE"/>
      <w:r w:rsidRPr="0064645E">
        <w:rPr>
          <w:vanish/>
        </w:rPr>
        <w:t>PE769.896</w:t>
      </w:r>
      <w:bookmarkEnd w:id="5"/>
    </w:p>
    <w:p w14:paraId="2AFADA36" w14:textId="62479A82" w:rsidR="00E91696" w:rsidRPr="0064645E" w:rsidRDefault="00E91696" w:rsidP="00E91696">
      <w:pPr>
        <w:pStyle w:val="ATHeading3"/>
      </w:pPr>
      <w:bookmarkStart w:id="6" w:name="Sujet"/>
      <w:r w:rsidRPr="0064645E">
        <w:t xml:space="preserve">Risoluzione del Parlamento europeo del </w:t>
      </w:r>
      <w:r w:rsidR="00BB2CC6" w:rsidRPr="0064645E">
        <w:t>18</w:t>
      </w:r>
      <w:r w:rsidRPr="0064645E">
        <w:t xml:space="preserve"> giugno 2025 sulle relazioni 2023 e 2024 della Commissione sul Montenegro</w:t>
      </w:r>
      <w:bookmarkEnd w:id="6"/>
      <w:r w:rsidRPr="0064645E">
        <w:t xml:space="preserve"> </w:t>
      </w:r>
      <w:bookmarkStart w:id="7" w:name="References"/>
      <w:r w:rsidRPr="0064645E">
        <w:t>(2025/2020(INI))</w:t>
      </w:r>
      <w:bookmarkEnd w:id="7"/>
    </w:p>
    <w:p w14:paraId="749218AA" w14:textId="77777777" w:rsidR="009E3D0A" w:rsidRPr="0064645E" w:rsidRDefault="009E3D0A" w:rsidP="009E3D0A">
      <w:pPr>
        <w:pStyle w:val="EPComma"/>
      </w:pPr>
      <w:r w:rsidRPr="0064645E">
        <w:rPr>
          <w:rStyle w:val="Italic"/>
        </w:rPr>
        <w:t>Il Parlamento europeo</w:t>
      </w:r>
      <w:r w:rsidRPr="0064645E">
        <w:t>,</w:t>
      </w:r>
    </w:p>
    <w:p w14:paraId="23C923CD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visto l'accordo di stabilizzazione e di associazione tra le Comunità europee e i loro Stati membri, da una parte, e la Repubblica di Montenegro, dall'altra</w:t>
      </w:r>
      <w:r w:rsidRPr="0064645E">
        <w:rPr>
          <w:rStyle w:val="FootnoteReference"/>
        </w:rPr>
        <w:footnoteReference w:id="1"/>
      </w:r>
      <w:r w:rsidRPr="0064645E">
        <w:t>, entrato in vigore il 1° maggio 2010,</w:t>
      </w:r>
    </w:p>
    <w:p w14:paraId="766F34A1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domanda di adesione all'Unione europea presentata dal Montenegro il 15 dicembre 2008,</w:t>
      </w:r>
    </w:p>
    <w:p w14:paraId="2342F76E" w14:textId="7A04AF16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visti il parere della Commissione del 9 novembre 2010 sulla domanda di adesione del Montenegro all'Unione europea (</w:t>
      </w:r>
      <w:proofErr w:type="gramStart"/>
      <w:r w:rsidRPr="0064645E">
        <w:t>COM(</w:t>
      </w:r>
      <w:proofErr w:type="gramEnd"/>
      <w:r w:rsidRPr="0064645E">
        <w:t>2010)0670), la decisione del Consiglio europeo del 16 e 17 dicembre 2010 di concedere al Montenegro lo status di paese candidato e la decisione del Consiglio europeo del 29 giugno 2012 di avviare i negoziati di adesione all'Unione europea con il Montenegro,</w:t>
      </w:r>
    </w:p>
    <w:p w14:paraId="5B1B0303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visto il regolamento (UE) 2021/1529 del Parlamento europeo e del Consiglio, del 15 settembre 2021, che istituisce uno strumento di assistenza preadesione (IPA III)</w:t>
      </w:r>
      <w:r w:rsidRPr="0064645E">
        <w:rPr>
          <w:rStyle w:val="FootnoteReference"/>
        </w:rPr>
        <w:footnoteReference w:id="2"/>
      </w:r>
      <w:r w:rsidRPr="0064645E">
        <w:t>,</w:t>
      </w:r>
    </w:p>
    <w:p w14:paraId="364F71F1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visto il regolamento (UE) 2024/1449 del Parlamento europeo e del Consiglio, del 14 maggio 2024, sull'istituzione di uno strumento per le riforme e la crescita per i Balcani occidentali</w:t>
      </w:r>
      <w:r w:rsidRPr="0064645E">
        <w:rPr>
          <w:rStyle w:val="FootnoteReference"/>
        </w:rPr>
        <w:footnoteReference w:id="3"/>
      </w:r>
      <w:r w:rsidRPr="0064645E">
        <w:t>,</w:t>
      </w:r>
    </w:p>
    <w:p w14:paraId="20D2FAF3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viste le conclusioni della presidenza in occasione della riunione del Consiglio europeo di Salonicco del 19 e 20 giugno 2003,</w:t>
      </w:r>
    </w:p>
    <w:p w14:paraId="58F2124B" w14:textId="77777777" w:rsidR="009E3D0A" w:rsidRPr="0064645E" w:rsidRDefault="009E3D0A" w:rsidP="009E3D0A">
      <w:pPr>
        <w:pStyle w:val="NormalHanging12a"/>
      </w:pPr>
      <w:r w:rsidRPr="0064645E">
        <w:lastRenderedPageBreak/>
        <w:t>–</w:t>
      </w:r>
      <w:r w:rsidRPr="0064645E">
        <w:tab/>
        <w:t>visti la dichiarazione di Sofia del vertice UE-Balcani occidentali del 17 maggio 2018 e il programma delle priorità di Sofia ad essa allegato,</w:t>
      </w:r>
    </w:p>
    <w:p w14:paraId="59B4B52A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viste le dichiarazioni dei vertici UE-Balcani occidentali del 13 dicembre 2023 e del 18 dicembre 2024, tenutisi a Bruxelles,</w:t>
      </w:r>
    </w:p>
    <w:p w14:paraId="0496F802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visto il processo di Berlino avviato il 28 agosto 2014,</w:t>
      </w:r>
    </w:p>
    <w:p w14:paraId="2EB51FD9" w14:textId="2C5C9330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comunicazione della Commissione del 6 ottobre 2020 dal titolo "Un piano economico e di investimenti per i Balcani occidentali" (</w:t>
      </w:r>
      <w:proofErr w:type="gramStart"/>
      <w:r w:rsidRPr="0064645E">
        <w:t>COM(</w:t>
      </w:r>
      <w:proofErr w:type="gramEnd"/>
      <w:r w:rsidRPr="0064645E">
        <w:t>2020)0641),</w:t>
      </w:r>
    </w:p>
    <w:p w14:paraId="7593875E" w14:textId="24D5C933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comunicazione della Commissione dell'8 novembre 2023 dal titolo "Comunicazione 2023 sulla politica di allargamento dell'UE" (</w:t>
      </w:r>
      <w:proofErr w:type="gramStart"/>
      <w:r w:rsidRPr="0064645E">
        <w:t>COM(</w:t>
      </w:r>
      <w:proofErr w:type="gramEnd"/>
      <w:r w:rsidRPr="0064645E">
        <w:t>2023)0690), accompagnata dal documento di lavoro dei servizi della Commissione intitolato "Montenegro 2023 Report" (relazione 2023 sul Montenegro) (SWD(2023)0694),</w:t>
      </w:r>
    </w:p>
    <w:p w14:paraId="37BD228D" w14:textId="339A892B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comunicazione della Commissione dell'8 novembre 2023 dal titolo "Un nuovo piano di crescita per i Balcani occidentali" (</w:t>
      </w:r>
      <w:proofErr w:type="gramStart"/>
      <w:r w:rsidRPr="0064645E">
        <w:t>COM(</w:t>
      </w:r>
      <w:proofErr w:type="gramEnd"/>
      <w:r w:rsidRPr="0064645E">
        <w:t>2023)0691),</w:t>
      </w:r>
    </w:p>
    <w:p w14:paraId="6DE3495F" w14:textId="1E562C38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 xml:space="preserve">vista la comunicazione della Commissione del 20 marzo 2024 sulle riforme e sulle revisioni strategiche </w:t>
      </w:r>
      <w:proofErr w:type="spellStart"/>
      <w:r w:rsidRPr="0064645E">
        <w:t>pre</w:t>
      </w:r>
      <w:proofErr w:type="spellEnd"/>
      <w:r w:rsidRPr="0064645E">
        <w:t>-allargamento (</w:t>
      </w:r>
      <w:proofErr w:type="gramStart"/>
      <w:r w:rsidRPr="0064645E">
        <w:t>COM(</w:t>
      </w:r>
      <w:proofErr w:type="gramEnd"/>
      <w:r w:rsidRPr="0064645E">
        <w:t>2024)0146),</w:t>
      </w:r>
    </w:p>
    <w:p w14:paraId="4382ACA9" w14:textId="1AC8AC03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 xml:space="preserve">vista la comunicazione della Commissione del 24 luglio 2024 dal titolo "Relazione sullo Stato di diritto 2024" (COM(2024)0800), accompagnata dal documento di lavoro dei servizi della Commissione intitolato "2024 </w:t>
      </w:r>
      <w:proofErr w:type="spellStart"/>
      <w:r w:rsidRPr="0064645E">
        <w:t>Rule</w:t>
      </w:r>
      <w:proofErr w:type="spellEnd"/>
      <w:r w:rsidRPr="0064645E">
        <w:t xml:space="preserve"> of Law Report – The </w:t>
      </w:r>
      <w:proofErr w:type="spellStart"/>
      <w:r w:rsidRPr="0064645E">
        <w:t>rule</w:t>
      </w:r>
      <w:proofErr w:type="spellEnd"/>
      <w:r w:rsidRPr="0064645E">
        <w:t xml:space="preserve"> of law situation in the European Union: Country </w:t>
      </w:r>
      <w:proofErr w:type="spellStart"/>
      <w:r w:rsidRPr="0064645E">
        <w:t>Chapter</w:t>
      </w:r>
      <w:proofErr w:type="spellEnd"/>
      <w:r w:rsidRPr="0064645E">
        <w:t xml:space="preserve"> on the </w:t>
      </w:r>
      <w:proofErr w:type="spellStart"/>
      <w:r w:rsidRPr="0064645E">
        <w:t>rule</w:t>
      </w:r>
      <w:proofErr w:type="spellEnd"/>
      <w:r w:rsidRPr="0064645E">
        <w:t xml:space="preserve"> of law situation in Montenegro" (relazione sullo Stato di diritto 2024 – La situazione dello Stato di diritto nell'Unione europea: capitolo per paese relativo alla situazione dello Stato di diritto in Montenegro) (SWD(2024)0829),</w:t>
      </w:r>
    </w:p>
    <w:p w14:paraId="07269FA6" w14:textId="4167065E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comunicazione della Commissione del 30 ottobre 2024 dal titolo "Comunicazione 2024 sulla politica di allargamento dell'UE" (</w:t>
      </w:r>
      <w:proofErr w:type="gramStart"/>
      <w:r w:rsidRPr="0064645E">
        <w:t>COM(</w:t>
      </w:r>
      <w:proofErr w:type="gramEnd"/>
      <w:r w:rsidRPr="0064645E">
        <w:t>2024)0690), accompagnata dal documento di lavoro dei servizi della Commissione intitolato "Montenegro 2024 Report" (relazione 2024 sul Montenegro) (SWD(2024)0694),</w:t>
      </w:r>
    </w:p>
    <w:p w14:paraId="6FC74505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viste la sintesi e le valutazioni per paese della Commissione, del 31 maggio 2023 e del 13 giugno 2024, sul programma di riforma economica del Montenegro, le conclusioni comuni del dialogo economico e finanziario tra l'UE e i Balcani occidentali e la Turchia, adottate dal Consiglio il 16 maggio 2023, e le conclusioni comuni del dialogo economico e finanziario tra l'UE e i partner dei Balcani occidentali, la Turchia, la Georgia, la Repubblica di Moldova e l'Ucraina, adottate dal Consiglio il 14 maggio 2024,</w:t>
      </w:r>
    </w:p>
    <w:p w14:paraId="4AAFC6FA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viste le conferenze intergovernative di adesione UE-Montenegro del 22 giugno 2021, del 13 dicembre 2021, del 29 gennaio 2024, del 26 giugno 2024 e del 16 dicembre 2024,</w:t>
      </w:r>
    </w:p>
    <w:p w14:paraId="54714FE4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l'11</w:t>
      </w:r>
      <w:r w:rsidRPr="0064645E">
        <w:rPr>
          <w:vertAlign w:val="superscript"/>
        </w:rPr>
        <w:t>a</w:t>
      </w:r>
      <w:r w:rsidRPr="0064645E">
        <w:t xml:space="preserve"> sessione del consiglio di stabilizzazione e di associazione UE-Montenegro tenutasi il 14 luglio 2022,</w:t>
      </w:r>
    </w:p>
    <w:p w14:paraId="1A12CD53" w14:textId="77777777" w:rsidR="009E3D0A" w:rsidRPr="0064645E" w:rsidRDefault="009E3D0A" w:rsidP="009E3D0A">
      <w:pPr>
        <w:pStyle w:val="NormalHanging12a"/>
      </w:pPr>
      <w:r w:rsidRPr="0064645E">
        <w:lastRenderedPageBreak/>
        <w:t>–</w:t>
      </w:r>
      <w:r w:rsidRPr="0064645E">
        <w:tab/>
        <w:t>viste la dichiarazione e le raccomandazioni adottate in occasione della 22</w:t>
      </w:r>
      <w:r w:rsidRPr="0064645E">
        <w:rPr>
          <w:vertAlign w:val="superscript"/>
        </w:rPr>
        <w:t>a</w:t>
      </w:r>
      <w:r w:rsidRPr="0064645E">
        <w:t xml:space="preserve"> riunione del comitato parlamentare di stabilizzazione e di associazione UE-Montenegro, tenutasi il 31 ottobre e il 1° novembre 2024,</w:t>
      </w:r>
    </w:p>
    <w:p w14:paraId="5E5BA76B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l'adesione del Montenegro alla NATO il 5 giugno 2017,</w:t>
      </w:r>
    </w:p>
    <w:p w14:paraId="7D328B89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relazione speciale 01/2022 della Corte dei conti europea, del 10 gennaio 2022, dal titolo "Sostegno dell'UE allo Stato di diritto nei Balcani occidentali: nonostante gli sforzi, permangono problemi fondamentali",</w:t>
      </w:r>
    </w:p>
    <w:p w14:paraId="171FF48B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viste la convenzione del Consiglio d'Europa sulla prevenzione e la lotta contro la violenza nei confronti delle donne e la violenza domestica (convenzione di Istanbul), ratificata dal Montenegro nel 2013, e le raccomandazioni della Commissione concernenti la parità di genere e la lotta contro la violenza di genere,</w:t>
      </w:r>
    </w:p>
    <w:p w14:paraId="3FF53005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relazione relativa all'indice sulla libertà di stampa nel mondo, pubblicata ogni anno da Reporter senza frontiere,</w:t>
      </w:r>
    </w:p>
    <w:p w14:paraId="3C3FFA25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visti i dati dell'Alto Commissariato delle Nazioni Unite per i rifugiati (UNHCR) sulla situazione dei rifugiati in Ucraina nell'aprile 2025,</w:t>
      </w:r>
    </w:p>
    <w:p w14:paraId="7D6C3E78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sua raccomandazione del 23 novembre 2022 al Consiglio, alla Commissione e al vicepresidente della Commissione/alto rappresentante dell'Unione per gli affari esteri e la politica di sicurezza concernente la nuova strategia dell'UE in materia di allargamento</w:t>
      </w:r>
      <w:r w:rsidRPr="0064645E">
        <w:rPr>
          <w:rStyle w:val="FootnoteReference"/>
        </w:rPr>
        <w:footnoteReference w:id="4"/>
      </w:r>
      <w:r w:rsidRPr="0064645E">
        <w:t>,</w:t>
      </w:r>
    </w:p>
    <w:p w14:paraId="3CA58A6A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viste le sue precedenti risoluzioni sul Montenegro,</w:t>
      </w:r>
    </w:p>
    <w:p w14:paraId="35BBD20F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sua risoluzione del 29 febbraio 2024 sull'approfondimento dell'integrazione dell'UE in vista del futuro allargamento</w:t>
      </w:r>
      <w:r w:rsidRPr="0064645E">
        <w:rPr>
          <w:vertAlign w:val="superscript"/>
        </w:rPr>
        <w:footnoteReference w:id="5"/>
      </w:r>
      <w:r w:rsidRPr="0064645E">
        <w:t>,</w:t>
      </w:r>
    </w:p>
    <w:p w14:paraId="01766338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visto l'articolo 55 del suo regolamento,</w:t>
      </w:r>
    </w:p>
    <w:p w14:paraId="35C8FFAF" w14:textId="77777777" w:rsidR="009E3D0A" w:rsidRPr="0064645E" w:rsidRDefault="009E3D0A" w:rsidP="009E3D0A">
      <w:pPr>
        <w:pStyle w:val="NormalHanging12a"/>
      </w:pPr>
      <w:r w:rsidRPr="0064645E">
        <w:t>–</w:t>
      </w:r>
      <w:r w:rsidRPr="0064645E">
        <w:tab/>
        <w:t>vista la relazione della commissione per gli affari esteri (A10-0093/2025),</w:t>
      </w:r>
    </w:p>
    <w:p w14:paraId="7B05BA15" w14:textId="77777777" w:rsidR="009E3D0A" w:rsidRPr="0064645E" w:rsidRDefault="009E3D0A" w:rsidP="009E3D0A">
      <w:pPr>
        <w:pStyle w:val="NormalHanging12a"/>
      </w:pPr>
      <w:r w:rsidRPr="0064645E">
        <w:t>A.</w:t>
      </w:r>
      <w:r w:rsidRPr="0064645E">
        <w:tab/>
        <w:t>considerando che l'allargamento rappresenta uno strumento fondamentale della politica estera dell'UE e un investimento geopolitico strategico nella pace, nella stabilità, nella sicurezza e nella prosperità;</w:t>
      </w:r>
    </w:p>
    <w:p w14:paraId="25C0B74F" w14:textId="77777777" w:rsidR="009E3D0A" w:rsidRPr="0064645E" w:rsidRDefault="009E3D0A" w:rsidP="009E3D0A">
      <w:pPr>
        <w:pStyle w:val="NormalHanging12a"/>
      </w:pPr>
      <w:r w:rsidRPr="0064645E">
        <w:t>B.</w:t>
      </w:r>
      <w:r w:rsidRPr="0064645E">
        <w:tab/>
        <w:t>considerando che il nuovo impulso all'allargamento, innescato dall'evoluzione della realtà geopolitica e dalle domande di adesione all'UE da parte di diversi paesi del partenariato orientale, ha spinto l'UE a intensificare gli sforzi per onorare gli impegni, da tempo attesi, nei confronti dei Balcani occidentali; che il futuro dei paesi dei Balcani occidentali è nell'UE;</w:t>
      </w:r>
    </w:p>
    <w:p w14:paraId="6D4518F4" w14:textId="77777777" w:rsidR="009E3D0A" w:rsidRPr="0064645E" w:rsidRDefault="009E3D0A" w:rsidP="009E3D0A">
      <w:pPr>
        <w:pStyle w:val="NormalHanging12a"/>
      </w:pPr>
      <w:r w:rsidRPr="0064645E">
        <w:t>C.</w:t>
      </w:r>
      <w:r w:rsidRPr="0064645E">
        <w:tab/>
        <w:t xml:space="preserve">considerando che ciascun paese è giudicato in base ai propri meriti nel soddisfare i criteri di Copenaghen, compreso il pieno rispetto della democrazia, dello Stato di diritto, della buona governance, dei valori fondamentali dell'UE e dell'allineamento alla politica </w:t>
      </w:r>
      <w:r w:rsidRPr="0064645E">
        <w:lastRenderedPageBreak/>
        <w:t>estera e di sicurezza dell'UE; che l'attuazione delle riforme necessarie nel settore delle "questioni fondamentali" determina il calendario e i progressi del processo di adesione;</w:t>
      </w:r>
    </w:p>
    <w:p w14:paraId="0EDB3EE1" w14:textId="77777777" w:rsidR="009E3D0A" w:rsidRPr="0064645E" w:rsidRDefault="009E3D0A" w:rsidP="009E3D0A">
      <w:pPr>
        <w:pStyle w:val="NormalHanging12a"/>
      </w:pPr>
      <w:r w:rsidRPr="0064645E">
        <w:t>D.</w:t>
      </w:r>
      <w:r w:rsidRPr="0064645E">
        <w:tab/>
        <w:t>considerando che il Montenegro è il paese che ha compiuto i maggiori passi avanti nel processo di adesione, dal momento che ha aperto tutti i 33 capitoli dell'</w:t>
      </w:r>
      <w:r w:rsidRPr="0064645E">
        <w:rPr>
          <w:i/>
        </w:rPr>
        <w:t>acquis</w:t>
      </w:r>
      <w:r w:rsidRPr="0064645E">
        <w:t xml:space="preserve"> dell'UE e ne ha chiusi in via provvisoria sei, e gode di un significativo sostegno pubblico a tal fine;</w:t>
      </w:r>
    </w:p>
    <w:p w14:paraId="0C08097F" w14:textId="4DC75ACB" w:rsidR="009E3D0A" w:rsidRPr="0064645E" w:rsidRDefault="009E3D0A" w:rsidP="009E3D0A">
      <w:pPr>
        <w:pStyle w:val="NormalHanging12a"/>
      </w:pPr>
      <w:r w:rsidRPr="0064645E">
        <w:t>E</w:t>
      </w:r>
      <w:r w:rsidR="00BB2CC6" w:rsidRPr="0064645E">
        <w:t>.</w:t>
      </w:r>
      <w:r w:rsidRPr="0064645E">
        <w:tab/>
        <w:t xml:space="preserve">considerando che l'UE è il principale partner commerciale, investitore e fornitore di assistenza finanziaria del Montenegro; </w:t>
      </w:r>
    </w:p>
    <w:p w14:paraId="2B60F2C1" w14:textId="54DD7BA3" w:rsidR="009E3D0A" w:rsidRPr="0064645E" w:rsidRDefault="009E3D0A" w:rsidP="009E3D0A">
      <w:pPr>
        <w:pStyle w:val="NormalHanging12a"/>
      </w:pPr>
      <w:r w:rsidRPr="0064645E">
        <w:t>F</w:t>
      </w:r>
      <w:r w:rsidR="00BB2CC6" w:rsidRPr="0064645E">
        <w:t>.</w:t>
      </w:r>
      <w:r w:rsidRPr="0064645E">
        <w:tab/>
        <w:t>considerando che il Montenegro è esposto a influenze straniere malevole, campagne di disinformazione e altre forme di influenza, tra cui ingerenze elettorali, strategie di guerra ibrida e investimenti sfavorevoli da parte di attori di paesi terzi, in particolare la Russia e la Cina, che tentano di influenzare la traiettoria politica, economica e strategica del Montenegro e minacciano i processi democratici e l'integrità dei media, mettendo a repentaglio le prospettive di adesione del paese all'UE;</w:t>
      </w:r>
    </w:p>
    <w:p w14:paraId="414D90A2" w14:textId="77777777" w:rsidR="009E3D0A" w:rsidRPr="0064645E" w:rsidRDefault="009E3D0A" w:rsidP="009E3D0A">
      <w:pPr>
        <w:pStyle w:val="NormalHanging12a"/>
      </w:pPr>
      <w:r w:rsidRPr="0064645E">
        <w:t>G.</w:t>
      </w:r>
      <w:r w:rsidRPr="0064645E">
        <w:tab/>
        <w:t>considerando che l'8 giugno 2024 si è tenuta a Belgrado un'"Assemblea panserba", a cui hanno partecipato parlamentari di alto livello, all'insegna del motto "Un popolo, un'assemblea";</w:t>
      </w:r>
    </w:p>
    <w:p w14:paraId="57B26B5F" w14:textId="77777777" w:rsidR="009E3D0A" w:rsidRPr="0064645E" w:rsidRDefault="009E3D0A" w:rsidP="009E3D0A">
      <w:pPr>
        <w:pStyle w:val="Normal12a24b"/>
      </w:pPr>
      <w:r w:rsidRPr="0064645E">
        <w:rPr>
          <w:rStyle w:val="BoldItalic"/>
        </w:rPr>
        <w:t>Impegno a favore dell'adesione all'UE</w:t>
      </w:r>
    </w:p>
    <w:p w14:paraId="72CDF127" w14:textId="77777777" w:rsidR="009E3D0A" w:rsidRPr="0064645E" w:rsidRDefault="009E3D0A" w:rsidP="009E3D0A">
      <w:pPr>
        <w:pStyle w:val="NormalHanging12a"/>
      </w:pPr>
      <w:r w:rsidRPr="0064645E">
        <w:t>1.</w:t>
      </w:r>
      <w:r w:rsidRPr="0064645E">
        <w:tab/>
        <w:t>riconosce il fermo impegno del Montenegro a favore dell'adesione all'UE e ribadisce il suo pieno sostegno alla futura adesione del paese all'UE; accoglie con favore la posizione regionale di primo piano del Montenegro nel processo di adesione all'UE e l'enorme sostegno dei cittadini montenegrini e della maggioranza degli attori politici all'adesione all'UE nel 2028;</w:t>
      </w:r>
    </w:p>
    <w:p w14:paraId="61A9569C" w14:textId="77777777" w:rsidR="009E3D0A" w:rsidRPr="0064645E" w:rsidRDefault="009E3D0A" w:rsidP="009E3D0A">
      <w:pPr>
        <w:pStyle w:val="NormalHanging12a"/>
      </w:pPr>
      <w:r w:rsidRPr="0064645E">
        <w:t>2.</w:t>
      </w:r>
      <w:r w:rsidRPr="0064645E">
        <w:tab/>
        <w:t>si compiace dei progressi positivi compiuti dal Montenegro nell'attuazione delle riforme e delle misure connesse all'UE, sulla base di un calendario ambizioso, e chiede sforzi collettivi da parte degli attori politici, della società civile e dei cittadini; elogia il Montenegro per aver soddisfatto i parametri intermedi per i capitoli 23 e 24, che continuano a determinare il ritmo generale dei negoziati, e per aver ricevuto un giudizio positivo nella relazione di valutazione dei parametri intermedi; plaude alla chiusura di altri tre capitoli negoziali, che porta il totale a sei;</w:t>
      </w:r>
    </w:p>
    <w:p w14:paraId="386C78D0" w14:textId="77777777" w:rsidR="009E3D0A" w:rsidRPr="0064645E" w:rsidRDefault="009E3D0A" w:rsidP="009E3D0A">
      <w:pPr>
        <w:pStyle w:val="NormalHanging12a"/>
      </w:pPr>
      <w:r w:rsidRPr="0064645E">
        <w:t>3.</w:t>
      </w:r>
      <w:r w:rsidRPr="0064645E">
        <w:tab/>
        <w:t>incoraggia tutti gli attori politici a mantenere l'attenzione sull'integrazione nell'UE e sulle riforme necessarie; evidenzia la necessità di stabilità politica, impegno e dialogo costruttivo nella ricerca di un consenso tra i diversi partiti per progredire velocemente e in maniera più efficace verso la chiusura di ulteriori capitoli nel 2025, in modo da rispettare l'ambizioso calendario del paese; sottolinea che le riforme adottate devono essere attuate in modo efficace e coerente per garantire progressi reali e il pieno allineamento alla legislazione dell'UE; invita a rafforzare il funzionamento delle istituzioni statali, nonché il coordinamento tra le stesse, al fine di conseguire la stabilità politica e portare avanti i progressi sostanziali del paese nell'attuazione delle riforme chiave connesse all'UE, in particolare le riforme elettorali e giudiziarie e la lotta contro la criminalità organizzata e la corruzione;</w:t>
      </w:r>
    </w:p>
    <w:p w14:paraId="34638ABF" w14:textId="77777777" w:rsidR="009E3D0A" w:rsidRPr="0064645E" w:rsidRDefault="009E3D0A" w:rsidP="009E3D0A">
      <w:pPr>
        <w:pStyle w:val="NormalHanging12a"/>
      </w:pPr>
      <w:r w:rsidRPr="0064645E">
        <w:lastRenderedPageBreak/>
        <w:t>4.</w:t>
      </w:r>
      <w:r w:rsidRPr="0064645E">
        <w:tab/>
        <w:t>sottolinea che la credibilità dell'UE, compresa la sua politica di allargamento nel suo complesso, ne risentirebbe se i progressi tangibili compiuti da alcuni paesi dei Balcani occidentali non si traducessero in chiari avanzamenti nel percorso di adesione all'UE;</w:t>
      </w:r>
    </w:p>
    <w:p w14:paraId="69CE8A4A" w14:textId="77777777" w:rsidR="009E3D0A" w:rsidRPr="0064645E" w:rsidRDefault="009E3D0A" w:rsidP="009E3D0A">
      <w:pPr>
        <w:pStyle w:val="NormalHanging12a"/>
      </w:pPr>
      <w:r w:rsidRPr="0064645E">
        <w:t>5.</w:t>
      </w:r>
      <w:r w:rsidRPr="0064645E">
        <w:tab/>
        <w:t xml:space="preserve">accoglie con favore il duraturo e pieno allineamento del Montenegro alla politica estera e di sicurezza comune (PESC) dell'UE, comprese le misure restrittive dell'UE, tra cui quelle connesse alla guerra di aggressione della Russia contro l'Ucraina e quelle contro gli attacchi informatici, nonché il suo sostegno all'ordine internazionale basato su regole a livello delle Nazioni Unite; incoraggia il Montenegro a rafforzare l'applicazione delle misure restrittive e a evitarne l'elusione, nonché a confiscare i beni delle persone sanzionate; invita tutti i rappresentanti del governo a rispettare e promuovere l'allineamento alla PESC e i valori dell'UE e ad astenersi da qualsiasi attività che possa minacciare il percorso strategico del Montenegro verso l'adesione all'UE e la sua sovranità; esprime profonda preoccupazione, in tale contesto, per le dichiarazioni rilasciate da alti funzionari pubblici a sostegno del presidente dell'entità </w:t>
      </w:r>
      <w:proofErr w:type="spellStart"/>
      <w:r w:rsidRPr="0064645E">
        <w:t>Republika</w:t>
      </w:r>
      <w:proofErr w:type="spellEnd"/>
      <w:r w:rsidRPr="0064645E">
        <w:t xml:space="preserve"> </w:t>
      </w:r>
      <w:proofErr w:type="spellStart"/>
      <w:r w:rsidRPr="0064645E">
        <w:t>Srpska</w:t>
      </w:r>
      <w:proofErr w:type="spellEnd"/>
      <w:r w:rsidRPr="0064645E">
        <w:t xml:space="preserve">, </w:t>
      </w:r>
      <w:proofErr w:type="spellStart"/>
      <w:r w:rsidRPr="0064645E">
        <w:t>Milorad</w:t>
      </w:r>
      <w:proofErr w:type="spellEnd"/>
      <w:r w:rsidRPr="0064645E">
        <w:t xml:space="preserve"> </w:t>
      </w:r>
      <w:proofErr w:type="spellStart"/>
      <w:r w:rsidRPr="0064645E">
        <w:t>Dodik</w:t>
      </w:r>
      <w:proofErr w:type="spellEnd"/>
      <w:r w:rsidRPr="0064645E">
        <w:t>, che sta minando la sovranità e l'integrità territoriale della Bosnia-Erzegovina; deplora la partecipazione di parlamentari di alto livello del Montenegro all'"Assemblea panserba" a Belgrado, nonché il loro sostegno alla dichiarazione adottata in tale occasione, che mina la sovranità del Montenegro, della Bosnia-Erzegovina e del Kosovo;</w:t>
      </w:r>
    </w:p>
    <w:p w14:paraId="339C2EF9" w14:textId="77777777" w:rsidR="009E3D0A" w:rsidRPr="0064645E" w:rsidRDefault="009E3D0A" w:rsidP="009E3D0A">
      <w:pPr>
        <w:pStyle w:val="NormalHanging12a"/>
      </w:pPr>
      <w:r w:rsidRPr="0064645E">
        <w:t>6.</w:t>
      </w:r>
      <w:r w:rsidRPr="0064645E">
        <w:tab/>
        <w:t>sottolinea l'importanza strategica dell'adesione del Montenegro alla NATO e si compiace della sua attiva partecipazione alle missioni e alle operazioni nell'ambito della politica di sicurezza e di difesa comune dell'UE, come l'operazione Atalanta della Forza navale dell'UE, nonché alle missioni della NATO e ad altre missioni internazionali e multilaterali; accoglie con favore la decisione del Consiglio per la difesa e la sicurezza del Montenegro di approvare la partecipazione delle sue forze armate alla missione di assistenza militare dell'UE a sostegno dell'Ucraina, nonché al comando NATO di assistenza e formazione in materia di sicurezza per l'Ucraina, e invita il parlamento montenegrino ad adottare queste decisioni, rafforzando in tal modo l'impegno del paese a favore della sicurezza collettiva;</w:t>
      </w:r>
    </w:p>
    <w:p w14:paraId="09C2C420" w14:textId="77777777" w:rsidR="009E3D0A" w:rsidRPr="0064645E" w:rsidRDefault="009E3D0A" w:rsidP="009E3D0A">
      <w:pPr>
        <w:pStyle w:val="NormalHanging12a"/>
      </w:pPr>
      <w:r w:rsidRPr="0064645E">
        <w:t>7.</w:t>
      </w:r>
      <w:r w:rsidRPr="0064645E">
        <w:tab/>
        <w:t>elogia il Montenegro per il suo sostegno umanitario e materiale all'Ucraina e per la proroga del meccanismo di protezione temporanea che concede alle persone in fuga dall'Ucraina il diritto di soggiornare in Montenegro per un anno; ricorda che il Montenegro è uno dei paesi dei Balcani occidentali che ospitano il maggior numero di rifugiati ucraini e che, secondo le statistiche dell'UNHCR, al 31 gennaio 2025 sono stati registrati in Montenegro oltre 18 800 rifugiati provenienti dall'Ucraina;</w:t>
      </w:r>
    </w:p>
    <w:p w14:paraId="0FEAC5E9" w14:textId="77777777" w:rsidR="009E3D0A" w:rsidRPr="0064645E" w:rsidRDefault="009E3D0A" w:rsidP="009E3D0A">
      <w:pPr>
        <w:pStyle w:val="NormalHanging12a"/>
      </w:pPr>
      <w:r w:rsidRPr="0064645E">
        <w:t>8.</w:t>
      </w:r>
      <w:r w:rsidRPr="0064645E">
        <w:tab/>
        <w:t xml:space="preserve">resta seriamente preoccupato per le ingerenze straniere malevole, gli sforzi di destabilizzazione, gli attacchi informatici, le minacce ibride e le campagne di disinformazione, compresi i tentativi di influenzare i processi politici e l'opinione pubblica, da parte di attori di paesi terzi, che screditano l'UE e compromettono i progressi del Montenegro nel suo percorso di adesione; esorta il Montenegro ad adottare contromisure nell'ambito di una cooperazione rafforzata con l'UE e la NATO e mediante una maggiore cooperazione regionale tra i paesi dei Balcani occidentali; osserva che gli istituti religiosi possono essere utilizzati come strumenti di influenza esterna e condanna qualsiasi indebita ingerenza da parte della Chiesa ortodossa serba a tale riguardo; ribadisce l'importanza di rafforzare la capacità di resilienza contro la manipolazione delle informazioni e le ingerenze da parte di attori stranieri, anche attraverso un maggiore controllo del panorama mediatico, campagne di </w:t>
      </w:r>
      <w:r w:rsidRPr="0064645E">
        <w:lastRenderedPageBreak/>
        <w:t>sensibilizzazione del pubblico e programmi di alfabetizzazione mediatica; raccomanda al Montenegro di istituire una task force dedicata alla lotta contro le minacce ibride;</w:t>
      </w:r>
    </w:p>
    <w:p w14:paraId="3CB73DA8" w14:textId="77777777" w:rsidR="009E3D0A" w:rsidRPr="0064645E" w:rsidRDefault="009E3D0A" w:rsidP="009E3D0A">
      <w:pPr>
        <w:pStyle w:val="NormalHanging12a"/>
      </w:pPr>
      <w:r w:rsidRPr="0064645E">
        <w:t>9.</w:t>
      </w:r>
      <w:r w:rsidRPr="0064645E">
        <w:tab/>
        <w:t xml:space="preserve">esorta la Commissione, il Servizio europeo per l'azione esterna (SEAE), la delegazione dell'UE in Montenegro e le autorità montenegrine a potenziare la comunicazione strategica nei confronti dei cittadini montenegrini sui vantaggi del processo di allargamento e dell'adesione all'UE, nonché sui criteri concreti di adesione che il Montenegro deve ancora soddisfare per allinearsi ai requisiti dell'UE; li esorta inoltre a migliorare la visibilità dell'UE nel paese, anche per quanto riguarda i progetti finanziati dall'UE; chiede che il monitoraggio </w:t>
      </w:r>
      <w:proofErr w:type="spellStart"/>
      <w:r w:rsidRPr="0064645E">
        <w:t>StratCom</w:t>
      </w:r>
      <w:proofErr w:type="spellEnd"/>
      <w:r w:rsidRPr="0064645E">
        <w:t xml:space="preserve"> sia ampliato in modo da incentrare l'attenzione sulle minacce di disinformazione transfrontaliere nei paesi dei Balcani occidentali e nei paesi limitrofi; invita la Commissione a sostenere ulteriormente gli sforzi del SEAE e della task force per i Balcani occidentali al fine di espandere le attività di sensibilizzazione mediante un rafforzamento della visibilità nei media locali, relazioni di verifica dei fatti e la creazione di partenariati con le organizzazioni della società civile per contrastare più efficacemente le false narrazioni;</w:t>
      </w:r>
    </w:p>
    <w:p w14:paraId="5CC530D8" w14:textId="77777777" w:rsidR="009E3D0A" w:rsidRPr="0064645E" w:rsidRDefault="009E3D0A" w:rsidP="009E3D0A">
      <w:pPr>
        <w:pStyle w:val="NormalHanging12a"/>
      </w:pPr>
      <w:r w:rsidRPr="0064645E">
        <w:t>10.</w:t>
      </w:r>
      <w:r w:rsidRPr="0064645E">
        <w:tab/>
        <w:t>accoglie con favore il rinnovato impegno del parlamento montenegrino in seno al comitato parlamentare di stabilizzazione e di associazione;</w:t>
      </w:r>
    </w:p>
    <w:p w14:paraId="13EFAE01" w14:textId="77777777" w:rsidR="009E3D0A" w:rsidRPr="0064645E" w:rsidRDefault="009E3D0A" w:rsidP="009E3D0A">
      <w:pPr>
        <w:pStyle w:val="Normal12a24b"/>
      </w:pPr>
      <w:r w:rsidRPr="0064645E">
        <w:rPr>
          <w:rStyle w:val="BoldItalic"/>
        </w:rPr>
        <w:t>Democrazia e Stato di diritto</w:t>
      </w:r>
    </w:p>
    <w:p w14:paraId="6CF3268A" w14:textId="77777777" w:rsidR="009E3D0A" w:rsidRPr="0064645E" w:rsidRDefault="009E3D0A" w:rsidP="009E3D0A">
      <w:pPr>
        <w:pStyle w:val="NormalHanging12a"/>
      </w:pPr>
      <w:r w:rsidRPr="0064645E">
        <w:t>11.</w:t>
      </w:r>
      <w:r w:rsidRPr="0064645E">
        <w:tab/>
        <w:t xml:space="preserve">riconosce il ruolo chiave del parlamento montenegrino nel processo di adesione, in particolare per quanto riguarda l'approvazione della legislazione relativa all'adesione, e sottolinea l'importanza della cooperazione parlamentare a tale riguardo; ribadisce la disponibilità del Parlamento europeo a utilizzare le sue risorse politiche e tecniche per far progredire il programma di riforme connesse all'UE, anche attraverso attività di sostegno alla democrazia; prende atto con preoccupazione del riemergere delle tensioni e della polarizzazione etnica, che rallentano il processo di riforma; chiede un dialogo costruttivo e la costruzione di un consenso in tutto lo spettro politico, dando priorità alla qualità legislativa, ed esorta vivamente a trovare soluzioni attraverso il dialogo parlamentare; chiede di evitare che la politica identitaria distolga l'attenzione dall'agenda dell'UE o metta a dura prova le relazioni con i paesi limitrofi, garantendo che il Montenegro rimanga saldamente sul cammino verso l'adesione all'UE; accoglie con favore il fatto che il primo ministro montenegrino e i leader dell'opposizione abbiano concordato di chiedere un parere alla Commissione di Venezia in merito alla cessazione del mandato della giudice della Corte costituzionale </w:t>
      </w:r>
      <w:proofErr w:type="spellStart"/>
      <w:r w:rsidRPr="0064645E">
        <w:t>Dragana</w:t>
      </w:r>
      <w:proofErr w:type="spellEnd"/>
      <w:r w:rsidRPr="0064645E">
        <w:t xml:space="preserve"> </w:t>
      </w:r>
      <w:proofErr w:type="spellStart"/>
      <w:r w:rsidRPr="0064645E">
        <w:t>Đuranović</w:t>
      </w:r>
      <w:proofErr w:type="spellEnd"/>
      <w:r w:rsidRPr="0064645E">
        <w:t xml:space="preserve"> e di permettere il ritorno dell'opposizione in parlamento;</w:t>
      </w:r>
    </w:p>
    <w:p w14:paraId="471A7597" w14:textId="77777777" w:rsidR="009E3D0A" w:rsidRPr="0064645E" w:rsidRDefault="009E3D0A" w:rsidP="009E3D0A">
      <w:pPr>
        <w:pStyle w:val="NormalHanging12a"/>
      </w:pPr>
      <w:r w:rsidRPr="0064645E">
        <w:t>12.</w:t>
      </w:r>
      <w:r w:rsidRPr="0064645E">
        <w:tab/>
        <w:t>esprime preoccupazione per i tentativi di modificare la legge sulla cittadinanza montenegrina in seno al parlamento montenegrino, che potrebbero avere implicazioni gravi e a lungo termine sui processi decisionali e sull'identità del paese, e sottolinea nel contempo che qualsiasi discussione sulle politiche identitarie deve essere gestita con la massima sensibilità per evitare un'ulteriore polarizzazione e dovrebbe mirare a un ampio consenso sociale; incoraggia le autorità montenegrine a consultarsi e coordinarsi con l'UE in merito a eventuali modifiche della legge sulla cittadinanza e sottolinea l'importanza di raggiungere un consenso su qualunque questione relativa a questo argomento di fondamentale importanza per l'identità e l'indipendenza del Montenegro;</w:t>
      </w:r>
    </w:p>
    <w:p w14:paraId="5D1E0CA0" w14:textId="77777777" w:rsidR="009E3D0A" w:rsidRPr="0064645E" w:rsidRDefault="009E3D0A" w:rsidP="009E3D0A">
      <w:pPr>
        <w:pStyle w:val="NormalHanging12a"/>
      </w:pPr>
      <w:r w:rsidRPr="0064645E">
        <w:t>13.</w:t>
      </w:r>
      <w:r w:rsidRPr="0064645E">
        <w:tab/>
        <w:t xml:space="preserve">incoraggia vivamente il parlamento montenegrino a tenere consultazioni pubbliche inclusive e trasparenti e un dialogo regolare e significativo con la società civile </w:t>
      </w:r>
      <w:r w:rsidRPr="0064645E">
        <w:lastRenderedPageBreak/>
        <w:t>nell'ambito del processo decisionale, sin dalle prime fasi del processo legislativo, soprattutto per quanto concerne la legislazione fondamentale nel processo di riforma dell'UE; incoraggia un ruolo più attivo del Club parlamentare montenegrino delle donne;</w:t>
      </w:r>
    </w:p>
    <w:p w14:paraId="64D7501B" w14:textId="77777777" w:rsidR="009E3D0A" w:rsidRPr="0064645E" w:rsidRDefault="009E3D0A" w:rsidP="009E3D0A">
      <w:pPr>
        <w:pStyle w:val="NormalHanging12a"/>
      </w:pPr>
      <w:r w:rsidRPr="0064645E">
        <w:t>14.</w:t>
      </w:r>
      <w:r w:rsidRPr="0064645E">
        <w:tab/>
        <w:t>invita il Montenegro ad allineare pienamente il suo quadro giuridico elettorale alle norme dell'UE, in particolare per quanto riguarda l'armonizzazione della legislazione elettorale, le restrizioni ai diritti di voto e di candidatura, la trasparenza, i meccanismi di risoluzione delle controversie, il controllo delle campagne e dei media e il finanziamento dei partiti politici e delle campagne elettorali, e ad attuare le raccomandazioni dell'Ufficio per le istituzioni democratiche e i diritti umani dell'Organizzazione per la sicurezza e la cooperazione in Europa</w:t>
      </w:r>
      <w:r w:rsidRPr="0064645E">
        <w:rPr>
          <w:rStyle w:val="FootnoteReference"/>
        </w:rPr>
        <w:footnoteReference w:id="6"/>
      </w:r>
      <w:r w:rsidRPr="0064645E">
        <w:t>; esorta il Montenegro ad aumentare la trasparenza e il controllo della spesa dei partiti politici e a prevenire l'abuso delle risorse statali, allineando la legislazione pertinente alle norme dell'UE, nonché migliorando l'applicazione delle norme sul finanziamento da parte di terzi e rafforzando le sanzioni in caso di violazione; sottolinea il ruolo dell'Agenzia per la prevenzione della corruzione a tale riguardo e chiede una maggiore cooperazione tra l'Agenzia e le autorità di intelligence finanziaria per individuare e prevenire le influenze straniere nelle campagne politiche; invita inoltre il Montenegro ad attuare le raccomandazioni del Comitato delle Nazioni Unite per l'eliminazione della discriminazione contro le donne (CEDAW) concernenti la parità di genere nelle liste elettorali;</w:t>
      </w:r>
    </w:p>
    <w:p w14:paraId="332910EC" w14:textId="77777777" w:rsidR="009E3D0A" w:rsidRPr="0064645E" w:rsidRDefault="009E3D0A" w:rsidP="009E3D0A">
      <w:pPr>
        <w:pStyle w:val="NormalHanging12a"/>
      </w:pPr>
      <w:r w:rsidRPr="0064645E">
        <w:t>15.</w:t>
      </w:r>
      <w:r w:rsidRPr="0064645E">
        <w:tab/>
        <w:t xml:space="preserve">ribadisce l'invito rivolto alle autorità montenegrine relativo all'istituzione di un'unica giornata di elezioni comunali a livello nazionale, come previsto dalla legge sull'autonomia locale, al fine di migliorare l'efficienza della governance, ridurre le tensioni politiche e rafforzare la stabilità e l'efficacia delle istituzioni comunali e statali; ricorda che la futura erogazione di fondi nell'ambito dello strumento per le riforme e la crescita è subordinata alla realizzazione di tale riforma, in linea con gli impegni assunti dal Montenegro nel suo programma di riforme, e dovrebbe essere perseguita in via prioritaria; accoglie con favore il fatto che, nel 2022, si siano tenute elezioni in 14 comuni nello stesso giorno; invita a istituire un solido quadro giuridico a tale riguardo; esprime preoccupazione per la gestione irregolare del processo elettorale nel comune di </w:t>
      </w:r>
      <w:proofErr w:type="spellStart"/>
      <w:r w:rsidRPr="0064645E">
        <w:t>Šavnik</w:t>
      </w:r>
      <w:proofErr w:type="spellEnd"/>
      <w:r w:rsidRPr="0064645E">
        <w:t>;</w:t>
      </w:r>
    </w:p>
    <w:p w14:paraId="497B03E7" w14:textId="77777777" w:rsidR="009E3D0A" w:rsidRPr="0064645E" w:rsidRDefault="009E3D0A" w:rsidP="009E3D0A">
      <w:pPr>
        <w:pStyle w:val="NormalHanging12a"/>
      </w:pPr>
      <w:r w:rsidRPr="0064645E">
        <w:t>16.</w:t>
      </w:r>
      <w:r w:rsidRPr="0064645E">
        <w:tab/>
        <w:t>invita le autorità montenegrine ad adottare la legge sul governo che dovrebbe permettere di migliorare il quadro di governance e di ottimizzare la pubblica amministrazione;</w:t>
      </w:r>
    </w:p>
    <w:p w14:paraId="0F518A6A" w14:textId="77777777" w:rsidR="009E3D0A" w:rsidRPr="0064645E" w:rsidRDefault="009E3D0A" w:rsidP="009E3D0A">
      <w:pPr>
        <w:pStyle w:val="NormalHanging12a"/>
      </w:pPr>
      <w:r w:rsidRPr="0064645E">
        <w:t>17.</w:t>
      </w:r>
      <w:r w:rsidRPr="0064645E">
        <w:tab/>
        <w:t>sottolinea l'importanza di una funzione pubblica professionale, meritocratica, trasparente e depoliticizzata; invita il Montenegro a modificare e attuare la legislazione pertinente per fornire un quadro per la professionalizzazione, l'ottimizzazione e la razionalizzazione dell'amministrazione pubblica, comprese garanzie procedurali contro le decisioni di matrice politica in materia di nomine e licenziamenti, nonché norme rigorose per quanto concerne le posizioni dirigenziali; deplora l'assenza di progressi significativi nell'adozione e nell'efficace attuazione di tale legislazione e sottolinea che ciò fa sì che le assunzioni per la pubblica amministrazione possano continuare a essere soggette a influenze politiche;</w:t>
      </w:r>
    </w:p>
    <w:p w14:paraId="4637C1A6" w14:textId="77777777" w:rsidR="009E3D0A" w:rsidRPr="0064645E" w:rsidRDefault="009E3D0A" w:rsidP="009E3D0A">
      <w:pPr>
        <w:pStyle w:val="NormalHanging12a"/>
      </w:pPr>
      <w:r w:rsidRPr="0064645E">
        <w:lastRenderedPageBreak/>
        <w:t>18.</w:t>
      </w:r>
      <w:r w:rsidRPr="0064645E">
        <w:tab/>
        <w:t>accoglie con favore l'inclusione del Montenegro nella relazione sullo Stato di diritto 2024 della Commissione; prende atto con preoccupazione delle carenze individuate, anche per quanto concerne le nomine giudiziarie e l'indipendenza della procura;</w:t>
      </w:r>
    </w:p>
    <w:p w14:paraId="640CDF89" w14:textId="77777777" w:rsidR="009E3D0A" w:rsidRPr="0064645E" w:rsidRDefault="009E3D0A" w:rsidP="009E3D0A">
      <w:pPr>
        <w:pStyle w:val="NormalHanging12a"/>
      </w:pPr>
      <w:r w:rsidRPr="0064645E">
        <w:t>19.</w:t>
      </w:r>
      <w:r w:rsidRPr="0064645E">
        <w:tab/>
        <w:t>accoglie con favore i progressi compiuti nell'attuazione delle riforme giudiziarie fondamentali, nell'adozione di un nuovo quadro strategico e nel completamento delle nomine giudiziarie da lungo tempo in sospeso; invita il Montenegro a ricoprire le cariche giudiziarie di alto livello rimanenti;</w:t>
      </w:r>
    </w:p>
    <w:p w14:paraId="5CE869A1" w14:textId="77777777" w:rsidR="009E3D0A" w:rsidRPr="0064645E" w:rsidRDefault="009E3D0A" w:rsidP="009E3D0A">
      <w:pPr>
        <w:pStyle w:val="NormalHanging12a"/>
      </w:pPr>
      <w:r w:rsidRPr="0064645E">
        <w:t>20.</w:t>
      </w:r>
      <w:r w:rsidRPr="0064645E">
        <w:tab/>
        <w:t>esorta il Montenegro ad allineare ulteriormente il suo quadro giuridico, compresa la sua costituzione, in particolare per quanto riguarda la composizione e il processo decisionale del Consiglio giudiziario, alle leggi e alle norme dell'UE in materia di indipendenza, responsabilità, imparzialità, integrità e professionalità della magistratura, a depoliticizzare ulteriormente le nomine al fine di rafforzare l'indipendenza, ad attuare le raccomandazioni internazionali ancora in sospeso e a stabilire criteri per il pensionamento di giudici e pubblici ministeri in linea con le norme europee e nel pieno rispetto della costituzione; deplora l'arretrato giudiziario pendente e invita il Montenegro ad adottare misure volte a ridurre la durata dei procedimenti giudiziari, in particolare per i casi di criminalità organizzata e forme gravi di criminalità, soprattutto in relazione al riciclaggio di denaro; raccomanda al Montenegro di adottare le modifiche alla costituzione nella fase finale dei negoziati di adesione del paese all'UE;</w:t>
      </w:r>
    </w:p>
    <w:p w14:paraId="5B291DAD" w14:textId="77777777" w:rsidR="009E3D0A" w:rsidRPr="0064645E" w:rsidRDefault="009E3D0A" w:rsidP="009E3D0A">
      <w:pPr>
        <w:pStyle w:val="NormalHanging12a"/>
      </w:pPr>
      <w:r w:rsidRPr="0064645E">
        <w:t>21.</w:t>
      </w:r>
      <w:r w:rsidRPr="0064645E">
        <w:tab/>
        <w:t>prende atto delle misure adottate nella lotta alla corruzione, comprese le nuove leggi e disposizioni sulla protezione degli informatori, la creazione di un nuovo Consiglio nazionale per la lotta alla corruzione e una nuova strategia anticorruzione per il periodo 2024-2028; incoraggia il Montenegro ad allinearsi ulteriormente all'</w:t>
      </w:r>
      <w:r w:rsidRPr="0064645E">
        <w:rPr>
          <w:rStyle w:val="Italic"/>
        </w:rPr>
        <w:t>acquis</w:t>
      </w:r>
      <w:r w:rsidRPr="0064645E">
        <w:t xml:space="preserve"> e alle norme dell'UE e a dare seguito alle raccomandazioni della Commissione, della Commissione di Venezia e del Gruppo di Stati contro la corruzione (GRECO); incoraggia le autorità montenegrine a continuare ad affrontare le carenze esistenti nella gestione dei casi di criminalità organizzata e nel sequestro e nella confisca dei proventi di reato;</w:t>
      </w:r>
    </w:p>
    <w:p w14:paraId="53646E08" w14:textId="77777777" w:rsidR="009E3D0A" w:rsidRPr="0064645E" w:rsidRDefault="009E3D0A" w:rsidP="009E3D0A">
      <w:pPr>
        <w:pStyle w:val="NormalHanging12a"/>
      </w:pPr>
      <w:r w:rsidRPr="0064645E">
        <w:t>22.</w:t>
      </w:r>
      <w:r w:rsidRPr="0064645E">
        <w:tab/>
        <w:t>esorta il Montenegro a intensificare la risposta della giustizia penale alla corruzione ad alto livello, anche mediante il rafforzamento dell'effettiva applicazione della legislazione penale esistente e l'imposizione di sanzioni efficaci e dissuasive, e a creare le condizioni affinché le istituzioni giudiziarie e gli organismi indipendenti che si occupano della corruzione funzionino efficacemente senza essere sottoposti a influenze politiche;</w:t>
      </w:r>
    </w:p>
    <w:p w14:paraId="4EDE103B" w14:textId="77777777" w:rsidR="009E3D0A" w:rsidRPr="0064645E" w:rsidRDefault="009E3D0A" w:rsidP="009E3D0A">
      <w:pPr>
        <w:pStyle w:val="NormalHanging12a"/>
      </w:pPr>
      <w:r w:rsidRPr="0064645E">
        <w:t>23.</w:t>
      </w:r>
      <w:r w:rsidRPr="0064645E">
        <w:tab/>
        <w:t>prende atto del lavoro svolto dall'Agenzia per la prevenzione della corruzione e chiede che quest'ultima sia dotata di finanziamenti sufficienti e sia depoliticizzata; si attende che l'Agenzia ottenga risultati tangibili e agisca in modo non selettivo per rafforzare la sua integrità e la sua autorità nell'esercizio efficace delle sue competenze; chiede un quadro più solido per la prevenzione della corruzione;</w:t>
      </w:r>
    </w:p>
    <w:p w14:paraId="382193C8" w14:textId="77777777" w:rsidR="009E3D0A" w:rsidRPr="0064645E" w:rsidRDefault="009E3D0A" w:rsidP="009E3D0A">
      <w:pPr>
        <w:pStyle w:val="NormalHanging12a"/>
      </w:pPr>
      <w:r w:rsidRPr="0064645E">
        <w:t>24.</w:t>
      </w:r>
      <w:r w:rsidRPr="0064645E">
        <w:tab/>
        <w:t xml:space="preserve">esorta il Montenegro ad allineare la sua legislazione in materia di armi al diritto dell'UE e alle norme internazionali, in particolare per quanto riguarda le norme tecniche per la marcatura delle armi da fuoco, le procedure di disattivazione e la regolamentazione relativa alle armi d'allarme e da segnalazione, nonché a istituire un sistema standardizzato ed efficace di raccolta e comunicazione dei dati sulle armi da fuoco; manifesta sgomento per la tragica sparatoria di massa avvenuta a </w:t>
      </w:r>
      <w:proofErr w:type="spellStart"/>
      <w:r w:rsidRPr="0064645E">
        <w:t>Cetinje</w:t>
      </w:r>
      <w:proofErr w:type="spellEnd"/>
      <w:r w:rsidRPr="0064645E">
        <w:t xml:space="preserve"> ed esprime il proprio cordoglio alle famiglie delle vittime; esprime preoccupazione per lo </w:t>
      </w:r>
      <w:r w:rsidRPr="0064645E">
        <w:lastRenderedPageBreak/>
        <w:t>sfruttamento di questa tragedia a fini di disinformazione e polarizzazione etnica; esorta il Montenegro a rafforzare la propria comunicazione in caso di crisi, al fine di contrastare la disinformazione e garantire una copertura mediatica responsabile in seguito al verificarsi di eventi violenti; chiede misure sistematiche nell'ambito della sicurezza, della salute mentale e della trasparenza istituzionale, oltre che dell'educazione civica, e iniziative di sensibilizzazione pubblica, di divulgazione e di formazione incentrate sui pericoli e i rischi delle armi da fuoco, in linea con le aspettative dei cittadini e le esigenze della società;</w:t>
      </w:r>
    </w:p>
    <w:p w14:paraId="7B2F2C28" w14:textId="77777777" w:rsidR="009E3D0A" w:rsidRPr="0064645E" w:rsidRDefault="009E3D0A" w:rsidP="009E3D0A">
      <w:pPr>
        <w:pStyle w:val="NormalHanging12a"/>
      </w:pPr>
      <w:r w:rsidRPr="0064645E">
        <w:t>25.</w:t>
      </w:r>
      <w:r w:rsidRPr="0064645E">
        <w:tab/>
        <w:t>invita il Montenegro ad allineare urgentemente e pienamente la sua politica in materia di visti a quella dell'UE, in particolare per quanto concerne i paesi che presentano rischi per l'UE in termini di migrazione irregolare o di sicurezza; esprime preoccupazione per il fatto che, contrariamente alle aspettative, altri due paesi sono stati aggiunti al regime di esenzione dal visto e che i titolari di passaporti russi e bielorussi continuano a beneficiare di tale regime; osserva che l'armonizzazione della politica dei visti è prevista anche dal programma di riforme del Montenegro nell'ambito dello strumento per le riforme e la crescita;</w:t>
      </w:r>
    </w:p>
    <w:p w14:paraId="5BBDE5D4" w14:textId="77777777" w:rsidR="009E3D0A" w:rsidRPr="0064645E" w:rsidRDefault="009E3D0A" w:rsidP="009E3D0A">
      <w:pPr>
        <w:pStyle w:val="NormalHanging12a"/>
      </w:pPr>
      <w:r w:rsidRPr="0064645E">
        <w:t>26.</w:t>
      </w:r>
      <w:r w:rsidRPr="0064645E">
        <w:tab/>
        <w:t>si compiace della cooperazione instaurata tra il Montenegro e l'Agenzia europea della guardia di frontiera e costiera (Frontex), Europol, Eurojust e l'Agenzia dell'Unione europea per la formazione delle autorità di contrasto (CEPOL) e ne rileva l'importanza ai fini della lotta alla criminalità transfrontaliera, compreso il traffico di armi, droga ed esseri umani, e della lotta al terrorismo e all'estremismo; accoglie con favore l'entrata in vigore, il 1º luglio 2023, dell'accordo aggiornato sulla cooperazione operativa nella gestione delle frontiere concluso con Frontex e incoraggia una maggiore cooperazione tra il Montenegro e Frontex allo scopo di rafforzare la gestione delle frontiere, sostenere le procedure di asilo, combattere il contrabbando e migliorare i processi di riammissione;</w:t>
      </w:r>
    </w:p>
    <w:p w14:paraId="1F26D40E" w14:textId="77777777" w:rsidR="009E3D0A" w:rsidRPr="0064645E" w:rsidRDefault="009E3D0A" w:rsidP="009E3D0A">
      <w:pPr>
        <w:pStyle w:val="Normal12a24b"/>
      </w:pPr>
      <w:r w:rsidRPr="0064645E">
        <w:rPr>
          <w:rStyle w:val="BoldItalic"/>
        </w:rPr>
        <w:t>Libertà fondamentali e diritti umani</w:t>
      </w:r>
    </w:p>
    <w:p w14:paraId="2FA1CEFD" w14:textId="77777777" w:rsidR="009E3D0A" w:rsidRPr="0064645E" w:rsidRDefault="009E3D0A" w:rsidP="009E3D0A">
      <w:pPr>
        <w:pStyle w:val="NormalHanging12a"/>
      </w:pPr>
      <w:r w:rsidRPr="0064645E">
        <w:t>27.</w:t>
      </w:r>
      <w:r w:rsidRPr="0064645E">
        <w:tab/>
        <w:t>deplora che i gruppi più vulnerabili della società siano ancora oggetto di discriminazione; invita il Montenegro ad adottare una nuova legge antidiscriminazione e strategie pertinenti servendosi di un processo inclusivo, trasparente e significativo che coinvolga attivamente le persone più colpite, al fine di migliorare l'accesso ai diritti da parte dei gruppi vulnerabili; sottolinea che il rispetto dei diritti di tutte le minoranze nazionali è parte integrante dell'</w:t>
      </w:r>
      <w:r w:rsidRPr="0064645E">
        <w:rPr>
          <w:rStyle w:val="Italic"/>
        </w:rPr>
        <w:t>acquis</w:t>
      </w:r>
      <w:r w:rsidRPr="0064645E">
        <w:t xml:space="preserve"> dell'UE; chiede un'attuazione più rigorosa al fine di garantire la parità di trattamento di tutti i gruppi etnici, religiosi, nazionali e sociali, in modo che possano godere di pari diritti e opportunità e partecipare pienamente alla vita sociale, politica ed economica;</w:t>
      </w:r>
    </w:p>
    <w:p w14:paraId="6D8E98B3" w14:textId="77777777" w:rsidR="009E3D0A" w:rsidRPr="0064645E" w:rsidRDefault="009E3D0A" w:rsidP="009E3D0A">
      <w:pPr>
        <w:pStyle w:val="NormalHanging12a"/>
      </w:pPr>
      <w:r w:rsidRPr="0064645E">
        <w:t>28.</w:t>
      </w:r>
      <w:r w:rsidRPr="0064645E">
        <w:tab/>
        <w:t>si compiace dell'identità multietnica del Montenegro e invita a promuovere e a rispettare maggiormente le lingue, il patrimonio culturale e le tradizioni delle comunità locali e delle minoranze nazionali, dal momento che questi aspetti sono strettamente legati alla prospettiva europea del paese;</w:t>
      </w:r>
    </w:p>
    <w:p w14:paraId="1284EE3C" w14:textId="77777777" w:rsidR="009E3D0A" w:rsidRPr="0064645E" w:rsidRDefault="009E3D0A" w:rsidP="009E3D0A">
      <w:pPr>
        <w:pStyle w:val="NormalHanging12a"/>
      </w:pPr>
      <w:r w:rsidRPr="0064645E">
        <w:t>29.</w:t>
      </w:r>
      <w:r w:rsidRPr="0064645E">
        <w:tab/>
        <w:t xml:space="preserve">sottolinea l'identità multietnica della baia di </w:t>
      </w:r>
      <w:proofErr w:type="spellStart"/>
      <w:r w:rsidRPr="0064645E">
        <w:t>Kotor</w:t>
      </w:r>
      <w:proofErr w:type="spellEnd"/>
      <w:r w:rsidRPr="0064645E">
        <w:t xml:space="preserve">; evidenzia che la prospettiva europea del Montenegro è strettamente legata alla tutela delle minoranze e del loro patrimonio culturale; invita le autorità montenegrine a coltivare l'identità multietnica dello Stato, comprese le tradizioni e il patrimonio culturale della comunità croata presente nella baia di </w:t>
      </w:r>
      <w:proofErr w:type="spellStart"/>
      <w:r w:rsidRPr="0064645E">
        <w:t>Kotor</w:t>
      </w:r>
      <w:proofErr w:type="spellEnd"/>
      <w:r w:rsidRPr="0064645E">
        <w:t>;</w:t>
      </w:r>
    </w:p>
    <w:p w14:paraId="10B43A28" w14:textId="77777777" w:rsidR="009E3D0A" w:rsidRPr="0064645E" w:rsidRDefault="009E3D0A" w:rsidP="009E3D0A">
      <w:pPr>
        <w:pStyle w:val="NormalHanging12a"/>
      </w:pPr>
      <w:r w:rsidRPr="0064645E">
        <w:lastRenderedPageBreak/>
        <w:t>30.</w:t>
      </w:r>
      <w:r w:rsidRPr="0064645E">
        <w:tab/>
        <w:t xml:space="preserve">esprime profonda preoccupazione per la situazione di pericolo in cui versano alcuni siti appartenenti al patrimonio culturale, tra cui la baia di </w:t>
      </w:r>
      <w:proofErr w:type="spellStart"/>
      <w:r w:rsidRPr="0064645E">
        <w:t>Kotor</w:t>
      </w:r>
      <w:proofErr w:type="spellEnd"/>
      <w:r w:rsidRPr="0064645E">
        <w:t xml:space="preserve"> e </w:t>
      </w:r>
      <w:proofErr w:type="spellStart"/>
      <w:r w:rsidRPr="0064645E">
        <w:t>Sveti</w:t>
      </w:r>
      <w:proofErr w:type="spellEnd"/>
      <w:r w:rsidRPr="0064645E">
        <w:t xml:space="preserve"> Stefan; sottolinea che </w:t>
      </w:r>
      <w:proofErr w:type="spellStart"/>
      <w:r w:rsidRPr="0064645E">
        <w:t>Sveti</w:t>
      </w:r>
      <w:proofErr w:type="spellEnd"/>
      <w:r w:rsidRPr="0064645E">
        <w:t xml:space="preserve"> Stefan, insieme al parco </w:t>
      </w:r>
      <w:proofErr w:type="spellStart"/>
      <w:r w:rsidRPr="0064645E">
        <w:t>Miločer</w:t>
      </w:r>
      <w:proofErr w:type="spellEnd"/>
      <w:r w:rsidRPr="0064645E">
        <w:t>, è stata inserita tra i "7 siti del patrimonio culturale più a rischio in Europa" per il 2023;</w:t>
      </w:r>
    </w:p>
    <w:p w14:paraId="6D27D982" w14:textId="77777777" w:rsidR="009E3D0A" w:rsidRPr="0064645E" w:rsidRDefault="009E3D0A" w:rsidP="009E3D0A">
      <w:pPr>
        <w:pStyle w:val="NormalHanging12a"/>
      </w:pPr>
      <w:r w:rsidRPr="0064645E">
        <w:t>31.</w:t>
      </w:r>
      <w:r w:rsidRPr="0064645E">
        <w:tab/>
        <w:t>invita le autorità montenegrine a intervenire in merito alle difficili condizioni di vita in cui si trovano i rom in Montenegro e alle discriminazioni di cui sono vittime e chiede maggiori misure volte alla promozione della comprensione interculturale nelle scuole; invita inoltre le autorità montenegrine ad adottare misure intese a migliorare il clima di inclusione sociale delle persone LGBTI;</w:t>
      </w:r>
    </w:p>
    <w:p w14:paraId="2CD04D49" w14:textId="77777777" w:rsidR="009E3D0A" w:rsidRPr="0064645E" w:rsidRDefault="009E3D0A" w:rsidP="009E3D0A">
      <w:pPr>
        <w:pStyle w:val="NormalHanging12a"/>
      </w:pPr>
      <w:r w:rsidRPr="0064645E">
        <w:t>32.</w:t>
      </w:r>
      <w:r w:rsidRPr="0064645E">
        <w:tab/>
        <w:t>si compiace che il Montenegro abbia allineato il proprio quadro legislativo e istituzionale all'</w:t>
      </w:r>
      <w:r w:rsidRPr="0064645E">
        <w:rPr>
          <w:i/>
          <w:iCs/>
        </w:rPr>
        <w:t>acquis</w:t>
      </w:r>
      <w:r w:rsidRPr="0064645E">
        <w:t xml:space="preserve"> dell'UE e alle norme internazionali in materia di diritti umani per quanto riguarda il rispetto della Convenzione delle Nazioni Unite sui diritti dell'infanzia e dell'adolescenza e dei suoi protocolli facoltativi; esorta le autorità a rispondere alle carenze nell'attuazione, in particolare per quanto concerne l'assunzione di responsabilità e il monitoraggio;</w:t>
      </w:r>
    </w:p>
    <w:p w14:paraId="4E31A324" w14:textId="77777777" w:rsidR="009E3D0A" w:rsidRPr="0064645E" w:rsidRDefault="009E3D0A" w:rsidP="009E3D0A">
      <w:pPr>
        <w:pStyle w:val="NormalHanging12a"/>
      </w:pPr>
      <w:r w:rsidRPr="0064645E">
        <w:t>33.</w:t>
      </w:r>
      <w:r w:rsidRPr="0064645E">
        <w:tab/>
        <w:t>chiede l'efficace attuazione di strategie volte a sostenere i diritti delle persone con disabilità in tutti i settori e tutte le politiche;</w:t>
      </w:r>
    </w:p>
    <w:p w14:paraId="614C69B4" w14:textId="77777777" w:rsidR="009E3D0A" w:rsidRPr="0064645E" w:rsidRDefault="009E3D0A" w:rsidP="009E3D0A">
      <w:pPr>
        <w:pStyle w:val="NormalHanging12a"/>
      </w:pPr>
      <w:r w:rsidRPr="0064645E">
        <w:t>34.</w:t>
      </w:r>
      <w:r w:rsidRPr="0064645E">
        <w:tab/>
        <w:t>condanna qualsiasi forma di incitamento all'odio, compreso quello online e quello basato sul genere, così come i reati generati dall'odio; accoglie con favore la criminalizzazione del razzismo e dell'incitamento all'odio;</w:t>
      </w:r>
    </w:p>
    <w:p w14:paraId="4B7FFF1F" w14:textId="77777777" w:rsidR="009E3D0A" w:rsidRPr="0064645E" w:rsidRDefault="009E3D0A" w:rsidP="009E3D0A">
      <w:pPr>
        <w:pStyle w:val="NormalHanging12a"/>
      </w:pPr>
      <w:r w:rsidRPr="0064645E">
        <w:t>35.</w:t>
      </w:r>
      <w:r w:rsidRPr="0064645E">
        <w:tab/>
        <w:t>sottolinea la necessità di rafforzare i meccanismi istituzionali per la parità di genere e invita le autorità montenegrine a colmare il divario retributivo di genere, a migliorare la partecipazione delle donne ai processi decisionali – sia nel settore pubblico, in particolare nella pubblica amministrazione e nel settore giudiziario e della sicurezza, sia nelle imprese –, a garantire una maggiore partecipazione politica delle donne, a introdurre un bilancio sensibile alla dimensione di genere, a combattere gli stereotipi di genere e a intensificare gli sforzi intesi a contrastare la discriminazione nei confronti delle donne, in particolare nelle zone rurali; accoglie con favore i recenti sforzi volti a promuovere la rappresentanza delle donne nel campo della scienza, della tecnologia, dell'ingegneria e della matematica (STEM) e incoraggia ulteriori sforzi nei settori tecnologici;</w:t>
      </w:r>
    </w:p>
    <w:p w14:paraId="086B3536" w14:textId="77777777" w:rsidR="009E3D0A" w:rsidRPr="0064645E" w:rsidRDefault="009E3D0A" w:rsidP="009E3D0A">
      <w:pPr>
        <w:pStyle w:val="NormalHanging12a"/>
      </w:pPr>
      <w:r w:rsidRPr="0064645E">
        <w:t>36.</w:t>
      </w:r>
      <w:r w:rsidRPr="0064645E">
        <w:tab/>
        <w:t>esprime profonda preoccupazione per gli elevati tassi di violenza di genere, in particolare per la violenza domestica e i femminicidi; invita il Montenegro ad allineare pienamente le sue definizioni di violenza di genere e di violenza domestica alla convenzione di Istanbul e alle raccomandazioni degli organismi internazionali, a istituire meccanismi di protezione e prevenzione efficaci e centri di assistenza, nonché a garantire un seguito giudiziario adeguato per le vittime di violenza domestica e sessuale e una politica penale più rigorosa nei confronti dei responsabili; chiede la raccolta di dati disaggregati sulla violenza di genere e sulle disparità di genere al fine di migliorare le risposte politiche;</w:t>
      </w:r>
    </w:p>
    <w:p w14:paraId="13E51024" w14:textId="77777777" w:rsidR="009E3D0A" w:rsidRPr="0064645E" w:rsidRDefault="009E3D0A" w:rsidP="009E3D0A">
      <w:pPr>
        <w:pStyle w:val="NormalHanging12a"/>
      </w:pPr>
      <w:r w:rsidRPr="0064645E">
        <w:t>37.</w:t>
      </w:r>
      <w:r w:rsidRPr="0064645E">
        <w:tab/>
        <w:t>deplora che il progetto di legge sul riconoscimento giuridico del genere non sia stato adottato nel 2024, nonostante fosse una delle misure previste dal programma di adesione all'UE del Montenegro; esorta il Montenegro ad adottare senza indugio tale legge;</w:t>
      </w:r>
    </w:p>
    <w:p w14:paraId="55A8FF68" w14:textId="77777777" w:rsidR="009E3D0A" w:rsidRPr="0064645E" w:rsidRDefault="009E3D0A" w:rsidP="009E3D0A">
      <w:pPr>
        <w:pStyle w:val="NormalHanging12a"/>
      </w:pPr>
      <w:r w:rsidRPr="0064645E">
        <w:lastRenderedPageBreak/>
        <w:t>38.</w:t>
      </w:r>
      <w:r w:rsidRPr="0064645E">
        <w:tab/>
        <w:t>accoglie con favore le nuove leggi sui media e la strategia in materia di politica dei media introdotte dal Montenegro, che mirano a rafforzare il quadro giuridico in modo da proteggere efficacemente i giornalisti e gli altri professionisti dei media; insiste sull'adozione di una politica di tolleranza zero per quanto riguarda le pressioni sui giornalisti, le vessazioni o le violenze nei loro confronti, anche da parte di personalità pubbliche; evidenzia la necessità di condurre indagini efficaci, di perseguire qualsiasi caso di incitamento all'odio, campagna diffamatoria e azione legale strategica nei confronti dei giornalisti e di dare seguito ai casi passati; sottolinea la necessità di garantire il diritto dei giornalisti di accedere alle informazioni e di mantenere una posizione critica; prende atto di un significativo miglioramento in relazione alla libertà di stampa in Montenegro, come dimostra l'avanzamento del paese nell'indice sulla libertà di stampa nel mondo;</w:t>
      </w:r>
    </w:p>
    <w:p w14:paraId="4F5B19D0" w14:textId="77777777" w:rsidR="009E3D0A" w:rsidRPr="0064645E" w:rsidRDefault="009E3D0A" w:rsidP="009E3D0A">
      <w:pPr>
        <w:pStyle w:val="NormalHanging12a"/>
      </w:pPr>
      <w:r w:rsidRPr="0064645E">
        <w:t>39.</w:t>
      </w:r>
      <w:r w:rsidRPr="0064645E">
        <w:tab/>
        <w:t>esprime preoccupazione per le pressioni subite da giornalisti, esponenti del mondo accademico e organizzazioni della società civile per aver esercitato la libertà di parola, compresi i casi in cui la polizia ha avviato procedimenti per atti illeciti nei loro confronti; esprime preoccupazione per il ricorso ad azioni legali strategiche tese a bloccare la partecipazione pubblica (SLAPP) con l'intento di colpire i giornalisti;</w:t>
      </w:r>
    </w:p>
    <w:p w14:paraId="74FA2304" w14:textId="77777777" w:rsidR="009E3D0A" w:rsidRPr="0064645E" w:rsidRDefault="009E3D0A" w:rsidP="009E3D0A">
      <w:pPr>
        <w:pStyle w:val="NormalHanging12a"/>
      </w:pPr>
      <w:r w:rsidRPr="0064645E">
        <w:t>40.</w:t>
      </w:r>
      <w:r w:rsidRPr="0064645E">
        <w:tab/>
        <w:t>deplora l'alto livello di polarizzazione che prevale nei media e la loro vulnerabilità agli interessi politici e alle influenze straniere, nonché alle campagne di disinformazione straniere e nazionali che diffondono narrazioni che incidono negativamente sui processi democratici nel paese, mettendo così a repentaglio la prospettiva europea del Montenegro; invita il Montenegro a sviluppare ulteriormente i programmi di alfabetizzazione mediatica e a includerli tra le materie principali nell'insegnamento; invita le autorità montenegrine a garantire l'indipendenza editoriale, istituzionale e finanziaria dell'emittente di servizio pubblico RTCG, come pure la legittimità della nomina dei suoi dirigenti e il pieno rispetto delle sentenze dei tribunali in merito alla RTCG; ricorda la necessità di rispettare il diritto e le norme più rigorose in materia di assunzione di responsabilità e integrità; deplora che l'indipendenza dei media pubblici venga indebolita e compromessa; invita tutte le entità mediatiche a rispettare i requisiti giuridici in materia di trasparenza dei finanziamenti pubblici;</w:t>
      </w:r>
    </w:p>
    <w:p w14:paraId="3B1E4438" w14:textId="77777777" w:rsidR="009E3D0A" w:rsidRPr="0064645E" w:rsidRDefault="009E3D0A" w:rsidP="009E3D0A">
      <w:pPr>
        <w:pStyle w:val="NormalHanging12a"/>
      </w:pPr>
      <w:r w:rsidRPr="0064645E">
        <w:t>41.</w:t>
      </w:r>
      <w:r w:rsidRPr="0064645E">
        <w:tab/>
        <w:t>accoglie con favore la pubblicazione dei risultati del censimento della popolazione del 2023; invita le autorità a evitare qualsiasi politicizzazione del processo; incoraggia le parti interessate a utilizzare tali risultati in modo non discriminatorio;</w:t>
      </w:r>
    </w:p>
    <w:p w14:paraId="132BE440" w14:textId="77777777" w:rsidR="009E3D0A" w:rsidRPr="0064645E" w:rsidRDefault="009E3D0A" w:rsidP="009E3D0A">
      <w:pPr>
        <w:pStyle w:val="NormalHanging12a"/>
      </w:pPr>
      <w:r w:rsidRPr="0064645E">
        <w:t>42.</w:t>
      </w:r>
      <w:r w:rsidRPr="0064645E">
        <w:tab/>
        <w:t>si compiace del dinamismo e dello spirito costruttivo dimostrati dalla società civile del Montenegro e sottolinea l'importanza che quest'ultima riveste nel favorire la democrazia e il pluralismo e nel promuovere il buon governo e il progresso sociale; esprime preoccupazione per la riduzione dello spazio a disposizione delle organizzazioni della società civile che manifestano una posizione critica e condanna tutte le campagne diffamatorie, le intimidazioni e gli attacchi contro le organizzazioni della società civile, specialmente da parte di personalità politiche nel contesto delle proposte relative a una "legge sugli agenti stranieri"; osserva che tali leggi rischiano di compromettere le libertà fondamentali e il funzionamento della società civile e sono incompatibili con i valori e le norme dell'UE; chiede un quadro giuridico favorevole e criteri di selezione chiari ed equi per quanto riguarda i finanziamenti pubblici; invita il consiglio di cooperazione tra il governo e le organizzazioni non governative a riprendere i lavori; sottolinea l'importanza di instaurare relazioni collaborative e di coinvolgere effettivamente la società civile nei progetti legislativi fin dalle prime fasi;</w:t>
      </w:r>
    </w:p>
    <w:p w14:paraId="15E01ECE" w14:textId="77777777" w:rsidR="009E3D0A" w:rsidRPr="0064645E" w:rsidRDefault="009E3D0A" w:rsidP="009E3D0A">
      <w:pPr>
        <w:pStyle w:val="Normal12a24b"/>
      </w:pPr>
      <w:r w:rsidRPr="0064645E">
        <w:rPr>
          <w:rStyle w:val="BoldItalic"/>
        </w:rPr>
        <w:lastRenderedPageBreak/>
        <w:t>Riconciliazione, relazioni di buon vicinato e cooperazione regionale</w:t>
      </w:r>
    </w:p>
    <w:p w14:paraId="520A771D" w14:textId="77777777" w:rsidR="009E3D0A" w:rsidRPr="0064645E" w:rsidRDefault="009E3D0A" w:rsidP="009E3D0A">
      <w:pPr>
        <w:pStyle w:val="NormalHanging12a"/>
      </w:pPr>
      <w:r w:rsidRPr="0064645E">
        <w:t>43.</w:t>
      </w:r>
      <w:r w:rsidRPr="0064645E">
        <w:tab/>
        <w:t>ricorda che le relazioni di buon vicinato e la cooperazione regionale sono elementi essenziali del processo di allargamento; elogia il coinvolgimento attivo del Montenegro nelle iniziative di cooperazione regionale; ribadisce che le relazioni di buon vicinato sono fondamentali per progredire nel processo di adesione;</w:t>
      </w:r>
    </w:p>
    <w:p w14:paraId="768868CD" w14:textId="77777777" w:rsidR="009E3D0A" w:rsidRPr="0064645E" w:rsidRDefault="009E3D0A" w:rsidP="009E3D0A">
      <w:pPr>
        <w:pStyle w:val="NormalHanging12a"/>
      </w:pPr>
      <w:r w:rsidRPr="0064645E">
        <w:t>44.</w:t>
      </w:r>
      <w:r w:rsidRPr="0064645E">
        <w:tab/>
        <w:t>deplora che il capitolo 31 non abbia potuto essere chiuso nel dicembre del 2024; invita tutte le parti coinvolte a trovare soluzioni alle questioni bilaterali in sospeso adottando un approccio costruttivo e mostrando spirito di buon vicinato e a dare priorità agli interessi futuri dei cittadini dei Balcani occidentali; ricorda che le controversie bilaterali e regionali irrisolte non dovrebbero essere sfruttate per bloccare i processi di adesione dei paesi candidati; accoglie con favore le consultazioni bilaterali tenutesi tra la Repubblica di Croazia e il Montenegro in merito allo stato delle questioni bilaterali irrisolte; incoraggia le autorità a continuare a intraprendere misure volte a rafforzare la fiducia;</w:t>
      </w:r>
    </w:p>
    <w:p w14:paraId="6A29756F" w14:textId="77777777" w:rsidR="009E3D0A" w:rsidRPr="0064645E" w:rsidRDefault="009E3D0A" w:rsidP="009E3D0A">
      <w:pPr>
        <w:pStyle w:val="NormalHanging12a"/>
      </w:pPr>
      <w:r w:rsidRPr="0064645E">
        <w:t>45.</w:t>
      </w:r>
      <w:r w:rsidRPr="0064645E">
        <w:tab/>
        <w:t>prende atto delle modifiche apportate dal Montenegro al codice di procedura penale nell'intento di rimediare agli ostacoli giuridici e pratici che pregiudicano l'efficacia delle indagini, dell'azione penale, del processo e delle pene per i crimini di guerra, in linea con le pertinenti raccomandazioni; invita il Montenegro ad applicare un approccio proattivo alla gestione dei casi di crimini di guerra, nel rispetto del diritto e delle norme internazionali, a individuare, perseguire e punire i responsabili e gli episodi di glorificazione dei crimini di guerra e a garantire alle vittime giustizia, riparazioni e risarcimenti e l'accesso alle stesse, oltre che a chiarire la sorte delle persone scomparse; invita il Montenegro a destinare risorse sufficienti a procuratori e tribunali specializzati, a indagare in modo proattivo su tutte le accuse di crimini di guerra e a sollevare questioni relative alla responsabilità di comando, nonché a riesaminare i casi verificatisi nel passato che non sono stati perseguiti in conformità del diritto internazionale o nazionale; chiede cooperazione regionale nell'ambito delle indagini e dei procedimenti penali nei confronti delle persone accusate di crimini di guerra; riconosce che affrontare tali questioni e salvaguardare i fatti giudiziari sono condizioni fondamentali per garantire la fiducia, i valori democratici, la riconciliazione e il rafforzamento delle relazioni bilaterali con i paesi vicini e incoraggia il Montenegro a intensificare i suoi sforzi in tal senso;</w:t>
      </w:r>
    </w:p>
    <w:p w14:paraId="538B11FE" w14:textId="77777777" w:rsidR="009E3D0A" w:rsidRPr="0064645E" w:rsidRDefault="009E3D0A" w:rsidP="009E3D0A">
      <w:pPr>
        <w:pStyle w:val="NormalHanging12a"/>
      </w:pPr>
      <w:r w:rsidRPr="0064645E">
        <w:t>46.</w:t>
      </w:r>
      <w:r w:rsidRPr="0064645E">
        <w:tab/>
        <w:t xml:space="preserve">mette in guardia contro i pericoli del revisionismo politico, che distorce i fatti storici a fini politici, mina la responsabilità e aggrava le divisioni sociali; condanna fermamente la glorificazione dei criminali di guerra e la negazione pubblica generalizzata delle sentenze internazionali sui crimini di guerra, anche da parte delle autorità montenegrine; ritiene che la dichiarazione del presidente </w:t>
      </w:r>
      <w:proofErr w:type="spellStart"/>
      <w:r w:rsidRPr="0064645E">
        <w:t>Jakov</w:t>
      </w:r>
      <w:proofErr w:type="spellEnd"/>
      <w:r w:rsidRPr="0064645E">
        <w:t xml:space="preserve"> </w:t>
      </w:r>
      <w:proofErr w:type="spellStart"/>
      <w:r w:rsidRPr="0064645E">
        <w:t>Milatović</w:t>
      </w:r>
      <w:proofErr w:type="spellEnd"/>
      <w:r w:rsidRPr="0064645E">
        <w:t>, in cui è stato espresso rammarico per la partecipazione delle forze montenegrine al bombardamento della città di Dubrovnik, abbia dato un prezioso contributo alla pace e alla riconciliazione regionali;</w:t>
      </w:r>
    </w:p>
    <w:p w14:paraId="193E21FB" w14:textId="77777777" w:rsidR="009E3D0A" w:rsidRPr="0064645E" w:rsidRDefault="009E3D0A" w:rsidP="009E3D0A">
      <w:pPr>
        <w:pStyle w:val="NormalHanging12a"/>
      </w:pPr>
      <w:r w:rsidRPr="0064645E">
        <w:t>47.</w:t>
      </w:r>
      <w:r w:rsidRPr="0064645E">
        <w:tab/>
        <w:t>ribadisce il proprio sostegno all'iniziativa volta a istituire la commissione regionale per l'accertamento dei fatti relativi ai crimini di guerra e ad altre gravi violazioni dei diritti umani nel territorio dell'ex Jugoslavia (RECOM);</w:t>
      </w:r>
    </w:p>
    <w:p w14:paraId="7FAA5274" w14:textId="77777777" w:rsidR="009E3D0A" w:rsidRPr="0064645E" w:rsidRDefault="009E3D0A" w:rsidP="009E3D0A">
      <w:pPr>
        <w:pStyle w:val="NormalHanging12a"/>
      </w:pPr>
      <w:r w:rsidRPr="0064645E">
        <w:t>48.</w:t>
      </w:r>
      <w:r w:rsidRPr="0064645E">
        <w:tab/>
        <w:t xml:space="preserve">ribadisce la richiesta di aprire gli archivi relativi alle ex repubbliche della Iugoslavia e di concedere l'accesso ai fascicoli dei servizi segreti dell'ex Iugoslavia e del servizio </w:t>
      </w:r>
      <w:r w:rsidRPr="0064645E">
        <w:lastRenderedPageBreak/>
        <w:t>segreto dell'esercito popolare iugoslavo, affinché sia possibile indagare e trattare i crimini commessi durante il periodo comunista;</w:t>
      </w:r>
    </w:p>
    <w:p w14:paraId="442A15CA" w14:textId="77777777" w:rsidR="009E3D0A" w:rsidRPr="0064645E" w:rsidRDefault="009E3D0A" w:rsidP="009E3D0A">
      <w:pPr>
        <w:pStyle w:val="Normal12a24b"/>
      </w:pPr>
      <w:r w:rsidRPr="0064645E">
        <w:rPr>
          <w:rStyle w:val="BoldItalic"/>
        </w:rPr>
        <w:t>Riforme socioeconomiche</w:t>
      </w:r>
    </w:p>
    <w:p w14:paraId="1D92C4B8" w14:textId="77777777" w:rsidR="009E3D0A" w:rsidRPr="0064645E" w:rsidRDefault="009E3D0A" w:rsidP="009E3D0A">
      <w:pPr>
        <w:pStyle w:val="NormalHanging12a"/>
      </w:pPr>
      <w:r w:rsidRPr="0064645E">
        <w:t>49.</w:t>
      </w:r>
      <w:r w:rsidRPr="0064645E">
        <w:tab/>
        <w:t>accoglie con favore l'inclusione del Montenegro negli schemi di pagamento SEPA e la conseguente riduzione dei costi per i cittadini e le imprese; sottolinea che ciò comporta possibilità di espansione per le imprese, di aumento della competitività, di innovazione e di migliore accesso agli investimenti esteri diretti;</w:t>
      </w:r>
    </w:p>
    <w:p w14:paraId="2291949F" w14:textId="77777777" w:rsidR="009E3D0A" w:rsidRPr="0064645E" w:rsidRDefault="009E3D0A" w:rsidP="009E3D0A">
      <w:pPr>
        <w:pStyle w:val="NormalHanging12a"/>
      </w:pPr>
      <w:r w:rsidRPr="0064645E">
        <w:t>50.</w:t>
      </w:r>
      <w:r w:rsidRPr="0064645E">
        <w:tab/>
        <w:t>accoglie con favore il piano di crescita per i Balcani occidentali, che mira a integrare la regione nel mercato unico dell'UE, a promuovere la cooperazione economica regionale e ad approfondire le riforme connesse all'UE e che comprende lo strumento per le riforme e la crescita per i Balcani occidentali, che prevede una dotazione pari a 6 miliardi di EUR; si compiace dell'adozione da parte del Montenegro di un programma di riforme e ne incoraggia la piena attuazione; osserva che l'attuazione delle misure di riforma definite nell'ambito del programma di riforme del piano di crescita del Montenegro, se portata a termine con successo, garantirebbe l'accesso a oltre 380 milioni di EUR in sovvenzioni e prestiti agevolati; sottolinea l'importanza di tenere consultazioni inclusive con le parti interessate, comprese le autorità locali e regionali, le parti sociali e la società civile, durante le fasi di progettazione, attuazione, monitoraggio e valutazione;</w:t>
      </w:r>
    </w:p>
    <w:p w14:paraId="45FF6011" w14:textId="77777777" w:rsidR="009E3D0A" w:rsidRPr="0064645E" w:rsidRDefault="009E3D0A" w:rsidP="009E3D0A">
      <w:pPr>
        <w:pStyle w:val="NormalHanging12a"/>
      </w:pPr>
      <w:r w:rsidRPr="0064645E">
        <w:t>51.</w:t>
      </w:r>
      <w:r w:rsidRPr="0064645E">
        <w:tab/>
        <w:t>incoraggia il Montenegro a sfruttare al meglio tutti i finanziamenti dell'UE disponibili nell'ambito dello strumento di assistenza preadesione (IPA III), del piano economico e di investimenti per i Balcani occidentali, del programma IPARD e dello strumento per le riforme e la crescita per i Balcani occidentali, al fine di accelerare la convergenza socioeconomica con l'UE e allineare ulteriormente la sua legislazione in materia di prevenzione delle frodi a quella dell'Unione; ribadisce la condizionalità dei finanziamenti dell'UE, che possono essere modulati o sospesi in caso di regressione significativa o di persistente mancanza di progressi rispetto alle questioni fondamentali;</w:t>
      </w:r>
    </w:p>
    <w:p w14:paraId="711550E0" w14:textId="77777777" w:rsidR="009E3D0A" w:rsidRPr="0064645E" w:rsidRDefault="009E3D0A" w:rsidP="009E3D0A">
      <w:pPr>
        <w:pStyle w:val="NormalHanging12a"/>
      </w:pPr>
      <w:r w:rsidRPr="0064645E">
        <w:t>52.</w:t>
      </w:r>
      <w:r w:rsidRPr="0064645E">
        <w:tab/>
        <w:t>invita l'UE e i paesi dei Balcani occidentali a istituire un quadro per una cooperazione efficace tra la Procura europea (EPPO) e i paesi in via di adesione, al fine di facilitare una stretta collaborazione e il perseguimento dell'uso improprio dei fondi dell'UE, anche attraverso il distacco di funzionari nazionali di collegamento presso l'EPPO; incoraggia il Montenegro ad attuare pienamente gli accordi di lavoro con l'EPPO; invita l'UE ad adottare le disposizioni giuridiche e politiche necessarie per estendere la giurisdizione dell'EPPO ai fondi dell'UE destinati al Montenegro in quanto paese candidato;</w:t>
      </w:r>
    </w:p>
    <w:p w14:paraId="59CCA65F" w14:textId="77777777" w:rsidR="009E3D0A" w:rsidRPr="0064645E" w:rsidRDefault="009E3D0A" w:rsidP="009E3D0A">
      <w:pPr>
        <w:pStyle w:val="NormalHanging12a"/>
      </w:pPr>
      <w:r w:rsidRPr="0064645E">
        <w:t>53.</w:t>
      </w:r>
      <w:r w:rsidRPr="0064645E">
        <w:tab/>
        <w:t>rileva con soddisfazione la crescita economica del Montenegro; chiede ulteriori misure per ridurre il disavanzo di bilancio e il debito pubblico e per proseguire nell'eliminazione delle esenzioni dalle imposte indirette non conformi all'</w:t>
      </w:r>
      <w:r w:rsidRPr="0064645E">
        <w:rPr>
          <w:i/>
          <w:iCs/>
        </w:rPr>
        <w:t>acquis</w:t>
      </w:r>
      <w:r w:rsidRPr="0064645E">
        <w:t xml:space="preserve"> dell'UE; accoglie con favore gli sforzi volti a ridurre tali vulnerabilità di bilancio; ribadisce la necessità di maggiori investimenti pubblici nel sistema di istruzione, a favore di uno sviluppo sociale ed economico sostenibile;</w:t>
      </w:r>
    </w:p>
    <w:p w14:paraId="1B17743D" w14:textId="77777777" w:rsidR="009E3D0A" w:rsidRPr="0064645E" w:rsidRDefault="009E3D0A" w:rsidP="009E3D0A">
      <w:pPr>
        <w:pStyle w:val="NormalHanging12a"/>
      </w:pPr>
      <w:r w:rsidRPr="0064645E">
        <w:t>54.</w:t>
      </w:r>
      <w:r w:rsidRPr="0064645E">
        <w:tab/>
        <w:t xml:space="preserve">prende atto del debito pubblico del Montenegro nei confronti di istituzioni finanziarie e imprese estere, che può essere utilizzato come strumento per influenzare le sue decisioni politiche, in particolare quelle correlate alla Cina e alla Russia; accoglie con favore gli sforzi volti a ridurre dette vulnerabilità e invita le autorità a diminuire ulteriormente la </w:t>
      </w:r>
      <w:r w:rsidRPr="0064645E">
        <w:lastRenderedPageBreak/>
        <w:t>dipendenza economica dalla Cina e a continuare a utilizzare il piano economico e di investimenti per i Balcani occidentali, l'iniziativa "Global Gateway" dell'UE e lo strumento per le riforme e la crescita al fine di trovare alternative più verdi e trasparenti per il finanziamento di progetti di infrastrutture; invita il Montenegro ad aumentare la trasparenza per quanto concerne i futuri progetti di infrastrutture, a garantire offerte competitive e a evitare un'eccessiva dipendenza del debito da creditori esteri;</w:t>
      </w:r>
    </w:p>
    <w:p w14:paraId="6DD306F3" w14:textId="77777777" w:rsidR="009E3D0A" w:rsidRPr="0064645E" w:rsidRDefault="009E3D0A" w:rsidP="009E3D0A">
      <w:pPr>
        <w:pStyle w:val="NormalHanging12a"/>
      </w:pPr>
      <w:r w:rsidRPr="0064645E">
        <w:t>55.</w:t>
      </w:r>
      <w:r w:rsidRPr="0064645E">
        <w:tab/>
        <w:t>invita le autorità montenegrine ad adottare misure atte a contrastare lo spopolamento e l'emigrazione, in particolare attraverso investimenti nell'istruzione e nell'assistenza sanitaria, soprattutto nel nord del paese, nonché attraverso il decentramento tramite investimenti nelle città di medie dimensioni;</w:t>
      </w:r>
    </w:p>
    <w:p w14:paraId="53BE7A5C" w14:textId="77777777" w:rsidR="009E3D0A" w:rsidRPr="0064645E" w:rsidRDefault="009E3D0A" w:rsidP="009E3D0A">
      <w:pPr>
        <w:pStyle w:val="NormalHanging12a"/>
      </w:pPr>
      <w:r w:rsidRPr="0064645E">
        <w:t>56.</w:t>
      </w:r>
      <w:r w:rsidRPr="0064645E">
        <w:tab/>
        <w:t>incoraggia le autorità montenegrine a promuovere la trasformazione digitale e a perseguire politiche del mercato del lavoro basate su dati concreti per far fronte al tasso di disoccupazione persistentemente elevato, in particolare tra le donne e i giovani, rafforzando nel contempo la capacità istituzionale e il quadro strategico digitale sottostante, nonché ad attuare in modo efficace il sistema di garanzia per i giovani e la nuova strategia per la gioventù; esorta le autorità ad affrontare con urgenza la questione della fuga dei cervelli; incentiva lo sviluppo di misure preventive mirate e di incentivi intesi alla legalizzazione delle imprese e dei dipendenti informali, dal momento che la presenza di un vasto settore informale sta continuando a ostacolare lo sviluppo economico e sociale del Montenegro;</w:t>
      </w:r>
    </w:p>
    <w:p w14:paraId="4D68EC6B" w14:textId="77777777" w:rsidR="009E3D0A" w:rsidRPr="0064645E" w:rsidRDefault="009E3D0A" w:rsidP="009E3D0A">
      <w:pPr>
        <w:pStyle w:val="NormalHanging12a"/>
      </w:pPr>
      <w:r w:rsidRPr="0064645E">
        <w:t>57.</w:t>
      </w:r>
      <w:r w:rsidRPr="0064645E">
        <w:tab/>
        <w:t>accoglie con favore le richieste volte a una rapida integrazione di tutti i paesi dei Balcani occidentali nel mercato unico digitale dell'UE prima dell'effettiva adesione all'Unione, misura che contribuirebbe in modo fondamentale alla creazione di un ambiente sicuro dal punto di vista digitale;</w:t>
      </w:r>
    </w:p>
    <w:p w14:paraId="4D42AC46" w14:textId="77777777" w:rsidR="009E3D0A" w:rsidRPr="0064645E" w:rsidRDefault="009E3D0A" w:rsidP="009E3D0A">
      <w:pPr>
        <w:pStyle w:val="NormalHanging12a"/>
      </w:pPr>
      <w:r w:rsidRPr="0064645E">
        <w:t>58.</w:t>
      </w:r>
      <w:r w:rsidRPr="0064645E">
        <w:tab/>
        <w:t>chiede una maggiore trasparenza negli appalti pubblici, in particolare per quanto riguarda le procedure organizzate nel quadro di accordi intergovernativi, e il pieno rispetto delle norme e dei principi dell'UE; invita il Montenegro a ridurre il numero di procedure di appalto pubblico che non prevedono la pubblicazione di bandi; esprime preoccupazione riguardo all'onere finanziario e alla mancanza di trasparenza legati alla costruzione dell'autostrada montenegrina Bar-</w:t>
      </w:r>
      <w:proofErr w:type="spellStart"/>
      <w:r w:rsidRPr="0064645E">
        <w:t>Boljare</w:t>
      </w:r>
      <w:proofErr w:type="spellEnd"/>
      <w:r w:rsidRPr="0064645E">
        <w:t>, finanziata grazie a un prestito cinese; sottolinea che la segretezza che circonda gli accordi di prestito e i contratti di costruzione solleva preoccupazioni in materia di assunzione di responsabilità;</w:t>
      </w:r>
    </w:p>
    <w:p w14:paraId="11D7C662" w14:textId="77777777" w:rsidR="009E3D0A" w:rsidRPr="0064645E" w:rsidRDefault="009E3D0A" w:rsidP="009E3D0A">
      <w:pPr>
        <w:pStyle w:val="NormalHanging12a"/>
      </w:pPr>
      <w:r w:rsidRPr="0064645E">
        <w:t>59.</w:t>
      </w:r>
      <w:r w:rsidRPr="0064645E">
        <w:tab/>
        <w:t>esprime preoccupazione in merito a qualsiasi accordo o progetto che eluda le norme in materia di appalti pubblici e gli obblighi di trasparenza e di consultazione pubblica, come stabilito dalla legislazione nazionale e dalle norme dell'UE; invita il governo del Montenegro a garantire il pieno rispetto dei principi di trasparenza, responsabilità e inclusività del processo decisionale, nonché dello Stato di diritto, nell'ambito di tutte le iniziative legate a infrastrutture pubbliche e allo sviluppo;</w:t>
      </w:r>
    </w:p>
    <w:p w14:paraId="1DE265FC" w14:textId="77777777" w:rsidR="009E3D0A" w:rsidRPr="0064645E" w:rsidRDefault="009E3D0A" w:rsidP="009E3D0A">
      <w:pPr>
        <w:pStyle w:val="Normal12a24b"/>
      </w:pPr>
      <w:r w:rsidRPr="0064645E">
        <w:rPr>
          <w:rStyle w:val="BoldItalic"/>
        </w:rPr>
        <w:t>Energia, ambiente, biodiversità e connettività</w:t>
      </w:r>
    </w:p>
    <w:p w14:paraId="116F39DC" w14:textId="77777777" w:rsidR="009E3D0A" w:rsidRPr="0064645E" w:rsidRDefault="009E3D0A" w:rsidP="009E3D0A">
      <w:pPr>
        <w:pStyle w:val="NormalHanging12a"/>
      </w:pPr>
      <w:r w:rsidRPr="0064645E">
        <w:t>60.</w:t>
      </w:r>
      <w:r w:rsidRPr="0064645E">
        <w:tab/>
        <w:t xml:space="preserve">esorta il Montenegro a portare avanti la transizione verde, con il sostegno dei finanziamenti dell'UE, a migliorare il proprio quadro istituzionale e normativo e a rafforzare la resilienza energetica adottando e attuando finalmente il piano nazionale per l'energia e il clima, da tempo atteso, introducendo leggi in materia di efficienza energetica e proseguendo l'integrazione nei mercati dell'energia dell'UE; chiede che tutti </w:t>
      </w:r>
      <w:r w:rsidRPr="0064645E">
        <w:lastRenderedPageBreak/>
        <w:t>i nuovi progetti di transizione verde siano attuati in conformità delle norme dell'UE in materia di ambiente, aiuti di Stato e concessioni;</w:t>
      </w:r>
    </w:p>
    <w:p w14:paraId="730B6112" w14:textId="77777777" w:rsidR="009E3D0A" w:rsidRPr="0064645E" w:rsidRDefault="009E3D0A" w:rsidP="009E3D0A">
      <w:pPr>
        <w:pStyle w:val="NormalHanging12a"/>
      </w:pPr>
      <w:r w:rsidRPr="0064645E">
        <w:t>61.</w:t>
      </w:r>
      <w:r w:rsidRPr="0064645E">
        <w:tab/>
        <w:t>deplora la mancanza di progressi per quanto riguarda le principali riforme settoriali nell'ambito della politica dei trasporti; invita le autorità montenegrine ad allineare lo sviluppo dei trasporti del paese alla strategia per una mobilità sostenibile e intelligente per i Balcani occidentali, concentrandosi sulle ferrovie, sulla multimodalità e sulla riduzione delle emissioni di CO</w:t>
      </w:r>
      <w:r w:rsidRPr="0064645E">
        <w:rPr>
          <w:vertAlign w:val="subscript"/>
        </w:rPr>
        <w:t>2</w:t>
      </w:r>
      <w:r w:rsidRPr="0064645E">
        <w:t xml:space="preserve"> e delle conseguenze ambientali di altro tipo, nonché ad attuare ulteriormente la strategia di sviluppo dei trasporti e a rafforzare le capacità amministrative per la realizzazione delle reti transeuropee dei trasporti; </w:t>
      </w:r>
    </w:p>
    <w:p w14:paraId="1697D991" w14:textId="77777777" w:rsidR="009E3D0A" w:rsidRPr="0064645E" w:rsidRDefault="009E3D0A" w:rsidP="009E3D0A">
      <w:pPr>
        <w:pStyle w:val="NormalHanging12a"/>
      </w:pPr>
      <w:r w:rsidRPr="0064645E">
        <w:t>62.</w:t>
      </w:r>
      <w:r w:rsidRPr="0064645E">
        <w:tab/>
        <w:t>si compiace della riduzione delle tariffe di roaming tra l'UE e i paesi dei Balcani occidentali e invita le autorità, gli attori privati e tutte le parti interessate ad adottare tutte le misure necessarie per conseguire l'obiettivo di avvicinare le tariffe di roaming ai prezzi nazionali entro il 2028; accoglie con favore l'entrata in vigore della prima fase di attuazione della tabella di marcia per il roaming tra i Balcani occidentali e l'UE;</w:t>
      </w:r>
    </w:p>
    <w:p w14:paraId="5A82440D" w14:textId="77777777" w:rsidR="009E3D0A" w:rsidRPr="0064645E" w:rsidRDefault="009E3D0A" w:rsidP="009E3D0A">
      <w:pPr>
        <w:pStyle w:val="NormalHanging12a"/>
      </w:pPr>
      <w:r w:rsidRPr="0064645E">
        <w:t>63.</w:t>
      </w:r>
      <w:r w:rsidRPr="0064645E">
        <w:tab/>
        <w:t>incoraggia l'adozione di strategie settoriali per la gestione dei rifiuti, la qualità dell'aria e dell'acqua, la protezione della natura e il cambiamento climatico, garantendo una pianificazione strategica degli investimenti; constata la mancanza di progressi e il conseguente aumento dei costi in relazione alla costruzione di impianti essenziali di trattamento delle acque reflue volti a prevenire l'inquinamento da acque reflue dei fiumi e del mare in sette comuni;</w:t>
      </w:r>
    </w:p>
    <w:p w14:paraId="1A15082F" w14:textId="77777777" w:rsidR="009E3D0A" w:rsidRPr="0064645E" w:rsidRDefault="009E3D0A" w:rsidP="009E3D0A">
      <w:pPr>
        <w:pStyle w:val="NormalCenter12a"/>
      </w:pPr>
      <w:r w:rsidRPr="0064645E">
        <w:t>°</w:t>
      </w:r>
    </w:p>
    <w:p w14:paraId="33E7C5CC" w14:textId="77777777" w:rsidR="009E3D0A" w:rsidRPr="0064645E" w:rsidRDefault="009E3D0A" w:rsidP="009E3D0A">
      <w:pPr>
        <w:pStyle w:val="NormalCenter12a"/>
      </w:pPr>
      <w:r w:rsidRPr="0064645E">
        <w:t>°</w:t>
      </w:r>
      <w:r w:rsidRPr="0064645E">
        <w:tab/>
        <w:t>°</w:t>
      </w:r>
    </w:p>
    <w:p w14:paraId="4191E6FD" w14:textId="77777777" w:rsidR="00D30C3D" w:rsidRPr="0064645E" w:rsidRDefault="009E3D0A" w:rsidP="00D30C3D">
      <w:pPr>
        <w:pStyle w:val="NormalHanging12a"/>
      </w:pPr>
      <w:r w:rsidRPr="0064645E">
        <w:t>64.</w:t>
      </w:r>
      <w:r w:rsidRPr="0064645E">
        <w:tab/>
        <w:t>incarica la sua Presidente di trasmettere la presente risoluzione al Consiglio, alla Commissione, alla vicepresidente della Commissione/alta rappresentante dell'Unione per gli affari esteri e la politica di sicurezza, alla commissaria per l'allargamento, alla commissaria per il Mediterraneo, ai governi e ai parlamenti degli Stati membri nonché al presidente, al governo e al parlamento del Montenegro, nonché di farla tradurre e pubblicare in montenegrino.</w:t>
      </w:r>
    </w:p>
    <w:sectPr w:rsidR="00D30C3D" w:rsidRPr="0064645E" w:rsidSect="00D30C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30DA3" w14:textId="77777777" w:rsidR="00E91696" w:rsidRPr="00D30C3D" w:rsidRDefault="00E91696">
      <w:r w:rsidRPr="00D30C3D">
        <w:separator/>
      </w:r>
    </w:p>
  </w:endnote>
  <w:endnote w:type="continuationSeparator" w:id="0">
    <w:p w14:paraId="0F078525" w14:textId="77777777" w:rsidR="00E91696" w:rsidRPr="00D30C3D" w:rsidRDefault="00E91696">
      <w:r w:rsidRPr="00D30C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B43E" w14:textId="77777777" w:rsidR="00064002" w:rsidRPr="00D30C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CBA88" w14:textId="77777777" w:rsidR="00064002" w:rsidRPr="00D30C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5FF73" w14:textId="77777777" w:rsidR="00064002" w:rsidRPr="00D30C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2DC6C" w14:textId="77777777" w:rsidR="00E91696" w:rsidRPr="00D30C3D" w:rsidRDefault="00E91696">
      <w:r w:rsidRPr="00D30C3D">
        <w:separator/>
      </w:r>
    </w:p>
  </w:footnote>
  <w:footnote w:type="continuationSeparator" w:id="0">
    <w:p w14:paraId="309E8C8A" w14:textId="77777777" w:rsidR="00E91696" w:rsidRPr="00D30C3D" w:rsidRDefault="00E91696">
      <w:r w:rsidRPr="00D30C3D">
        <w:continuationSeparator/>
      </w:r>
    </w:p>
  </w:footnote>
  <w:footnote w:id="1">
    <w:p w14:paraId="5BCC6178" w14:textId="77777777" w:rsidR="009E3D0A" w:rsidRPr="00D30C3D" w:rsidRDefault="009E3D0A" w:rsidP="00D30C3D">
      <w:pPr>
        <w:pStyle w:val="FootnoteText"/>
        <w:ind w:left="567" w:hanging="567"/>
        <w:rPr>
          <w:sz w:val="24"/>
          <w:lang w:val="it-IT"/>
        </w:rPr>
      </w:pPr>
      <w:r w:rsidRPr="00D30C3D">
        <w:rPr>
          <w:rStyle w:val="FootnoteReference"/>
          <w:sz w:val="24"/>
          <w:lang w:val="it-IT"/>
        </w:rPr>
        <w:footnoteRef/>
      </w:r>
      <w:r w:rsidR="00D30C3D" w:rsidRPr="00D30C3D">
        <w:rPr>
          <w:sz w:val="24"/>
          <w:lang w:val="it-IT"/>
        </w:rPr>
        <w:t xml:space="preserve"> </w:t>
      </w:r>
      <w:r w:rsidR="00D30C3D" w:rsidRPr="00D30C3D">
        <w:rPr>
          <w:sz w:val="24"/>
          <w:lang w:val="it-IT"/>
        </w:rPr>
        <w:tab/>
      </w:r>
      <w:r w:rsidRPr="00D30C3D">
        <w:rPr>
          <w:sz w:val="24"/>
          <w:lang w:val="it-IT"/>
        </w:rPr>
        <w:t xml:space="preserve">GU L 108 del 29.4.2010, pag. 3, ELI: </w:t>
      </w:r>
      <w:hyperlink r:id="rId1" w:history="1">
        <w:r w:rsidRPr="00D30C3D">
          <w:rPr>
            <w:rStyle w:val="Hyperlink"/>
            <w:sz w:val="24"/>
            <w:lang w:val="it-IT"/>
          </w:rPr>
          <w:t>http://data.europa.eu/eli/agree_internation/2010/224/oj</w:t>
        </w:r>
      </w:hyperlink>
      <w:r w:rsidRPr="00D30C3D">
        <w:rPr>
          <w:sz w:val="24"/>
          <w:lang w:val="it-IT"/>
        </w:rPr>
        <w:t xml:space="preserve">. </w:t>
      </w:r>
    </w:p>
  </w:footnote>
  <w:footnote w:id="2">
    <w:p w14:paraId="4AC41D39" w14:textId="77777777" w:rsidR="009E3D0A" w:rsidRPr="00D30C3D" w:rsidRDefault="009E3D0A" w:rsidP="00D30C3D">
      <w:pPr>
        <w:pStyle w:val="FootnoteText"/>
        <w:ind w:left="567" w:hanging="567"/>
        <w:rPr>
          <w:sz w:val="24"/>
          <w:lang w:val="it-IT"/>
        </w:rPr>
      </w:pPr>
      <w:r w:rsidRPr="00D30C3D">
        <w:rPr>
          <w:rStyle w:val="FootnoteReference"/>
          <w:sz w:val="24"/>
          <w:lang w:val="it-IT"/>
        </w:rPr>
        <w:footnoteRef/>
      </w:r>
      <w:r w:rsidR="00D30C3D" w:rsidRPr="00D30C3D">
        <w:rPr>
          <w:sz w:val="24"/>
          <w:lang w:val="it-IT"/>
        </w:rPr>
        <w:t xml:space="preserve"> </w:t>
      </w:r>
      <w:r w:rsidR="00D30C3D" w:rsidRPr="00D30C3D">
        <w:rPr>
          <w:sz w:val="24"/>
          <w:lang w:val="it-IT"/>
        </w:rPr>
        <w:tab/>
      </w:r>
      <w:r w:rsidRPr="00D30C3D">
        <w:rPr>
          <w:sz w:val="24"/>
          <w:lang w:val="it-IT"/>
        </w:rPr>
        <w:t xml:space="preserve">GU L 330 del 20.9.2021, pag. 1, ELI: </w:t>
      </w:r>
      <w:hyperlink r:id="rId2" w:history="1">
        <w:r w:rsidRPr="00D30C3D">
          <w:rPr>
            <w:rStyle w:val="Hyperlink"/>
            <w:sz w:val="24"/>
            <w:lang w:val="it-IT"/>
          </w:rPr>
          <w:t>http://data.europa.eu/eli/reg/2021/1529/oj</w:t>
        </w:r>
      </w:hyperlink>
      <w:r w:rsidRPr="00D30C3D">
        <w:rPr>
          <w:sz w:val="24"/>
          <w:lang w:val="it-IT"/>
        </w:rPr>
        <w:t xml:space="preserve">. </w:t>
      </w:r>
    </w:p>
  </w:footnote>
  <w:footnote w:id="3">
    <w:p w14:paraId="60A1EB5F" w14:textId="77777777" w:rsidR="009E3D0A" w:rsidRPr="0064645E" w:rsidRDefault="009E3D0A" w:rsidP="00D30C3D">
      <w:pPr>
        <w:pStyle w:val="FootnoteText"/>
        <w:ind w:left="567" w:hanging="567"/>
        <w:rPr>
          <w:sz w:val="24"/>
          <w:lang w:val="fi-FI"/>
        </w:rPr>
      </w:pPr>
      <w:r w:rsidRPr="00D30C3D">
        <w:rPr>
          <w:rStyle w:val="FootnoteReference"/>
          <w:sz w:val="24"/>
          <w:lang w:val="it-IT"/>
        </w:rPr>
        <w:footnoteRef/>
      </w:r>
      <w:r w:rsidR="00D30C3D" w:rsidRPr="0064645E">
        <w:rPr>
          <w:sz w:val="24"/>
          <w:lang w:val="fi-FI"/>
        </w:rPr>
        <w:t xml:space="preserve"> </w:t>
      </w:r>
      <w:r w:rsidR="00D30C3D" w:rsidRPr="0064645E">
        <w:rPr>
          <w:sz w:val="24"/>
          <w:lang w:val="fi-FI"/>
        </w:rPr>
        <w:tab/>
      </w:r>
      <w:r w:rsidRPr="0064645E">
        <w:rPr>
          <w:sz w:val="24"/>
          <w:lang w:val="fi-FI"/>
        </w:rPr>
        <w:t xml:space="preserve">GU L, 2024/1449, 24.5.2024, ELI: </w:t>
      </w:r>
      <w:hyperlink r:id="rId3" w:history="1">
        <w:r w:rsidRPr="0064645E">
          <w:rPr>
            <w:rStyle w:val="Hyperlink"/>
            <w:sz w:val="24"/>
            <w:lang w:val="fi-FI"/>
          </w:rPr>
          <w:t>http://data.europa.eu/eli/reg/2024/1449/oj</w:t>
        </w:r>
      </w:hyperlink>
      <w:r w:rsidRPr="0064645E">
        <w:rPr>
          <w:sz w:val="24"/>
          <w:lang w:val="fi-FI"/>
        </w:rPr>
        <w:t xml:space="preserve">. </w:t>
      </w:r>
    </w:p>
  </w:footnote>
  <w:footnote w:id="4">
    <w:p w14:paraId="3ECF8948" w14:textId="77777777" w:rsidR="009E3D0A" w:rsidRPr="00D30C3D" w:rsidRDefault="009E3D0A" w:rsidP="00D30C3D">
      <w:pPr>
        <w:pStyle w:val="FootnoteText"/>
        <w:ind w:left="567" w:hanging="567"/>
        <w:rPr>
          <w:sz w:val="24"/>
          <w:lang w:val="it-IT"/>
        </w:rPr>
      </w:pPr>
      <w:r w:rsidRPr="00D30C3D">
        <w:rPr>
          <w:rStyle w:val="FootnoteReference"/>
          <w:sz w:val="24"/>
          <w:lang w:val="it-IT"/>
        </w:rPr>
        <w:footnoteRef/>
      </w:r>
      <w:r w:rsidR="00D30C3D" w:rsidRPr="00D30C3D">
        <w:rPr>
          <w:sz w:val="24"/>
          <w:lang w:val="it-IT"/>
        </w:rPr>
        <w:t xml:space="preserve"> </w:t>
      </w:r>
      <w:r w:rsidR="00D30C3D" w:rsidRPr="00D30C3D">
        <w:rPr>
          <w:sz w:val="24"/>
          <w:lang w:val="it-IT"/>
        </w:rPr>
        <w:tab/>
      </w:r>
      <w:r w:rsidRPr="00D30C3D">
        <w:rPr>
          <w:sz w:val="24"/>
          <w:lang w:val="it-IT"/>
        </w:rPr>
        <w:t>GU C 167 dell'11.5.2023, pag. 105.</w:t>
      </w:r>
    </w:p>
  </w:footnote>
  <w:footnote w:id="5">
    <w:p w14:paraId="3AD26CF8" w14:textId="77777777" w:rsidR="009E3D0A" w:rsidRPr="0064645E" w:rsidRDefault="009E3D0A" w:rsidP="00D30C3D">
      <w:pPr>
        <w:pStyle w:val="FootnoteText"/>
        <w:ind w:left="567" w:hanging="567"/>
        <w:rPr>
          <w:sz w:val="24"/>
          <w:lang w:val="it-IT"/>
        </w:rPr>
      </w:pPr>
      <w:r w:rsidRPr="00D30C3D">
        <w:rPr>
          <w:rStyle w:val="FootnoteReference"/>
          <w:sz w:val="24"/>
          <w:lang w:val="it-IT"/>
        </w:rPr>
        <w:footnoteRef/>
      </w:r>
      <w:r w:rsidR="00D30C3D" w:rsidRPr="0064645E">
        <w:rPr>
          <w:sz w:val="24"/>
          <w:lang w:val="it-IT"/>
        </w:rPr>
        <w:t xml:space="preserve"> </w:t>
      </w:r>
      <w:r w:rsidR="00D30C3D" w:rsidRPr="0064645E">
        <w:rPr>
          <w:sz w:val="24"/>
          <w:lang w:val="it-IT"/>
        </w:rPr>
        <w:tab/>
      </w:r>
      <w:r w:rsidRPr="0064645E">
        <w:rPr>
          <w:sz w:val="24"/>
          <w:lang w:val="it-IT"/>
        </w:rPr>
        <w:t xml:space="preserve">GU C, C/2024/6746, 26.11.2024, ELI: </w:t>
      </w:r>
      <w:hyperlink r:id="rId4" w:history="1">
        <w:r w:rsidRPr="0064645E">
          <w:rPr>
            <w:rStyle w:val="Hyperlink"/>
            <w:sz w:val="24"/>
            <w:lang w:val="it-IT"/>
          </w:rPr>
          <w:t>http://data.europa.eu/eli/C/2024/6746/oj</w:t>
        </w:r>
      </w:hyperlink>
      <w:r w:rsidRPr="0064645E">
        <w:rPr>
          <w:sz w:val="24"/>
          <w:lang w:val="it-IT"/>
        </w:rPr>
        <w:t xml:space="preserve">. </w:t>
      </w:r>
    </w:p>
  </w:footnote>
  <w:footnote w:id="6">
    <w:p w14:paraId="35AB2975" w14:textId="77777777" w:rsidR="009E3D0A" w:rsidRPr="0064645E" w:rsidRDefault="009E3D0A" w:rsidP="00D30C3D">
      <w:pPr>
        <w:pStyle w:val="FootnoteText"/>
        <w:ind w:left="567" w:hanging="567"/>
        <w:rPr>
          <w:sz w:val="24"/>
          <w:lang w:val="it-IT"/>
        </w:rPr>
      </w:pPr>
      <w:r w:rsidRPr="00D30C3D">
        <w:rPr>
          <w:rStyle w:val="FootnoteReference"/>
          <w:sz w:val="24"/>
          <w:lang w:val="it-IT"/>
        </w:rPr>
        <w:footnoteRef/>
      </w:r>
      <w:r w:rsidR="00D30C3D" w:rsidRPr="0064645E">
        <w:rPr>
          <w:sz w:val="24"/>
          <w:lang w:val="it-IT"/>
        </w:rPr>
        <w:t xml:space="preserve"> </w:t>
      </w:r>
      <w:r w:rsidR="00D30C3D" w:rsidRPr="0064645E">
        <w:rPr>
          <w:sz w:val="24"/>
          <w:lang w:val="it-IT"/>
        </w:rPr>
        <w:tab/>
      </w:r>
      <w:hyperlink r:id="rId5" w:history="1">
        <w:r w:rsidRPr="0064645E">
          <w:rPr>
            <w:rStyle w:val="Hyperlink"/>
            <w:sz w:val="24"/>
            <w:lang w:val="it-IT"/>
          </w:rPr>
          <w:t>https://www.osce.org/odihr/elections/montenegro</w:t>
        </w:r>
      </w:hyperlink>
      <w:r w:rsidRPr="0064645E">
        <w:rPr>
          <w:sz w:val="24"/>
          <w:lang w:val="it-IT"/>
        </w:rPr>
        <w:t>.</w:t>
      </w:r>
      <w:r w:rsidRPr="0064645E">
        <w:rPr>
          <w:color w:val="0000FF"/>
          <w:sz w:val="24"/>
          <w:u w:val="single" w:color="0000FF"/>
          <w:lang w:val="it-I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D4283" w14:textId="77777777" w:rsidR="00064002" w:rsidRPr="00D30C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FF90D" w14:textId="77777777" w:rsidR="00064002" w:rsidRPr="00D30C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232A7" w14:textId="77777777" w:rsidR="00064002" w:rsidRPr="00D30C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3/2025"/>
    <w:docVar w:name="dvlangue" w:val="IT"/>
    <w:docVar w:name="dvnumam" w:val="0"/>
    <w:docVar w:name="dvpe" w:val="769.896"/>
    <w:docVar w:name="dvrapporteur" w:val="Relatore: "/>
    <w:docVar w:name="dvtitre" w:val="Risoluzione del Parlamento europeo del ... giugno 2025 sulle relazioni 2023 e 2024 della Commissione sul Montenegro(2025/2020(INI))"/>
  </w:docVars>
  <w:rsids>
    <w:rsidRoot w:val="00E91696"/>
    <w:rsid w:val="00002272"/>
    <w:rsid w:val="00064002"/>
    <w:rsid w:val="000677B9"/>
    <w:rsid w:val="000831BA"/>
    <w:rsid w:val="000A42CC"/>
    <w:rsid w:val="000D6A5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F37"/>
    <w:rsid w:val="00545827"/>
    <w:rsid w:val="00560270"/>
    <w:rsid w:val="005C2568"/>
    <w:rsid w:val="005F1B17"/>
    <w:rsid w:val="006037C0"/>
    <w:rsid w:val="0064645E"/>
    <w:rsid w:val="006470A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C5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D0A"/>
    <w:rsid w:val="00A1687D"/>
    <w:rsid w:val="00A43E52"/>
    <w:rsid w:val="00A4678D"/>
    <w:rsid w:val="00A52022"/>
    <w:rsid w:val="00A778C7"/>
    <w:rsid w:val="00AB441E"/>
    <w:rsid w:val="00AB6293"/>
    <w:rsid w:val="00AE0928"/>
    <w:rsid w:val="00AF3B82"/>
    <w:rsid w:val="00B0511D"/>
    <w:rsid w:val="00B12E95"/>
    <w:rsid w:val="00B22876"/>
    <w:rsid w:val="00B558F0"/>
    <w:rsid w:val="00BB2CC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C3D"/>
    <w:rsid w:val="00D56C11"/>
    <w:rsid w:val="00D834A0"/>
    <w:rsid w:val="00D872DF"/>
    <w:rsid w:val="00D91E21"/>
    <w:rsid w:val="00DA7FCD"/>
    <w:rsid w:val="00E365E1"/>
    <w:rsid w:val="00E820A4"/>
    <w:rsid w:val="00E9169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73671"/>
  <w15:chartTrackingRefBased/>
  <w15:docId w15:val="{2EC98191-42A0-4BF5-AB57-F827D443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3D0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9E3D0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E3D0A"/>
    <w:pPr>
      <w:spacing w:after="240"/>
      <w:jc w:val="center"/>
    </w:pPr>
  </w:style>
  <w:style w:type="character" w:customStyle="1" w:styleId="BoldItalic">
    <w:name w:val="BoldItalic"/>
    <w:uiPriority w:val="1"/>
    <w:rsid w:val="009E3D0A"/>
    <w:rPr>
      <w:b/>
      <w:i/>
      <w:u w:val="none"/>
    </w:rPr>
  </w:style>
  <w:style w:type="character" w:customStyle="1" w:styleId="Italic">
    <w:name w:val="Italic"/>
    <w:uiPriority w:val="1"/>
    <w:rsid w:val="009E3D0A"/>
    <w:rPr>
      <w:i/>
    </w:rPr>
  </w:style>
  <w:style w:type="paragraph" w:customStyle="1" w:styleId="Normal12a24b">
    <w:name w:val="Normal12a24b"/>
    <w:basedOn w:val="Normal"/>
    <w:rsid w:val="009E3D0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E3D0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E3D0A"/>
    <w:rPr>
      <w:snapToGrid w:val="0"/>
      <w:sz w:val="24"/>
      <w:lang w:val="it-IT" w:eastAsia="en-US"/>
    </w:rPr>
  </w:style>
  <w:style w:type="paragraph" w:styleId="Revision">
    <w:name w:val="Revision"/>
    <w:hidden/>
    <w:uiPriority w:val="99"/>
    <w:semiHidden/>
    <w:rsid w:val="00BB2CC6"/>
    <w:rPr>
      <w:sz w:val="24"/>
      <w:lang w:val="it-IT"/>
    </w:rPr>
  </w:style>
  <w:style w:type="character" w:styleId="FollowedHyperlink">
    <w:name w:val="FollowedHyperlink"/>
    <w:basedOn w:val="DefaultParagraphFont"/>
    <w:rsid w:val="00BB2C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0/224/oj" TargetMode="External"/><Relationship Id="rId5" Type="http://schemas.openxmlformats.org/officeDocument/2006/relationships/hyperlink" Target="https://www.osce.org/odihr/elections/montenegro" TargetMode="External"/><Relationship Id="rId4" Type="http://schemas.openxmlformats.org/officeDocument/2006/relationships/hyperlink" Target="http://data.europa.eu/eli/C/2024/67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C8E2C-3656-446D-BD3E-10AB5978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7011</Words>
  <Characters>41868</Characters>
  <Application>Microsoft Office Word</Application>
  <DocSecurity>0</DocSecurity>
  <Lines>348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MUSIO Cristina</cp:lastModifiedBy>
  <cp:revision>2</cp:revision>
  <cp:lastPrinted>2004-11-19T15:42:00Z</cp:lastPrinted>
  <dcterms:created xsi:type="dcterms:W3CDTF">2025-07-24T15:59:00Z</dcterms:created>
  <dcterms:modified xsi:type="dcterms:W3CDTF">2025-07-24T15:59:00Z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