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188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91888" w:rsidRDefault="004E1357" w:rsidP="0010095E">
            <w:pPr>
              <w:pStyle w:val="EPName"/>
            </w:pPr>
            <w:r w:rsidRPr="00191888">
              <w:t>Parlament Europejski</w:t>
            </w:r>
          </w:p>
          <w:p w:rsidR="00751A4A" w:rsidRPr="0019188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1888">
              <w:t>2024</w:t>
            </w:r>
            <w:r w:rsidR="00817416" w:rsidRPr="00191888">
              <w:t>-202</w:t>
            </w:r>
            <w:r w:rsidRPr="0019188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91888" w:rsidRDefault="00187494" w:rsidP="0010095E">
            <w:pPr>
              <w:pStyle w:val="EPLogo"/>
            </w:pPr>
            <w:r w:rsidRPr="0019188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91888" w:rsidRDefault="00D058B8" w:rsidP="004C5D52">
      <w:pPr>
        <w:pStyle w:val="LineTop"/>
      </w:pPr>
    </w:p>
    <w:p w:rsidR="00680577" w:rsidRPr="00191888" w:rsidRDefault="004E1357" w:rsidP="00680577">
      <w:pPr>
        <w:pStyle w:val="EPBodyTA1"/>
      </w:pPr>
      <w:r w:rsidRPr="00191888">
        <w:t>TEKSTY PRZYJĘTE</w:t>
      </w:r>
    </w:p>
    <w:p w:rsidR="00D058B8" w:rsidRPr="00191888" w:rsidRDefault="00D058B8" w:rsidP="00D058B8">
      <w:pPr>
        <w:pStyle w:val="LineBottom"/>
      </w:pPr>
    </w:p>
    <w:p w:rsidR="004E1357" w:rsidRPr="00191888" w:rsidRDefault="004E1357" w:rsidP="004E1357">
      <w:pPr>
        <w:pStyle w:val="ATHeading1"/>
      </w:pPr>
      <w:bookmarkStart w:id="0" w:name="TANumber"/>
      <w:r w:rsidRPr="00191888">
        <w:t>P10_TA(2025)0</w:t>
      </w:r>
      <w:bookmarkEnd w:id="0"/>
      <w:r w:rsidR="00C355FF">
        <w:t>130</w:t>
      </w:r>
    </w:p>
    <w:p w:rsidR="004E1357" w:rsidRPr="00191888" w:rsidRDefault="004E1357" w:rsidP="004E1357">
      <w:pPr>
        <w:pStyle w:val="ATHeading2"/>
      </w:pPr>
      <w:bookmarkStart w:id="1" w:name="title"/>
      <w:r w:rsidRPr="00191888">
        <w:t>Sprawozdania Komisji w sprawie Czarnogóry za lata 2023 i 2024</w:t>
      </w:r>
      <w:bookmarkEnd w:id="1"/>
    </w:p>
    <w:p w:rsidR="004E1357" w:rsidRPr="00191888" w:rsidRDefault="004E1357" w:rsidP="004E1357">
      <w:pPr>
        <w:rPr>
          <w:i/>
          <w:vanish/>
        </w:rPr>
      </w:pPr>
      <w:r w:rsidRPr="00191888">
        <w:rPr>
          <w:i/>
        </w:rPr>
        <w:fldChar w:fldCharType="begin"/>
      </w:r>
      <w:r w:rsidRPr="00191888">
        <w:rPr>
          <w:i/>
        </w:rPr>
        <w:instrText xml:space="preserve"> TC"(</w:instrText>
      </w:r>
      <w:bookmarkStart w:id="2" w:name="DocNumber"/>
      <w:r w:rsidRPr="00191888">
        <w:rPr>
          <w:i/>
        </w:rPr>
        <w:instrText>A10-0093/2025</w:instrText>
      </w:r>
      <w:bookmarkEnd w:id="2"/>
      <w:r w:rsidRPr="00191888">
        <w:rPr>
          <w:i/>
        </w:rPr>
        <w:instrText xml:space="preserve"> - Sprawozdawca: Marjan Šarec)"\l3 \n&gt; \* MERGEFORMAT </w:instrText>
      </w:r>
      <w:r w:rsidRPr="00191888">
        <w:rPr>
          <w:i/>
        </w:rPr>
        <w:fldChar w:fldCharType="end"/>
      </w:r>
    </w:p>
    <w:p w:rsidR="004E1357" w:rsidRPr="00191888" w:rsidRDefault="004E1357" w:rsidP="004E1357">
      <w:pPr>
        <w:rPr>
          <w:vanish/>
        </w:rPr>
      </w:pPr>
      <w:bookmarkStart w:id="3" w:name="Commission"/>
      <w:r w:rsidRPr="00191888">
        <w:rPr>
          <w:vanish/>
        </w:rPr>
        <w:t>Komisja Spraw Zagranicznych</w:t>
      </w:r>
      <w:bookmarkEnd w:id="3"/>
    </w:p>
    <w:p w:rsidR="004E1357" w:rsidRPr="00191888" w:rsidRDefault="004E1357" w:rsidP="004E1357">
      <w:pPr>
        <w:rPr>
          <w:vanish/>
        </w:rPr>
      </w:pPr>
      <w:bookmarkStart w:id="4" w:name="PE"/>
      <w:r w:rsidRPr="00191888">
        <w:rPr>
          <w:vanish/>
        </w:rPr>
        <w:t>PE769.896</w:t>
      </w:r>
      <w:bookmarkEnd w:id="4"/>
    </w:p>
    <w:p w:rsidR="004E1357" w:rsidRPr="00191888" w:rsidRDefault="004E1357" w:rsidP="004E1357">
      <w:pPr>
        <w:pStyle w:val="ATHeading3"/>
      </w:pPr>
      <w:bookmarkStart w:id="5" w:name="Sujet"/>
      <w:r w:rsidRPr="00191888">
        <w:t xml:space="preserve">Rezolucja Parlamentu Europejskiego z dnia </w:t>
      </w:r>
      <w:r w:rsidR="00280C70">
        <w:t>18 czerwca</w:t>
      </w:r>
      <w:r w:rsidRPr="00191888">
        <w:t xml:space="preserve"> 2025 r. w sprawie sprawozdań Komisji dotyczących Czarnogóry za lata 2023 i 2024</w:t>
      </w:r>
      <w:bookmarkEnd w:id="5"/>
      <w:r w:rsidRPr="00191888">
        <w:t xml:space="preserve"> </w:t>
      </w:r>
      <w:bookmarkStart w:id="6" w:name="References"/>
      <w:r w:rsidRPr="00191888">
        <w:t>(2025/2020(INI))</w:t>
      </w:r>
      <w:bookmarkEnd w:id="6"/>
    </w:p>
    <w:p w:rsidR="00835CBB" w:rsidRPr="00191888" w:rsidRDefault="00835CBB" w:rsidP="00835CBB">
      <w:pPr>
        <w:pStyle w:val="EPComma"/>
      </w:pPr>
      <w:r w:rsidRPr="00191888">
        <w:rPr>
          <w:rStyle w:val="Italic"/>
        </w:rPr>
        <w:t>Parlament Europejski</w:t>
      </w:r>
      <w:r w:rsidRPr="00191888">
        <w:t>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Układ o stabilizacji i stowarzyszen</w:t>
      </w:r>
      <w:bookmarkStart w:id="7" w:name="_GoBack"/>
      <w:bookmarkEnd w:id="7"/>
      <w:r w:rsidRPr="00191888">
        <w:t>iu między Wspólnotami Europejskimi i ich państwami członkowskimi, z jednej strony, a Republiką Czarnogóry, z drugiej strony</w:t>
      </w:r>
      <w:r w:rsidRPr="00191888">
        <w:rPr>
          <w:rStyle w:val="FootnoteReference"/>
        </w:rPr>
        <w:footnoteReference w:id="1"/>
      </w:r>
      <w:r w:rsidRPr="00191888">
        <w:t>, który wszedł w życie 1 maja 2010 r.,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wniosek Czarnogóry o członkostwo w Unii Europejskiej złożony 15 grudnia 2008 r.,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opinię Komisji z 9 listopada 2010 r. w sprawie wniosku Czarnogóry o członkostwo w Unii Europejskiej (</w:t>
      </w:r>
      <w:hyperlink r:id="rId9" w:history="1">
        <w:r w:rsidRPr="00191888">
          <w:rPr>
            <w:rStyle w:val="Hyperlink"/>
          </w:rPr>
          <w:t>COM</w:t>
        </w:r>
        <w:proofErr w:type="gramStart"/>
        <w:r w:rsidRPr="00191888">
          <w:rPr>
            <w:rStyle w:val="Hyperlink"/>
          </w:rPr>
          <w:t>(2010)0670</w:t>
        </w:r>
      </w:hyperlink>
      <w:r w:rsidRPr="00191888">
        <w:t>), decyzję</w:t>
      </w:r>
      <w:proofErr w:type="gramEnd"/>
      <w:r w:rsidRPr="00191888">
        <w:t xml:space="preserve"> Rady Europejskiej z posiedzenia w dniach 16–17 grudnia 2010 r. o przyznaniu Czarnogórze statusu kraju kandydującego oraz decyzję Rady Europejskiej z 29 czerwca 2012 r. o otwarciu negocjacji akcesyjnych z Czarnogórą,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rozporządzenie Parlamentu Europejskiego i Rady (UE) 2021/1529 z dnia 15 września 2021 r. ustanawiające Instrument Pomocy Przedakcesyjnej (IPA III)</w:t>
      </w:r>
      <w:r w:rsidRPr="00191888">
        <w:rPr>
          <w:rStyle w:val="FootnoteReference"/>
        </w:rPr>
        <w:footnoteReference w:id="2"/>
      </w:r>
      <w:r w:rsidRPr="00191888">
        <w:t>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rozporządzenie Parlamentu Europejskiego i Rady (UE) 2024/1449 z dnia 14 maja 2024 r. w sprawie ustanowienia Instrumentu Wsparcia Reform i Wzrostu Gospodarczego na Bałkanach Zachodnich</w:t>
      </w:r>
      <w:r w:rsidRPr="00191888">
        <w:rPr>
          <w:rStyle w:val="FootnoteReference"/>
        </w:rPr>
        <w:footnoteReference w:id="3"/>
      </w:r>
      <w:r w:rsidRPr="00191888">
        <w:t>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konkluzje prezydencji z posiedzenia Rady Europejskiej w Salonikach w dniach 19–20 czerwca 2003 r.,</w:t>
      </w:r>
    </w:p>
    <w:p w:rsidR="00835CBB" w:rsidRPr="00191888" w:rsidRDefault="00835CBB" w:rsidP="00835CBB">
      <w:pPr>
        <w:pStyle w:val="NormalHanging12a"/>
      </w:pPr>
      <w:r w:rsidRPr="00191888">
        <w:lastRenderedPageBreak/>
        <w:t>–</w:t>
      </w:r>
      <w:r w:rsidRPr="00191888">
        <w:tab/>
        <w:t>uwzględniając deklarację z Sofii ze szczytu UE–Bałkany Zachodnie z 17 maja 2018 r. i załączony do niej program działań priorytetowych z Sofii,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deklaracje ze szczytów UE–Bałkany Zachodnie z 13 grudnia 2023 r. i 18 grudnia 2024 r., które odbyły się w Brukseli,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proces berliński zapoczątkowany 28 sierpnia 2014 r.,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komunikat Komisji z 6 października 2020 r. pt. „Plan gospodarczo-inwestycyjny dla Bałkanów Zachodnich” (</w:t>
      </w:r>
      <w:hyperlink r:id="rId10" w:history="1">
        <w:r w:rsidRPr="00191888">
          <w:rPr>
            <w:rStyle w:val="Hyperlink"/>
          </w:rPr>
          <w:t>COM(2020)0641</w:t>
        </w:r>
      </w:hyperlink>
      <w:r w:rsidRPr="00191888">
        <w:t>),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komunikat Komisji z 8 listopada 2023 r. pt. „Komunikat z 2023 r. w sprawie polityki rozszerzenia UE” (</w:t>
      </w:r>
      <w:hyperlink r:id="rId11" w:history="1">
        <w:r w:rsidRPr="00191888">
          <w:rPr>
            <w:rStyle w:val="Hyperlink"/>
          </w:rPr>
          <w:t>COM</w:t>
        </w:r>
        <w:proofErr w:type="gramStart"/>
        <w:r w:rsidRPr="00191888">
          <w:rPr>
            <w:rStyle w:val="Hyperlink"/>
          </w:rPr>
          <w:t>(2023)0690</w:t>
        </w:r>
      </w:hyperlink>
      <w:r w:rsidRPr="00191888">
        <w:t>) oraz</w:t>
      </w:r>
      <w:proofErr w:type="gramEnd"/>
      <w:r w:rsidRPr="00191888">
        <w:t xml:space="preserve"> towarzyszący mu dokument roboczy służb Komisji pt. „Sprawozdanie dotyczące Czarnogóry za rok 2023” (</w:t>
      </w:r>
      <w:hyperlink r:id="rId12" w:history="1">
        <w:r w:rsidRPr="00191888">
          <w:rPr>
            <w:rStyle w:val="Hyperlink"/>
          </w:rPr>
          <w:t>SWD(2023)0694</w:t>
        </w:r>
      </w:hyperlink>
      <w:r w:rsidRPr="00191888">
        <w:t>),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komunikat Komisji z 8 listopada 2023 r. pt. „Nowy plan wzrostu gospodarczego dla Bałkanów Zachodnich” (</w:t>
      </w:r>
      <w:hyperlink r:id="rId13" w:history="1">
        <w:r w:rsidRPr="00191888">
          <w:rPr>
            <w:rStyle w:val="Hyperlink"/>
          </w:rPr>
          <w:t>COM(2023)0691</w:t>
        </w:r>
      </w:hyperlink>
      <w:r w:rsidRPr="00191888">
        <w:t>),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komunikat Komisji z 20 marca 2024 r. w sprawie reform poprzedzających rozszerzenie oraz przeglądów polityki (</w:t>
      </w:r>
      <w:hyperlink r:id="rId14" w:history="1">
        <w:r w:rsidRPr="00191888">
          <w:rPr>
            <w:rStyle w:val="Hyperlink"/>
          </w:rPr>
          <w:t>COM(2024)0146</w:t>
        </w:r>
      </w:hyperlink>
      <w:r w:rsidRPr="00191888">
        <w:t>),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komunikat Komisji z 24 lipca 2024 r. pt. „Sprawozdanie na temat praworządności z 2024 r.” (</w:t>
      </w:r>
      <w:hyperlink r:id="rId15" w:history="1">
        <w:r w:rsidRPr="00191888">
          <w:rPr>
            <w:rStyle w:val="Hyperlink"/>
          </w:rPr>
          <w:t>COM</w:t>
        </w:r>
        <w:proofErr w:type="gramStart"/>
        <w:r w:rsidRPr="00191888">
          <w:rPr>
            <w:rStyle w:val="Hyperlink"/>
          </w:rPr>
          <w:t>(2024)0800</w:t>
        </w:r>
      </w:hyperlink>
      <w:r w:rsidRPr="00191888">
        <w:t>) oraz</w:t>
      </w:r>
      <w:proofErr w:type="gramEnd"/>
      <w:r w:rsidRPr="00191888">
        <w:t xml:space="preserve"> towarzyszący mu dokument roboczy służb Komisji pt. „Sprawozdanie na temat praworządności z 2024 r. – Sytuacja w zakresie praworządności w Unii Europejskiej: Rozdział dotyczący sytuacji w zakresie praworządności w Czarnogórze” (</w:t>
      </w:r>
      <w:hyperlink r:id="rId16" w:history="1">
        <w:r w:rsidRPr="00191888">
          <w:rPr>
            <w:rStyle w:val="Hyperlink"/>
          </w:rPr>
          <w:t>SWD(2024)0829</w:t>
        </w:r>
      </w:hyperlink>
      <w:r w:rsidRPr="00191888">
        <w:t>),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komunikat Komisji z 30 października 2024 r. pt. „Komunikat z 2024 r. w sprawie polityki rozszerzenia UE” (</w:t>
      </w:r>
      <w:hyperlink r:id="rId17" w:history="1">
        <w:r w:rsidRPr="00191888">
          <w:rPr>
            <w:rStyle w:val="Hyperlink"/>
          </w:rPr>
          <w:t>COM</w:t>
        </w:r>
        <w:proofErr w:type="gramStart"/>
        <w:r w:rsidRPr="00191888">
          <w:rPr>
            <w:rStyle w:val="Hyperlink"/>
          </w:rPr>
          <w:t>(2024)0690</w:t>
        </w:r>
      </w:hyperlink>
      <w:r w:rsidRPr="00191888">
        <w:t>) oraz</w:t>
      </w:r>
      <w:proofErr w:type="gramEnd"/>
      <w:r w:rsidRPr="00191888">
        <w:t xml:space="preserve"> towarzyszący mu dokument roboczy służb Komisji pt. „Sprawozdanie dotyczące Czarnogóry za rok 2024” (</w:t>
      </w:r>
      <w:hyperlink r:id="rId18" w:history="1">
        <w:r w:rsidRPr="00191888">
          <w:rPr>
            <w:rStyle w:val="Hyperlink"/>
          </w:rPr>
          <w:t>SWD(2024)0694</w:t>
        </w:r>
      </w:hyperlink>
      <w:r w:rsidRPr="00191888">
        <w:t>),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przeprowadzone przez Komisję przegląd i oceny kraju z 31 maja 2023 r. i 13 czerwca 2024 r. dotyczące programu reform gospodarczych Czarnogóry, wspólne wnioski z dialogu gospodarczo-finansowego między UE a Bałkanami Zachodnimi i Turcją przyjęte przez Radę 16 maja 2023 r. oraz wspólne wnioski z dialogu gospodarczo-finansowego między UE a partnerami z Bałkanów Zachodnich, Turcją, Gruzją, Republiką Mołdawii i Ukrainą przyjęte przez Radę 14 maja 2024 r.,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międzyrządowe konferencje w sprawie przystąpienia Czarnogóry do UE z 22 czerwca 2021 r., 13 grudnia 2021 r., 29 stycznia 2024 r., 26 czerwca 2024 r. i 16 grudnia 2024 r.,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 xml:space="preserve">uwzględniając 11. </w:t>
      </w:r>
      <w:proofErr w:type="gramStart"/>
      <w:r w:rsidRPr="00191888">
        <w:t>posiedzenie</w:t>
      </w:r>
      <w:proofErr w:type="gramEnd"/>
      <w:r w:rsidRPr="00191888">
        <w:t xml:space="preserve"> Rady Stabilizacji i Stowarzyszenia UE–Czarnogóra z 14 lipca 2022 r.,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 xml:space="preserve">uwzględniając deklarację oraz zalecenia przyjęte na 22. </w:t>
      </w:r>
      <w:proofErr w:type="gramStart"/>
      <w:r w:rsidRPr="00191888">
        <w:t>posiedzeniu</w:t>
      </w:r>
      <w:proofErr w:type="gramEnd"/>
      <w:r w:rsidRPr="00191888">
        <w:t xml:space="preserve"> Parlamentarnego Komitetu Stabilizacji i Stowarzyszenia UE–Czarnogóra, które odbyło się w dniach 31 października – 1 listopada 2024 r.,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przystąpienie Czarnogóry do NATO 5 czerwca 2017 r.,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sprawozdanie specjalne Europejskiego Trybunału Obrachunkowego nr 01/2022 z 10 stycznia 2022 r. zatytułowane „Wsparcie UE na rzecz praworządności na Bałkanach Zachodnich – pomimo poczynionych wysiłków wciąż występują zasadnicze problemy”,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Konwencję Rady Europy o zapobieganiu i zwalczaniu przemocy wobec kobiet i przemocy domowej (konwencja stambulska), ratyfikowaną przez Czarnogórę w 2013 r., oraz zalecenia Komisji w sprawie równości płci i zwalczania przemocy ze względu na płeć,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report na temat światowego rankingu wolności prasy publikowany co roku przez Reporterów bez Granic,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dane Biura UNHCR dotyczące sytuacji uchodźców ukraińskich z kwietnia 2025 r.,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swoje zalecenie z 23 listopada 2022 r. dla Rady, Komisji i wiceprzewodniczącego Komisji / wysokiego przedstawiciela Unii do spraw zagranicznych i polityki bezpieczeństwa w sprawie nowej strategii rozszerzenia UE</w:t>
      </w:r>
      <w:r w:rsidRPr="00191888">
        <w:rPr>
          <w:rStyle w:val="FootnoteReference"/>
        </w:rPr>
        <w:footnoteReference w:id="4"/>
      </w:r>
      <w:r w:rsidRPr="00191888">
        <w:t>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swoje poprzednie rezolucje w sprawie Czarnogóry,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swoją rezolucję z 29 lutego 2024 r. w sprawie pogłębienia integracji europejskiej z myślą o przyszłym rozszerzeniu</w:t>
      </w:r>
      <w:r w:rsidRPr="00191888">
        <w:rPr>
          <w:vertAlign w:val="superscript"/>
        </w:rPr>
        <w:footnoteReference w:id="5"/>
      </w:r>
      <w:r w:rsidRPr="00191888">
        <w:t>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art. 55 Regulaminu,</w:t>
      </w:r>
    </w:p>
    <w:p w:rsidR="00835CBB" w:rsidRPr="00191888" w:rsidRDefault="00835CBB" w:rsidP="00835CBB">
      <w:pPr>
        <w:pStyle w:val="NormalHanging12a"/>
      </w:pPr>
      <w:r w:rsidRPr="00191888">
        <w:t>–</w:t>
      </w:r>
      <w:r w:rsidRPr="00191888">
        <w:tab/>
        <w:t>uwzględniając sprawozdanie Komisji Spraw Zagranicznych (A10-0093/2025),</w:t>
      </w:r>
    </w:p>
    <w:p w:rsidR="00835CBB" w:rsidRPr="00191888" w:rsidRDefault="00835CBB" w:rsidP="00835CBB">
      <w:pPr>
        <w:pStyle w:val="NormalHanging12a"/>
      </w:pPr>
      <w:r w:rsidRPr="00191888">
        <w:t>A.</w:t>
      </w:r>
      <w:r w:rsidRPr="00191888">
        <w:tab/>
      </w:r>
      <w:proofErr w:type="gramStart"/>
      <w:r w:rsidRPr="00191888">
        <w:t>mając</w:t>
      </w:r>
      <w:proofErr w:type="gramEnd"/>
      <w:r w:rsidRPr="00191888">
        <w:t xml:space="preserve"> na uwadze, że rozszerzenie jest najważniejszym narzędziem polityki zagranicznej UE oraz strategiczną geopolityczną inwestycją w pokój, stabilność, bezpieczeństwo i dobrobyt;</w:t>
      </w:r>
    </w:p>
    <w:p w:rsidR="00835CBB" w:rsidRPr="00191888" w:rsidRDefault="00835CBB" w:rsidP="00835CBB">
      <w:pPr>
        <w:pStyle w:val="NormalHanging12a"/>
      </w:pPr>
      <w:r w:rsidRPr="00191888">
        <w:t>B.</w:t>
      </w:r>
      <w:r w:rsidRPr="00191888">
        <w:tab/>
        <w:t>mając na uwadze, że nowa dynamika rozszerzenia, wywołana zmieniającą się rzeczywistością geopolityczną oraz wnioskami kilku krajów Partnerstwa Wschodniego o członkostwo w UE, skłoniła UE do przyspieszenia działań na rzecz długo oczekiwanego wywiązania się z zobowiązań wobec Bałkanów Zachodnich; mając na uwadze, że przyszłość krajów Bałkanów Zachodnich leży w UE;</w:t>
      </w:r>
    </w:p>
    <w:p w:rsidR="00835CBB" w:rsidRPr="00191888" w:rsidRDefault="00835CBB" w:rsidP="00835CBB">
      <w:pPr>
        <w:pStyle w:val="NormalHanging12a"/>
      </w:pPr>
      <w:r w:rsidRPr="00191888">
        <w:t>C.</w:t>
      </w:r>
      <w:r w:rsidRPr="00191888">
        <w:tab/>
      </w:r>
      <w:proofErr w:type="gramStart"/>
      <w:r w:rsidRPr="00191888">
        <w:t>mając</w:t>
      </w:r>
      <w:proofErr w:type="gramEnd"/>
      <w:r w:rsidRPr="00191888">
        <w:t xml:space="preserve"> na uwadze, że każdy kraj jest oceniany na podstawie własnych osiągnięć pod względem spełniania kryteriów kopenhaskich, obejmujących pełne poszanowanie demokracji, praworządności, dobrych rządów i podstawowych wartości UE oraz dostosowanie się do unijnej polityki zagranicznej i bezpieczeństwa; mając na uwadze, że wdrożenie niezbędnych reform w dziedzinie „kwestii podstawowych” określa harmonogram i postępy w procesie akcesyjnym;</w:t>
      </w:r>
    </w:p>
    <w:p w:rsidR="00835CBB" w:rsidRPr="00191888" w:rsidRDefault="00835CBB" w:rsidP="00835CBB">
      <w:pPr>
        <w:pStyle w:val="NormalHanging12a"/>
      </w:pPr>
      <w:r w:rsidRPr="00191888">
        <w:t>D.</w:t>
      </w:r>
      <w:r w:rsidRPr="00191888">
        <w:tab/>
      </w:r>
      <w:proofErr w:type="gramStart"/>
      <w:r w:rsidRPr="00191888">
        <w:t>mając</w:t>
      </w:r>
      <w:proofErr w:type="gramEnd"/>
      <w:r w:rsidRPr="00191888">
        <w:t xml:space="preserve"> na uwadze, że Czarnogóra poczyniła największe postępy w procesie akcesyjnym – otwarto wszystkie 33 rozdziały unijnego dorobku prawnego, a sześć zostało tymczasowo zamkniętych – a przystąpienie do UE cieszy się w tym kraju znacznym poparciem społecznym;</w:t>
      </w:r>
    </w:p>
    <w:p w:rsidR="00835CBB" w:rsidRPr="00191888" w:rsidRDefault="00835CBB" w:rsidP="00835CBB">
      <w:pPr>
        <w:pStyle w:val="NormalHanging12a"/>
      </w:pPr>
      <w:r w:rsidRPr="00191888">
        <w:t>E</w:t>
      </w:r>
      <w:r w:rsidR="00280C70">
        <w:t>.</w:t>
      </w:r>
      <w:r w:rsidRPr="00191888">
        <w:tab/>
      </w:r>
      <w:proofErr w:type="gramStart"/>
      <w:r w:rsidRPr="00191888">
        <w:t>mając</w:t>
      </w:r>
      <w:proofErr w:type="gramEnd"/>
      <w:r w:rsidRPr="00191888">
        <w:t xml:space="preserve"> na uwadze, że UE jest dla Czarnogóry największym partnerem handlowym, inwestorem i dostarczycielem pomocy finansowej; </w:t>
      </w:r>
    </w:p>
    <w:p w:rsidR="00835CBB" w:rsidRPr="00191888" w:rsidRDefault="00835CBB" w:rsidP="00835CBB">
      <w:pPr>
        <w:pStyle w:val="NormalHanging12a"/>
      </w:pPr>
      <w:r w:rsidRPr="00191888">
        <w:t>F</w:t>
      </w:r>
      <w:r w:rsidR="00280C70">
        <w:t>.</w:t>
      </w:r>
      <w:r w:rsidRPr="00191888">
        <w:tab/>
      </w:r>
      <w:proofErr w:type="gramStart"/>
      <w:r w:rsidRPr="00191888">
        <w:t>mając</w:t>
      </w:r>
      <w:proofErr w:type="gramEnd"/>
      <w:r w:rsidRPr="00191888">
        <w:t xml:space="preserve"> na uwadze, że Czarnogóra jest narażona na szkodliwe wpływy zagraniczne, kampanie dezinformacyjne i inne formy wywierania wpływu, w tym ingerowanie w wybory, strategie wojny hybrydowej i niekorzystne inwestycje ze strony podmiotów spoza UE, w szczególności Rosji i Chin, które próbują wpłynąć na trajektorię polityczną, gospodarczą i strategiczną Czarnogóry oraz podważyć procesy demokratyczne i integralność mediów, zagrażając perspektywom przystąpienia tego kraju do UE;</w:t>
      </w:r>
    </w:p>
    <w:p w:rsidR="00835CBB" w:rsidRPr="00191888" w:rsidRDefault="00835CBB" w:rsidP="00835CBB">
      <w:pPr>
        <w:pStyle w:val="NormalHanging12a"/>
      </w:pPr>
      <w:r w:rsidRPr="00191888">
        <w:t>G.</w:t>
      </w:r>
      <w:r w:rsidRPr="00191888">
        <w:tab/>
        <w:t>mając na uwadze, że 8 czerwca 2024 r. w Belgradzie odbyło się „</w:t>
      </w:r>
      <w:proofErr w:type="spellStart"/>
      <w:r w:rsidRPr="00191888">
        <w:t>Ogólnoserbskie</w:t>
      </w:r>
      <w:proofErr w:type="spellEnd"/>
      <w:r w:rsidRPr="00191888">
        <w:t xml:space="preserve"> Zgromadzenie” z udziałem wysokich rangą parlamentarzystów pod hasłem „Jeden naród, jedno zgromadzenie”;</w:t>
      </w:r>
    </w:p>
    <w:p w:rsidR="00835CBB" w:rsidRPr="00191888" w:rsidRDefault="00835CBB" w:rsidP="00835CBB">
      <w:pPr>
        <w:pStyle w:val="Normal12a24b"/>
      </w:pPr>
      <w:r w:rsidRPr="00191888">
        <w:rPr>
          <w:rStyle w:val="BoldItalic"/>
        </w:rPr>
        <w:t>Zaangażowanie na rzecz przystąpienia do UE</w:t>
      </w:r>
    </w:p>
    <w:p w:rsidR="00835CBB" w:rsidRPr="00191888" w:rsidRDefault="00835CBB" w:rsidP="00835CBB">
      <w:pPr>
        <w:pStyle w:val="NormalHanging12a"/>
      </w:pPr>
      <w:r w:rsidRPr="00191888">
        <w:t>1.</w:t>
      </w:r>
      <w:r w:rsidRPr="00191888">
        <w:tab/>
      </w:r>
      <w:proofErr w:type="gramStart"/>
      <w:r w:rsidRPr="00191888">
        <w:t>uznaje</w:t>
      </w:r>
      <w:proofErr w:type="gramEnd"/>
      <w:r w:rsidRPr="00191888">
        <w:t xml:space="preserve"> zdecydowane zaangażowanie Czarnogóry na rzecz przystąpienia do UE i potwierdza swoje pełne poparcie dla przyszłego członkostwa tego kraju w UE; z zadowoleniem przyjmuje czołową pozycję Czarnogóry w regionie w procesie przystąpienia do UE i zdecydowane poparcie obywateli Czarnogóry i większości podmiotów politycznych dla przystąpienia do UE w 2028 r.;</w:t>
      </w:r>
    </w:p>
    <w:p w:rsidR="00835CBB" w:rsidRPr="00191888" w:rsidRDefault="00835CBB" w:rsidP="00835CBB">
      <w:pPr>
        <w:pStyle w:val="NormalHanging12a"/>
      </w:pPr>
      <w:r w:rsidRPr="00191888">
        <w:t>2.</w:t>
      </w:r>
      <w:r w:rsidRPr="00191888">
        <w:tab/>
      </w:r>
      <w:proofErr w:type="gramStart"/>
      <w:r w:rsidRPr="00191888">
        <w:t>z</w:t>
      </w:r>
      <w:proofErr w:type="gramEnd"/>
      <w:r w:rsidRPr="00191888">
        <w:t xml:space="preserve"> zadowoleniem przyjmuje postępy Czarnogóry we wdrażaniu reform i środków związanych z UE, w oparciu o ambitny harmonogram, i apeluje o wspólne starania sił politycznych, społeczeństwa obywatelskiego i obywateli; wyraża uznanie dla Czarnogóry za spełnienie kryteriów pośrednich dotyczących rozdziałów 23 i 24, co nadal wyznacza ogólne tempo negocjacji, oraz za otrzymanie pozytywnego sprawozdania z oceny spełnienia kryteriów pośrednich; z zadowoleniem przyjmuje zamknięcie kolejnych trzech rozdziałów negocjacyjnych, czyli łącznie już sześciu rozdziałów;</w:t>
      </w:r>
    </w:p>
    <w:p w:rsidR="00835CBB" w:rsidRPr="00191888" w:rsidRDefault="00835CBB" w:rsidP="00835CBB">
      <w:pPr>
        <w:pStyle w:val="NormalHanging12a"/>
      </w:pPr>
      <w:r w:rsidRPr="00191888">
        <w:t>3.</w:t>
      </w:r>
      <w:r w:rsidRPr="00191888">
        <w:tab/>
      </w:r>
      <w:proofErr w:type="gramStart"/>
      <w:r w:rsidRPr="00191888">
        <w:t>zachęca</w:t>
      </w:r>
      <w:proofErr w:type="gramEnd"/>
      <w:r w:rsidRPr="00191888">
        <w:t xml:space="preserve"> wszystkie podmioty polityczne, by w dalszym ciągu skupiały się na integracji z UE i potrzebnych reformach; podkreśla potrzebę stabilności politycznej, determinacji i konstruktywnego zaangażowania w budowanie konsensusu ponad podziałami partyjnymi, aby móc szybko i skuteczniej zamknąć kolejne rozdziały w 2025 r. z myślą o dotrzymaniu ambitnego harmonogramu krajowego; podkreśla, że przyjęte reformy muszą być skutecznie i konsekwentnie wdrażane, aby zapewnić rzeczywiste postępy i pełne dostosowanie do prawodawstwa UE; apeluje o wzmocnienie funkcjonowania instytucji państwowych i koordynacji między nimi w celu osiągnięcia stabilności politycznej i kontynuowania znacznych postępów tego kraju we wdrażaniu kluczowych reforma związanych z UE, w szczególności reform ordynacji </w:t>
      </w:r>
      <w:proofErr w:type="gramStart"/>
      <w:r w:rsidRPr="00191888">
        <w:t>wyborczej</w:t>
      </w:r>
      <w:proofErr w:type="gramEnd"/>
      <w:r w:rsidRPr="00191888">
        <w:t xml:space="preserve"> i sądownictwa, a także w dziedzinie zwalczania przestępczości zorganizowanej i korupcji;</w:t>
      </w:r>
    </w:p>
    <w:p w:rsidR="00835CBB" w:rsidRPr="00191888" w:rsidRDefault="00835CBB" w:rsidP="00835CBB">
      <w:pPr>
        <w:pStyle w:val="NormalHanging12a"/>
      </w:pPr>
      <w:r w:rsidRPr="00191888">
        <w:t>4.</w:t>
      </w:r>
      <w:r w:rsidRPr="00191888">
        <w:tab/>
      </w:r>
      <w:proofErr w:type="gramStart"/>
      <w:r w:rsidRPr="00191888">
        <w:t>podkreśla</w:t>
      </w:r>
      <w:proofErr w:type="gramEnd"/>
      <w:r w:rsidRPr="00191888">
        <w:t>, że wiarygodność UE, w tym jej całej polityki rozszerzenia, zostanie podważona, jeżeli wymierne postępy osiągnięte przez niektóre kraje Bałkanów Zachodnich nie przełożą się na wyraźne postępy na drodze do przystąpienia do UE;</w:t>
      </w:r>
    </w:p>
    <w:p w:rsidR="00835CBB" w:rsidRPr="00191888" w:rsidRDefault="00835CBB" w:rsidP="00835CBB">
      <w:pPr>
        <w:pStyle w:val="NormalHanging12a"/>
      </w:pPr>
      <w:r w:rsidRPr="00191888">
        <w:t>5.</w:t>
      </w:r>
      <w:r w:rsidRPr="00191888">
        <w:tab/>
      </w:r>
      <w:proofErr w:type="gramStart"/>
      <w:r w:rsidRPr="00191888">
        <w:t>z</w:t>
      </w:r>
      <w:proofErr w:type="gramEnd"/>
      <w:r w:rsidRPr="00191888">
        <w:t xml:space="preserve"> zadowoleniem przyjmuje nieustanne pełne dostosowywanie się Czarnogóry do wspólnej polityki zagranicznej i bezpieczeństwa (</w:t>
      </w:r>
      <w:proofErr w:type="spellStart"/>
      <w:r w:rsidRPr="00191888">
        <w:t>WPZiB</w:t>
      </w:r>
      <w:proofErr w:type="spellEnd"/>
      <w:r w:rsidRPr="00191888">
        <w:t xml:space="preserve">) UE, w tym do unijnych środków ograniczających, związanych m.in. z rosyjską wojną napastniczą przeciwko Ukrainie i z cyberatakami, a także poparcie Czarnogóry dla międzynarodowego porządku opartego na zasadach na szczeblu ONZ; zachęca Czarnogórę, by skuteczniej egzekwowała środki ograniczające i unikała ich obchodzenia oraz by zajmowała mienie osób objętych sankcjami; wzywa wszystkich przedstawicieli rządu, by poszanowali i promowali dostosowanie do </w:t>
      </w:r>
      <w:proofErr w:type="spellStart"/>
      <w:r w:rsidRPr="00191888">
        <w:t>WPZiB</w:t>
      </w:r>
      <w:proofErr w:type="spellEnd"/>
      <w:r w:rsidRPr="00191888">
        <w:t xml:space="preserve"> i wartości UE oraz by powstrzymywali się od wszelkich działań, które mogą zagrozić strategicznej ścieżce Czarnogóry do członkostwa w UE i jej suwerenności; jest </w:t>
      </w:r>
      <w:proofErr w:type="gramStart"/>
      <w:r w:rsidRPr="00191888">
        <w:t>w</w:t>
      </w:r>
      <w:proofErr w:type="gramEnd"/>
      <w:r w:rsidRPr="00191888">
        <w:t xml:space="preserve"> tym kontekście głęboko zaniepokojony oświadczeniami wysokich rangą urzędników publicznych popierających prezydenta Republiki Serbskiej </w:t>
      </w:r>
      <w:proofErr w:type="spellStart"/>
      <w:r w:rsidRPr="00191888">
        <w:t>Milorada</w:t>
      </w:r>
      <w:proofErr w:type="spellEnd"/>
      <w:r w:rsidRPr="00191888">
        <w:t xml:space="preserve"> </w:t>
      </w:r>
      <w:proofErr w:type="spellStart"/>
      <w:r w:rsidRPr="00191888">
        <w:t>Dodika</w:t>
      </w:r>
      <w:proofErr w:type="spellEnd"/>
      <w:r w:rsidRPr="00191888">
        <w:t>, który podważa suwerenność i integralność terytorialną Bośni i Hercegowiny; wyraża ubolewanie z powodu udziału wysokich rangą parlamentarzystów Czarnogóry w „</w:t>
      </w:r>
      <w:proofErr w:type="spellStart"/>
      <w:r w:rsidRPr="00191888">
        <w:t>Ogólnoserbskim</w:t>
      </w:r>
      <w:proofErr w:type="spellEnd"/>
      <w:r w:rsidRPr="00191888">
        <w:t xml:space="preserve"> Zgromadzeniu” w Belgradzie oraz ich poparcia dla przyjętej przy tej okazji deklaracji podważającej suwerenność Czarnogóry, Bośni i Hercegowiny oraz Kosowa;</w:t>
      </w:r>
    </w:p>
    <w:p w:rsidR="00835CBB" w:rsidRPr="00191888" w:rsidRDefault="00835CBB" w:rsidP="00835CBB">
      <w:pPr>
        <w:pStyle w:val="NormalHanging12a"/>
      </w:pPr>
      <w:r w:rsidRPr="00191888">
        <w:t>6.</w:t>
      </w:r>
      <w:r w:rsidRPr="00191888">
        <w:tab/>
      </w:r>
      <w:proofErr w:type="gramStart"/>
      <w:r w:rsidRPr="00191888">
        <w:t>podkreśla</w:t>
      </w:r>
      <w:proofErr w:type="gramEnd"/>
      <w:r w:rsidRPr="00191888">
        <w:t xml:space="preserve"> strategiczne znaczenie członkostwa Czarnogóry w NATO i z zadowoleniem przyjmuje aktywne zaangażowanie Czarnogóry w misje i operacje prowadzone w ramach wspólnej polityki bezpieczeństwa i obrony UE, takie jak unijna operacja sił morskich Atalanta, a także w misje NATO oraz inne misje międzynarodowe i wielostronne; z zadowoleniem przyjmuje decyzję Rady Obrony i Bezpieczeństwa Czarnogóry o zatwierdzeniu udziału jej sił zbrojnych w misji UE w zakresie pomocy wojskowej dla Ukrainy oraz w inicjatywie NATO – Wspieranie Bezpieczeństwa i Szkoleń na rzecz Ukrainy i wzywa parlament Czarnogóry do przyjęcia tych decyzji, co wzmocni zaangażowanie tego kraju na rzecz bezpieczeństwa zbiorowego;</w:t>
      </w:r>
    </w:p>
    <w:p w:rsidR="00835CBB" w:rsidRPr="00191888" w:rsidRDefault="00835CBB" w:rsidP="00835CBB">
      <w:pPr>
        <w:pStyle w:val="NormalHanging12a"/>
      </w:pPr>
      <w:r w:rsidRPr="00191888">
        <w:t>7.</w:t>
      </w:r>
      <w:r w:rsidRPr="00191888">
        <w:tab/>
      </w:r>
      <w:proofErr w:type="gramStart"/>
      <w:r w:rsidRPr="00191888">
        <w:t>wyraża</w:t>
      </w:r>
      <w:proofErr w:type="gramEnd"/>
      <w:r w:rsidRPr="00191888">
        <w:t xml:space="preserve"> uznanie dla Czarnogóry za wsparcie humanitarne i materialne dla Ukrainy oraz za przedłużenie mechanizmu tymczasowej ochrony, który przyznaje osobom uciekającym z Ukrainy prawo do pozostania w Czarnogórze przez rok; przypomina, że Czarnogóra należy do krajów Bałkanów Zachodnich przyjmujących największą liczbę uchodźców ukraińskich: według danych statystycznych UNHCR do 31 stycznia 2025 r. w Czarnogórze zarejestrowano ponad 18 800 uchodźców z Ukrainy;</w:t>
      </w:r>
    </w:p>
    <w:p w:rsidR="00835CBB" w:rsidRPr="00191888" w:rsidRDefault="00835CBB" w:rsidP="00835CBB">
      <w:pPr>
        <w:pStyle w:val="NormalHanging12a"/>
      </w:pPr>
      <w:r w:rsidRPr="00191888">
        <w:t>8.</w:t>
      </w:r>
      <w:r w:rsidRPr="00191888">
        <w:tab/>
      </w:r>
      <w:proofErr w:type="gramStart"/>
      <w:r w:rsidRPr="00191888">
        <w:t>jest</w:t>
      </w:r>
      <w:proofErr w:type="gramEnd"/>
      <w:r w:rsidRPr="00191888">
        <w:t xml:space="preserve"> nadal poważnie zaniepokojony szkodliwymi obcymi ingerencjami, próbami destabilizacji, cyberatakami, zagrożeniami hybrydowymi i kampaniami dezinformacyjnymi, w tym próbami wpływania na procesy polityczne i opinię publiczną, ze strony podmiotów z państw trzecich; działania te dyskredytują UE i podważają postępy Czarnogóry na jej europejskiej drodze; wzywa Czarnogórę do przyjęcia środków zaradczych w ramach ściślejszej współpracy z UE i NATO oraz poprzez ściślejszą współpracę regionalną między krajami Bałkanów Zachodnich; zauważa, że instytucje religijne mogą być wykorzystywane jako narzędzie zewnętrznych wpływów, i potępia wszelką nieuzasadnioną ingerencję serbskiego Kościoła Prawosławnego w tym zakresie; ponownie podkreśla, jak ważne jest budowanie odporności na zagraniczne manipulacje informacjami i </w:t>
      </w:r>
      <w:proofErr w:type="gramStart"/>
      <w:r w:rsidRPr="00191888">
        <w:t>ingerencje</w:t>
      </w:r>
      <w:proofErr w:type="gramEnd"/>
      <w:r w:rsidRPr="00191888">
        <w:t xml:space="preserve"> w informacje, w tym poprzez większy nadzór nad krajobrazem medialnym, kampanie uświadamiające i programy na rzecz umiejętności korzystania z mediów; zaleca Czarnogórze ustanowienie specjalnej grupy zadaniowej ds. zagrożeń hybrydowych;</w:t>
      </w:r>
    </w:p>
    <w:p w:rsidR="00835CBB" w:rsidRPr="00191888" w:rsidRDefault="00835CBB" w:rsidP="00835CBB">
      <w:pPr>
        <w:pStyle w:val="NormalHanging12a"/>
      </w:pPr>
      <w:r w:rsidRPr="00191888">
        <w:t>9.</w:t>
      </w:r>
      <w:r w:rsidRPr="00191888">
        <w:tab/>
      </w:r>
      <w:proofErr w:type="gramStart"/>
      <w:r w:rsidRPr="00191888">
        <w:t>wzywa</w:t>
      </w:r>
      <w:proofErr w:type="gramEnd"/>
      <w:r w:rsidRPr="00191888">
        <w:t xml:space="preserve"> Komisję, Europejską Służbę Działań Zewnętrznych (ESDZ) i delegaturę UE w Czarnogórze oraz władze Czarnogóry, by usprawniły strategiczną komunikację z obywatelami Czarnogóry na temat korzyści płynących z procesu rozszerzenia i członkostwa w UE, a także na temat konkretnych kryteriów przystąpienia, które Czarnogóra musi jeszcze spełnić, aby dostosować się do wymogów UE; ponadto wzywa je do poprawienia widoczności UE w tym kraju, w tym w odniesieniu do projektów finansowanych przez UE; apeluje o rozszerzenie monitorowania prowadzonego przez grupę zadaniową </w:t>
      </w:r>
      <w:proofErr w:type="spellStart"/>
      <w:r w:rsidRPr="00191888">
        <w:t>StratCom</w:t>
      </w:r>
      <w:proofErr w:type="spellEnd"/>
      <w:r w:rsidRPr="00191888">
        <w:t xml:space="preserve">, tak aby skupić się na transgranicznych zagrożeniach dezinformacyjnych dla krajów Bałkanów Zachodnich i krajów z nimi sąsiadujących; wzywa Komisję do dalszego </w:t>
      </w:r>
      <w:proofErr w:type="gramStart"/>
      <w:r w:rsidRPr="00191888">
        <w:t>wspierania</w:t>
      </w:r>
      <w:proofErr w:type="gramEnd"/>
      <w:r w:rsidRPr="00191888">
        <w:t xml:space="preserve"> starań ESDZ i grupy zadaniowej ds. Bałkanów Zachodnich, aby rozszerzyć ich działania informacyjne dzięki zwiększeniu widoczności w mediach lokalnych, publikowaniu sprawozdań z weryfikacji informacji oraz nawiązaniu współpracy partnerskiej z organizacjami społeczeństwa obywatelskiego, aby skuteczniej zwalczać fałszywe narracje;</w:t>
      </w:r>
    </w:p>
    <w:p w:rsidR="00835CBB" w:rsidRPr="00191888" w:rsidRDefault="00835CBB" w:rsidP="00835CBB">
      <w:pPr>
        <w:pStyle w:val="NormalHanging12a"/>
      </w:pPr>
      <w:r w:rsidRPr="00191888">
        <w:t>10.</w:t>
      </w:r>
      <w:r w:rsidRPr="00191888">
        <w:tab/>
      </w:r>
      <w:proofErr w:type="gramStart"/>
      <w:r w:rsidRPr="00191888">
        <w:t>z</w:t>
      </w:r>
      <w:proofErr w:type="gramEnd"/>
      <w:r w:rsidRPr="00191888">
        <w:t xml:space="preserve"> zadowoleniem przyjmuje ponowne zaangażowanie parlamentu Czarnogóry w prace Parlamentarnego Komitetu Stabilizacji i Stowarzyszenia;</w:t>
      </w:r>
    </w:p>
    <w:p w:rsidR="00835CBB" w:rsidRPr="00191888" w:rsidRDefault="00835CBB" w:rsidP="00835CBB">
      <w:pPr>
        <w:pStyle w:val="Normal12a24b"/>
      </w:pPr>
      <w:r w:rsidRPr="00191888">
        <w:rPr>
          <w:rStyle w:val="BoldItalic"/>
        </w:rPr>
        <w:t>Demokracja i praworządność</w:t>
      </w:r>
    </w:p>
    <w:p w:rsidR="00835CBB" w:rsidRPr="00191888" w:rsidRDefault="00835CBB" w:rsidP="00835CBB">
      <w:pPr>
        <w:pStyle w:val="NormalHanging12a"/>
      </w:pPr>
      <w:r w:rsidRPr="00191888">
        <w:t>11.</w:t>
      </w:r>
      <w:r w:rsidRPr="00191888">
        <w:tab/>
      </w:r>
      <w:proofErr w:type="gramStart"/>
      <w:r w:rsidRPr="00191888">
        <w:t>uznaje</w:t>
      </w:r>
      <w:proofErr w:type="gramEnd"/>
      <w:r w:rsidRPr="00191888">
        <w:t xml:space="preserve"> kluczową rolę parlamentu Czarnogóry w procesie akcesyjnym, zwłaszcza w odniesieniu do przyjmowania prawodawstwa związanego z przystąpieniem, i podkreśla znaczenie współpracy parlamentarnej w tym zakresie; ponownie podkreśla, że Parlament Europejski jest gotów wykorzystać swoje zasoby polityczne i techniczne do realizacji programu reform związanych z UE, w tym dzięki działaniom wspierającym demokrację; z zaniepokojeniem odnotowuje powracające napięcia i polaryzację etniczną, które spowalniają proces reform; apeluje o konstruktywny dialog i budowanie konsensusu na całej scenie politycznej, przy czym należy priorytetowo traktować jakość prawodawstwa; zdecydowanie apeluje również o znalezienie rozwiązań w drodze dialogu parlamentarnego; apeluje o niedopuszczenie do tego, by polityka tożsamości odwracała </w:t>
      </w:r>
      <w:proofErr w:type="gramStart"/>
      <w:r w:rsidRPr="00191888">
        <w:t>uwagę</w:t>
      </w:r>
      <w:proofErr w:type="gramEnd"/>
      <w:r w:rsidRPr="00191888">
        <w:t xml:space="preserve"> od programu unijnego lub utrudniała stosunki z sąsiadami Czarnogóry; dzięki temu Czarnogóra będzie nadal zdecydowanie zmierzać do członkostwa w UE; z zadowoleniem przyjmuje porozumienie między premierem Czarnogóry a przywódcami opozycji w sprawie zwrócenia się do Komisji Weneckiej o opinię dotyczącą wygaśnięcia mandatu sędzi Trybunału Konstytucyjnego Dragany </w:t>
      </w:r>
      <w:proofErr w:type="spellStart"/>
      <w:r w:rsidRPr="00191888">
        <w:t>Đuranović</w:t>
      </w:r>
      <w:proofErr w:type="spellEnd"/>
      <w:r w:rsidRPr="00191888">
        <w:t xml:space="preserve"> i w sprawie powrotu opozycji do parlamentu;</w:t>
      </w:r>
    </w:p>
    <w:p w:rsidR="00835CBB" w:rsidRPr="00191888" w:rsidRDefault="00835CBB" w:rsidP="00835CBB">
      <w:pPr>
        <w:pStyle w:val="NormalHanging12a"/>
      </w:pPr>
      <w:r w:rsidRPr="00191888">
        <w:t>12.</w:t>
      </w:r>
      <w:r w:rsidRPr="00191888">
        <w:tab/>
      </w:r>
      <w:proofErr w:type="gramStart"/>
      <w:r w:rsidRPr="00191888">
        <w:t>wyraża</w:t>
      </w:r>
      <w:proofErr w:type="gramEnd"/>
      <w:r w:rsidRPr="00191888">
        <w:t xml:space="preserve"> zaniepokojenie próbami zmiany ustawy o obywatelstwie Czarnogóry w parlamencie Czarnogóry, ponieważ może to mieć poważne i długoterminowe konsekwencje dla procesów decyzyjnych i tożsamości tego kraju, a także podkreśla, że wszelkie dyskusje na temat polityki tożsamości muszą być prowadzone z najwyższą wrażliwością, aby uniknąć dalszej polaryzacji, i powinny zmierzać do szerokiego konsensusu społecznego; zachęca władze Czarnogóry do konsultowania się z UE i koordynowania z nią wszelkich możliwych zmian w ustawie o obywatelstwie oraz podkreśla, jak ważne jest osiągnięcie konsensusu w sprawie wszelkich kwestii związanych z tym tematem o kluczowym znaczeniu dla tożsamości i niepodległości Czarnogóry;</w:t>
      </w:r>
    </w:p>
    <w:p w:rsidR="00835CBB" w:rsidRPr="00191888" w:rsidRDefault="00835CBB" w:rsidP="00835CBB">
      <w:pPr>
        <w:pStyle w:val="NormalHanging12a"/>
      </w:pPr>
      <w:r w:rsidRPr="00191888">
        <w:t>13.</w:t>
      </w:r>
      <w:r w:rsidRPr="00191888">
        <w:tab/>
      </w:r>
      <w:proofErr w:type="gramStart"/>
      <w:r w:rsidRPr="00191888">
        <w:t>gorąco</w:t>
      </w:r>
      <w:proofErr w:type="gramEnd"/>
      <w:r w:rsidRPr="00191888">
        <w:t xml:space="preserve"> apeluje do parlamentu Czarnogóry o pluralistyczne i przejrzyste konsultacje publiczne oraz regularną i konstruktywną współpracę ze społeczeństwem obywatelskim w procesie decyzyjnym, od wczesnego etapu procesu legislacyjnego, zwłaszcza w odniesieniu do kluczowych przepisów w procesie reform związanych z przystąpieniem do UE; zachęca czarnogórski Parlamentarny Klub Kobiet do pełnienia aktywniejszej roli;</w:t>
      </w:r>
    </w:p>
    <w:p w:rsidR="00835CBB" w:rsidRPr="00191888" w:rsidRDefault="00835CBB" w:rsidP="00835CBB">
      <w:pPr>
        <w:pStyle w:val="NormalHanging12a"/>
      </w:pPr>
      <w:r w:rsidRPr="00191888">
        <w:t>14.</w:t>
      </w:r>
      <w:r w:rsidRPr="00191888">
        <w:tab/>
      </w:r>
      <w:proofErr w:type="gramStart"/>
      <w:r w:rsidRPr="00191888">
        <w:t>wzywa</w:t>
      </w:r>
      <w:proofErr w:type="gramEnd"/>
      <w:r w:rsidRPr="00191888">
        <w:t xml:space="preserve"> Czarnogórę do pełnego dostosowania ram prawnych dotyczących wyborów do standardów UE, w szczególności w zakresie harmonizacji ordynacji wyborczej, ograniczeń w zakresie głosowania i kandydowania w wyborach, przejrzystości, mechanizmów rozstrzygania sporów, nadzoru nad kampanią i mediami oraz finansowania partii politycznych i kampanii wyborczych, a także do wdrożenia zaleceń Biura Instytucji Demokratycznych i Praw Człowieka Organizacji Bezpieczeństwa i Współpracy w Europie</w:t>
      </w:r>
      <w:r w:rsidRPr="00191888">
        <w:rPr>
          <w:rStyle w:val="FootnoteReference"/>
        </w:rPr>
        <w:footnoteReference w:id="6"/>
      </w:r>
      <w:r w:rsidRPr="00191888">
        <w:t xml:space="preserve">; wzywa Czarnogórę do zwiększenia przejrzystości i kontroli wydatków partii politycznych oraz do zapobiegania nadużywaniu zasobów państwowych przez dostosowanie odpowiednich przepisów do standardów UE oraz poprawę egzekwowania przepisów dotyczących finansowania przez osoby trzecie i zaostrzenie kar za naruszenia; podkreśla rolę Agencji </w:t>
      </w:r>
      <w:proofErr w:type="gramStart"/>
      <w:r w:rsidRPr="00191888">
        <w:t>ds</w:t>
      </w:r>
      <w:proofErr w:type="gramEnd"/>
      <w:r w:rsidRPr="00191888">
        <w:t>. Zapobiegania Korupcji (APC) w tym względzie i apeluje o zacieśnienie współpracy między APC a organami wywiadu finansowego w celu wykrywania zagranicznych wpływów w kampaniach politycznych i zapobiegania im; wzywa ponadto Czarnogórę do wdrożenia zaleceń Komitetu ONZ ds. Likwidacji Dyskryminacji Kobiet (CEDAW) dotyczących parytetu płci na listach wyborczych;</w:t>
      </w:r>
    </w:p>
    <w:p w:rsidR="00835CBB" w:rsidRPr="00191888" w:rsidRDefault="00835CBB" w:rsidP="00835CBB">
      <w:pPr>
        <w:pStyle w:val="NormalHanging12a"/>
      </w:pPr>
      <w:r w:rsidRPr="00191888">
        <w:t>15.</w:t>
      </w:r>
      <w:r w:rsidRPr="00191888">
        <w:tab/>
      </w:r>
      <w:proofErr w:type="gramStart"/>
      <w:r w:rsidRPr="00191888">
        <w:t>ponownie</w:t>
      </w:r>
      <w:proofErr w:type="gramEnd"/>
      <w:r w:rsidRPr="00191888">
        <w:t xml:space="preserve"> wzywa władze Czarnogóry do organizacji wyborów samorządowych tego samego dnia w całym kraju, jak przewidziano w ustawie o samorządzie lokalnym, tak aby zwiększyć skuteczność sprawowania rządów, złagodzić napięcia polityczne oraz wzmocnić stabilność i skuteczność instytucji gminnych i państwowych; przypomina, że przyszłe wypłaty środków w ramach Instrumentu Wsparcia Reform i Wzrostu Gospodarczego są uzależnione od realizacji tej reformy, zgodnie z zobowiązaniami Czarnogóry zawartymi w jej programie reform, i że należy przeprowadzić tę reformę w trybie priorytetowym; z zadowoleniem przyjmuje fakt, że w 2022 r. wybory w 14 gminach odbyły się tego samego dnia; apeluje o solidne ramy prawne w tym zakresie; jest </w:t>
      </w:r>
      <w:proofErr w:type="gramStart"/>
      <w:r w:rsidRPr="00191888">
        <w:t>zaniepokojony</w:t>
      </w:r>
      <w:proofErr w:type="gramEnd"/>
      <w:r w:rsidRPr="00191888">
        <w:t xml:space="preserve"> niewłaściwym przebiegiem procesu wyborczego w gminie </w:t>
      </w:r>
      <w:proofErr w:type="spellStart"/>
      <w:r w:rsidRPr="00191888">
        <w:t>Šavnik</w:t>
      </w:r>
      <w:proofErr w:type="spellEnd"/>
      <w:r w:rsidRPr="00191888">
        <w:t>;</w:t>
      </w:r>
    </w:p>
    <w:p w:rsidR="00835CBB" w:rsidRPr="00191888" w:rsidRDefault="00835CBB" w:rsidP="00835CBB">
      <w:pPr>
        <w:pStyle w:val="NormalHanging12a"/>
      </w:pPr>
      <w:r w:rsidRPr="00191888">
        <w:t>16.</w:t>
      </w:r>
      <w:r w:rsidRPr="00191888">
        <w:tab/>
      </w:r>
      <w:proofErr w:type="gramStart"/>
      <w:r w:rsidRPr="00191888">
        <w:t>wzywa</w:t>
      </w:r>
      <w:proofErr w:type="gramEnd"/>
      <w:r w:rsidRPr="00191888">
        <w:t xml:space="preserve"> władze Czarnogóry do przyjęcia ustawy o rządach, która powinna umożliwić lepsze ramy zarządzania i optymalizację administracji publicznej;</w:t>
      </w:r>
    </w:p>
    <w:p w:rsidR="00835CBB" w:rsidRPr="00191888" w:rsidRDefault="00835CBB" w:rsidP="00835CBB">
      <w:pPr>
        <w:pStyle w:val="NormalHanging12a"/>
      </w:pPr>
      <w:r w:rsidRPr="00191888">
        <w:t>17.</w:t>
      </w:r>
      <w:r w:rsidRPr="00191888">
        <w:tab/>
      </w:r>
      <w:proofErr w:type="gramStart"/>
      <w:r w:rsidRPr="00191888">
        <w:t>podkreśla</w:t>
      </w:r>
      <w:proofErr w:type="gramEnd"/>
      <w:r w:rsidRPr="00191888">
        <w:t xml:space="preserve"> znaczenie profesjonalnej, merytorycznej, przejrzystej i odpolitycznionej służby cywilnej; wzywa Czarnogórę do zmiany i wdrożenia odpowiednich przepisów w celu zapewnienia ram profesjonalizacji, optymalizacji i racjonalizacji administracji państwowej, w tym gwarancji proceduralnych przed politycznie umotywowanymi decyzjami w sprawie nominacji i zwolnień, a także wysokich standardów dotyczących stanowisk kierowniczych; ubolewa nad brakiem znaczących postępów w przyjmowaniu i skutecznym wdrażaniu takich przepisów i podkreśla, że pozwala to na dalsze wywieranie wpływu politycznego na obsadzanie stanowisk w służbie cywilnej;</w:t>
      </w:r>
    </w:p>
    <w:p w:rsidR="00835CBB" w:rsidRPr="00191888" w:rsidRDefault="00835CBB" w:rsidP="00835CBB">
      <w:pPr>
        <w:pStyle w:val="NormalHanging12a"/>
      </w:pPr>
      <w:r w:rsidRPr="00191888">
        <w:t>18.</w:t>
      </w:r>
      <w:r w:rsidRPr="00191888">
        <w:tab/>
      </w:r>
      <w:proofErr w:type="gramStart"/>
      <w:r w:rsidRPr="00191888">
        <w:t>z</w:t>
      </w:r>
      <w:proofErr w:type="gramEnd"/>
      <w:r w:rsidRPr="00191888">
        <w:t xml:space="preserve"> zadowoleniem przyjmuje włączenie Czarnogóry do sprawozdania Komisji na temat praworządności z 2024 r.; z zaniepokojeniem odnotowuje stwierdzone niedociągnięcia, w tym w zakresie powoływania sędziów i niezależności prokuratury;</w:t>
      </w:r>
    </w:p>
    <w:p w:rsidR="00835CBB" w:rsidRPr="00191888" w:rsidRDefault="00835CBB" w:rsidP="00835CBB">
      <w:pPr>
        <w:pStyle w:val="NormalHanging12a"/>
      </w:pPr>
      <w:r w:rsidRPr="00191888">
        <w:t>19.</w:t>
      </w:r>
      <w:r w:rsidRPr="00191888">
        <w:tab/>
      </w:r>
      <w:proofErr w:type="gramStart"/>
      <w:r w:rsidRPr="00191888">
        <w:t>z</w:t>
      </w:r>
      <w:proofErr w:type="gramEnd"/>
      <w:r w:rsidRPr="00191888">
        <w:t xml:space="preserve"> zadowoleniem przyjmuje postępy poczynione we wdrażaniu kluczowych reform sądownictwa, przyjęciu nowych ram strategicznych i wręczeniu zaległych nominacji sędziowskich; wzywa Czarnogórę do obsadzenia pozostałych wysokich stanowisk sędziowskich;</w:t>
      </w:r>
    </w:p>
    <w:p w:rsidR="00835CBB" w:rsidRPr="00191888" w:rsidRDefault="00835CBB" w:rsidP="00835CBB">
      <w:pPr>
        <w:pStyle w:val="NormalHanging12a"/>
      </w:pPr>
      <w:r w:rsidRPr="00191888">
        <w:t>20.</w:t>
      </w:r>
      <w:r w:rsidRPr="00191888">
        <w:tab/>
      </w:r>
      <w:proofErr w:type="gramStart"/>
      <w:r w:rsidRPr="00191888">
        <w:t>wzywa</w:t>
      </w:r>
      <w:proofErr w:type="gramEnd"/>
      <w:r w:rsidRPr="00191888">
        <w:t xml:space="preserve"> Czarnogórę, by dalej dostosowywała swoje ramy prawne, w tym konstytucję, zwłaszcza przepisy dotyczące składu i procesu decyzyjnego Rady Sądowniczej, do przepisów i standardów UE dotyczących niezależności, rozliczalności, bezstronności, uczciwości i profesjonalizmu sądownictwa, a także dalej odpolityczniała proces nominacji w celu zwiększenia niezależności oraz by wdrożyła zaległe zalecenia międzynarodowe i określiła kryteria przechodzenia sędziów i prokuratorów w stan spoczynku zgodnie ze standardami europejskimi i w pełnej zgodności z konstytucją; ubolewa nad zaległościami w rozpatrywaniu spraw i wzywa Czarnogórę do wprowadzenia środków służących skróceniu czasu trwania postępowań sądowych, zwłaszcza w sprawach dotyczących poważnej i zorganizowanej przestępczości, szczególnie prania pieniędzy; zaleca Czarnogórze </w:t>
      </w:r>
      <w:proofErr w:type="gramStart"/>
      <w:r w:rsidRPr="00191888">
        <w:t>przyjęcie</w:t>
      </w:r>
      <w:proofErr w:type="gramEnd"/>
      <w:r w:rsidRPr="00191888">
        <w:t xml:space="preserve"> zmian do konstytucji na ostatnim etapie negocjacji w sprawie przystąpienia tego kraju do UE;</w:t>
      </w:r>
    </w:p>
    <w:p w:rsidR="00835CBB" w:rsidRPr="00191888" w:rsidRDefault="00835CBB" w:rsidP="00835CBB">
      <w:pPr>
        <w:pStyle w:val="NormalHanging12a"/>
      </w:pPr>
      <w:r w:rsidRPr="00191888">
        <w:t>21.</w:t>
      </w:r>
      <w:r w:rsidRPr="00191888">
        <w:tab/>
      </w:r>
      <w:proofErr w:type="gramStart"/>
      <w:r w:rsidRPr="00191888">
        <w:t>dostrzega</w:t>
      </w:r>
      <w:proofErr w:type="gramEnd"/>
      <w:r w:rsidRPr="00191888">
        <w:t xml:space="preserve"> wysiłki w walce z korupcją, w tym przyjęcie nowych ustaw i przepisów o ochronie sygnalistów, utworzenie nowej Krajowej Rady ds. Zwalczania Korupcji oraz nową strategię antykorupcyjną na lata 2024–2028; zachęca Czarnogórę, by w dalszym ciągu dostosowywała swoje prawodawstwo do unijnego dorobku prawnego i standardów UE oraz by uwzględniała zalecenia Komisji, Komisji Weneckiej i Grupy Państw przeciwko Korupcji (GRECO); zachęca władze Czarnogóry, by nadal eliminowały istniejące niedociągnięcia w prowadzeniu spraw dotyczących przestępczości zorganizowanej oraz dokonywaniu zajęcia i konfiskaty mienia pochodzącego z działalności przestępczej;</w:t>
      </w:r>
    </w:p>
    <w:p w:rsidR="00835CBB" w:rsidRPr="00191888" w:rsidRDefault="00835CBB" w:rsidP="00835CBB">
      <w:pPr>
        <w:pStyle w:val="NormalHanging12a"/>
      </w:pPr>
      <w:r w:rsidRPr="00191888">
        <w:t>22.</w:t>
      </w:r>
      <w:r w:rsidRPr="00191888">
        <w:tab/>
      </w:r>
      <w:proofErr w:type="gramStart"/>
      <w:r w:rsidRPr="00191888">
        <w:t>wzywa</w:t>
      </w:r>
      <w:proofErr w:type="gramEnd"/>
      <w:r w:rsidRPr="00191888">
        <w:t xml:space="preserve"> Czarnogórę do poprawy reakcji wymiaru sprawiedliwości w sprawach karnych na przypadki korupcji na wysokim szczeblu, w tym przez wzmocnienie skutecznego egzekwowania obowiązujących przepisów prawa karnego i nakładanie skutecznych i odstraszających kar, a także do stworzenia odpowiednich warunków, by instytucje sądowe i niezależne organy zajmujące się korupcją mogły funkcjonować w sposób skuteczny i wolny od wpływów politycznych;</w:t>
      </w:r>
    </w:p>
    <w:p w:rsidR="00835CBB" w:rsidRPr="00191888" w:rsidRDefault="00835CBB" w:rsidP="00835CBB">
      <w:pPr>
        <w:pStyle w:val="NormalHanging12a"/>
      </w:pPr>
      <w:r w:rsidRPr="00191888">
        <w:t>23.</w:t>
      </w:r>
      <w:r w:rsidRPr="00191888">
        <w:tab/>
      </w:r>
      <w:proofErr w:type="gramStart"/>
      <w:r w:rsidRPr="00191888">
        <w:t>odnotowuje</w:t>
      </w:r>
      <w:proofErr w:type="gramEnd"/>
      <w:r w:rsidRPr="00191888">
        <w:t xml:space="preserve"> prace Agencji ds. Zapobiegania Korupcji i apeluje o zapewnienie jej wystarczających środków finansowych i o jej odpolitycznienie; oczekuje, że Agencja osiągnie wymierne rezultaty i będzie działać w sposób nieselektywny, aby wzmocnić swoją integralność i zwiększyć autorytet w obszarze skutecznego wykonywania swoich kompetencji; apeluje o wzmocnienie ram zapobiegania korupcji;</w:t>
      </w:r>
    </w:p>
    <w:p w:rsidR="00835CBB" w:rsidRPr="00191888" w:rsidRDefault="00835CBB" w:rsidP="00835CBB">
      <w:pPr>
        <w:pStyle w:val="NormalHanging12a"/>
      </w:pPr>
      <w:r w:rsidRPr="00191888">
        <w:t>24.</w:t>
      </w:r>
      <w:r w:rsidRPr="00191888">
        <w:tab/>
      </w:r>
      <w:proofErr w:type="gramStart"/>
      <w:r w:rsidRPr="00191888">
        <w:t>wzywa</w:t>
      </w:r>
      <w:proofErr w:type="gramEnd"/>
      <w:r w:rsidRPr="00191888">
        <w:t xml:space="preserve"> Czarnogórę do dostosowania swojego ustawodawstwa dotyczącego broni do prawa UE i standardów międzynarodowych, w szczególności w odniesieniu do norm technicznych dotyczących znakowania broni palnej, procedur pozbawiania broni palnej cech użytkowych oraz przepisów dotyczących broni alarmowej i sygnałowej, a także do ustanowienia znormalizowanego i skutecznego systemu gromadzenia i zgłaszania danych dotyczących broni palnej; jest zbulwersowany tragiczną masową strzelaniną w </w:t>
      </w:r>
      <w:proofErr w:type="spellStart"/>
      <w:r w:rsidRPr="00191888">
        <w:t>Cetynii</w:t>
      </w:r>
      <w:proofErr w:type="spellEnd"/>
      <w:r w:rsidRPr="00191888">
        <w:t xml:space="preserve"> i składa kondolencje rodzinom ofiar; wyraża zaniepokojenie wykorzystywaniem tej tragedii do dezinformacji i polaryzacji etnicznej; wzywa Czarnogórę do wzmocnienia komunikacji kryzysowej w celu przeciwdziałania dezinformacji i zapewnienia odpowiedzialnego informowania przez media w następstwie incydentów z użyciem przemocy; apeluje o systematyczne </w:t>
      </w:r>
      <w:proofErr w:type="gramStart"/>
      <w:r w:rsidRPr="00191888">
        <w:t>działania</w:t>
      </w:r>
      <w:proofErr w:type="gramEnd"/>
      <w:r w:rsidRPr="00191888">
        <w:t xml:space="preserve"> w obszarach bezpieczeństwa, dobrostanu psychicznego i przejrzystości instytucjonalnej, a także edukacji obywatelskiej, świadomości społecznej oraz inicjatyw informacyjnych i edukacyjnych na temat niebezpieczeństw i zagrożeń związanych z bronią palną, zgodnie z oczekiwaniami obywateli i potrzebami społecznymi;</w:t>
      </w:r>
    </w:p>
    <w:p w:rsidR="00835CBB" w:rsidRPr="00191888" w:rsidRDefault="00835CBB" w:rsidP="00835CBB">
      <w:pPr>
        <w:pStyle w:val="NormalHanging12a"/>
      </w:pPr>
      <w:r w:rsidRPr="00191888">
        <w:t>25.</w:t>
      </w:r>
      <w:r w:rsidRPr="00191888">
        <w:tab/>
      </w:r>
      <w:proofErr w:type="gramStart"/>
      <w:r w:rsidRPr="00191888">
        <w:t>wzywa</w:t>
      </w:r>
      <w:proofErr w:type="gramEnd"/>
      <w:r w:rsidRPr="00191888">
        <w:t xml:space="preserve"> Czarnogórę, by pilnie i w pełni dostosowała swoją politykę wizową do polityki UE, zwłaszcza w odniesieniu do krajów, które stwarzają dla UE zagrożenia związane z bezpieczeństwem i nielegalną migracją; wyraża zaniepokojenie faktem, że wbrew oczekiwaniom do systemu bezwizowego dodano dwa dodatkowe kraje oraz że posiadacze paszportów rosyjskich i białoruskich nadal korzystają z ruchu bezwizowego; zauważa, że harmonizacja polityki wizowej jest również przewidziana w programie reform Czarnogóry w ramach Instrumentu Wsparcia Reform i Wzrostu Gospodarczego;</w:t>
      </w:r>
    </w:p>
    <w:p w:rsidR="00835CBB" w:rsidRPr="00191888" w:rsidRDefault="00835CBB" w:rsidP="00835CBB">
      <w:pPr>
        <w:pStyle w:val="NormalHanging12a"/>
      </w:pPr>
      <w:r w:rsidRPr="00191888">
        <w:t>26.</w:t>
      </w:r>
      <w:r w:rsidRPr="00191888">
        <w:tab/>
      </w:r>
      <w:proofErr w:type="gramStart"/>
      <w:r w:rsidRPr="00191888">
        <w:t>z</w:t>
      </w:r>
      <w:proofErr w:type="gramEnd"/>
      <w:r w:rsidRPr="00191888">
        <w:t xml:space="preserve"> zadowoleniem przyjmuje obecną współpracę Czarnogóry z Europejską Agencją Straży Granicznej i Przybrzeżnej (</w:t>
      </w:r>
      <w:proofErr w:type="spellStart"/>
      <w:r w:rsidRPr="00191888">
        <w:t>Frontex</w:t>
      </w:r>
      <w:proofErr w:type="spellEnd"/>
      <w:r w:rsidRPr="00191888">
        <w:t xml:space="preserve">), Europolem, </w:t>
      </w:r>
      <w:proofErr w:type="spellStart"/>
      <w:r w:rsidRPr="00191888">
        <w:t>Eurojustem</w:t>
      </w:r>
      <w:proofErr w:type="spellEnd"/>
      <w:r w:rsidRPr="00191888">
        <w:t xml:space="preserve"> i Agencją Unii Europejskiej ds. Szkolenia w Dziedzinie Ścigania (CEPOL) oraz zauważa znaczenie tej współpracy dla zwalczania przestępczości transgranicznej, w tym handlu bronią, narkotykami i ludźmi, a także dla zwalczania terroryzmu i ekstremizmu; z zadowoleniem przyjmuje wejście w życie 1 lipca 2023 r. zaktualizowanej umowy z </w:t>
      </w:r>
      <w:proofErr w:type="spellStart"/>
      <w:r w:rsidRPr="00191888">
        <w:t>Fronteksem</w:t>
      </w:r>
      <w:proofErr w:type="spellEnd"/>
      <w:r w:rsidRPr="00191888">
        <w:t xml:space="preserve"> o współpracy operacyjnej w zakresie zarządzania granicami i zachęca do dalszej współpracy między Czarnogórą a </w:t>
      </w:r>
      <w:proofErr w:type="spellStart"/>
      <w:r w:rsidRPr="00191888">
        <w:t>Fronteksem</w:t>
      </w:r>
      <w:proofErr w:type="spellEnd"/>
      <w:r w:rsidRPr="00191888">
        <w:t xml:space="preserve"> w celu wzmocnienia zarządzania granicami, wspierania procedur azylowych, zwalczania przemytu i usprawnienia readmisji;</w:t>
      </w:r>
    </w:p>
    <w:p w:rsidR="00835CBB" w:rsidRPr="00191888" w:rsidRDefault="00835CBB" w:rsidP="00835CBB">
      <w:pPr>
        <w:pStyle w:val="Normal12a24b"/>
      </w:pPr>
      <w:r w:rsidRPr="00191888">
        <w:rPr>
          <w:rStyle w:val="BoldItalic"/>
        </w:rPr>
        <w:t>Podstawowe wolności i prawa człowieka</w:t>
      </w:r>
    </w:p>
    <w:p w:rsidR="00835CBB" w:rsidRPr="00191888" w:rsidRDefault="00835CBB" w:rsidP="00835CBB">
      <w:pPr>
        <w:pStyle w:val="NormalHanging12a"/>
      </w:pPr>
      <w:r w:rsidRPr="00191888">
        <w:t>27.</w:t>
      </w:r>
      <w:r w:rsidRPr="00191888">
        <w:tab/>
      </w:r>
      <w:proofErr w:type="gramStart"/>
      <w:r w:rsidRPr="00191888">
        <w:t>ubolewa</w:t>
      </w:r>
      <w:proofErr w:type="gramEnd"/>
      <w:r w:rsidRPr="00191888">
        <w:t>, że najsłabsze grupy społeczne nadal są dyskryminowane; wzywa Czarnogórę do przyjęcia nowej ustawy antydyskryminacyjnej i odnośnych strategii w drodze pluralistycznego, przejrzystego i konstruktywnego procesu z czynnym udziałem osób najbardziej dotkniętych dyskryminacją, tak aby słabsze grupy społeczne miały lepszy dostęp do swoich praw; podkreśla, że poszanowanie praw wszystkich mniejszości narodowych stanowi integralną część dorobku prawnego UE; apeluje o bardziej zdecydowane stosowanie przepisów, aby zapewnić równe traktowanie wszystkich grup etnicznych, religijnych, narodowych i społecznych, aby zagwarantować im równe prawa i możliwości oraz umożliwić pełne uczestniczenie w życiu społecznym, politycznym i gospodarczym;</w:t>
      </w:r>
    </w:p>
    <w:p w:rsidR="00835CBB" w:rsidRPr="00191888" w:rsidRDefault="00835CBB" w:rsidP="00835CBB">
      <w:pPr>
        <w:pStyle w:val="NormalHanging12a"/>
      </w:pPr>
      <w:r w:rsidRPr="00191888">
        <w:t>28.</w:t>
      </w:r>
      <w:r w:rsidRPr="00191888">
        <w:tab/>
      </w:r>
      <w:proofErr w:type="gramStart"/>
      <w:r w:rsidRPr="00191888">
        <w:t>z</w:t>
      </w:r>
      <w:proofErr w:type="gramEnd"/>
      <w:r w:rsidRPr="00191888">
        <w:t xml:space="preserve"> zadowoleniem przyjmuje wieloetniczną tożsamość Czarnogóry i apeluje o dalsze promowanie i poszanowanie języków, dziedzictwa kulturowego i tradycji społeczności lokalnych i mniejszości narodowych, ponieważ jest to ściśle powiązane z europejską perspektywą Czarnogóry;</w:t>
      </w:r>
    </w:p>
    <w:p w:rsidR="00835CBB" w:rsidRPr="00191888" w:rsidRDefault="00835CBB" w:rsidP="00835CBB">
      <w:pPr>
        <w:pStyle w:val="NormalHanging12a"/>
      </w:pPr>
      <w:r w:rsidRPr="00191888">
        <w:t>29.</w:t>
      </w:r>
      <w:r w:rsidRPr="00191888">
        <w:tab/>
      </w:r>
      <w:proofErr w:type="gramStart"/>
      <w:r w:rsidRPr="00191888">
        <w:t>podkreśla</w:t>
      </w:r>
      <w:proofErr w:type="gramEnd"/>
      <w:r w:rsidRPr="00191888">
        <w:t xml:space="preserve"> wieloetniczną tożsamość Zatoki Kotorskiej; podkreśla, że europejska perspektywa Czarnogóry jest ściśle powiązana z ochroną mniejszości i ich dziedzictwa kulturowego; wzywa władze Czarnogóry, by pielęgnowały wieloetniczny charakter państwa, w tym tradycje i dziedzictwo kulturowe społeczności chorwackiej w Zatoce Kotorskiej;</w:t>
      </w:r>
    </w:p>
    <w:p w:rsidR="00835CBB" w:rsidRPr="00191888" w:rsidRDefault="00835CBB" w:rsidP="00835CBB">
      <w:pPr>
        <w:pStyle w:val="NormalHanging12a"/>
      </w:pPr>
      <w:r w:rsidRPr="00191888">
        <w:t>30.</w:t>
      </w:r>
      <w:r w:rsidRPr="00191888">
        <w:tab/>
      </w:r>
      <w:proofErr w:type="gramStart"/>
      <w:r w:rsidRPr="00191888">
        <w:t>wyraża</w:t>
      </w:r>
      <w:proofErr w:type="gramEnd"/>
      <w:r w:rsidRPr="00191888">
        <w:t xml:space="preserve"> głębokie zaniepokojenie zagrożonymi obiektami dziedzictwa w Czarnogórze, takimi jak Zatoka Kotorska i </w:t>
      </w:r>
      <w:proofErr w:type="spellStart"/>
      <w:r w:rsidRPr="00191888">
        <w:t>Sveti</w:t>
      </w:r>
      <w:proofErr w:type="spellEnd"/>
      <w:r w:rsidRPr="00191888">
        <w:t xml:space="preserve"> Stefan; podkreśla, że miasto </w:t>
      </w:r>
      <w:proofErr w:type="spellStart"/>
      <w:r w:rsidRPr="00191888">
        <w:t>Sveti</w:t>
      </w:r>
      <w:proofErr w:type="spellEnd"/>
      <w:r w:rsidRPr="00191888">
        <w:t xml:space="preserve"> Stefan wraz z parkiem </w:t>
      </w:r>
      <w:proofErr w:type="spellStart"/>
      <w:r w:rsidRPr="00191888">
        <w:t>Miločer</w:t>
      </w:r>
      <w:proofErr w:type="spellEnd"/>
      <w:r w:rsidRPr="00191888">
        <w:t xml:space="preserve"> figuruje na liście siedmiu najbardziej zagrożonych obiektów dziedzictwa kulturowego w Europie w 2023 r.;</w:t>
      </w:r>
    </w:p>
    <w:p w:rsidR="00835CBB" w:rsidRPr="00191888" w:rsidRDefault="00835CBB" w:rsidP="00835CBB">
      <w:pPr>
        <w:pStyle w:val="NormalHanging12a"/>
      </w:pPr>
      <w:r w:rsidRPr="00191888">
        <w:t>31.</w:t>
      </w:r>
      <w:r w:rsidRPr="00191888">
        <w:tab/>
      </w:r>
      <w:proofErr w:type="gramStart"/>
      <w:r w:rsidRPr="00191888">
        <w:t>wzywa</w:t>
      </w:r>
      <w:proofErr w:type="gramEnd"/>
      <w:r w:rsidRPr="00191888">
        <w:t xml:space="preserve"> władze Czarnogóry do zajęcia się trudnymi warunkami życia Romów w Czarnogórze i dyskryminacją, jakiej doświadczają, oraz apeluje o wprowadzenie większej liczby środków służących promowaniu zrozumienia międzykulturowego w szkołach; wzywa władze Czarnogóry, by podjęły również działania na rzecz poprawy klimatu włączenia społecznego osób LGBTI;</w:t>
      </w:r>
    </w:p>
    <w:p w:rsidR="00835CBB" w:rsidRPr="00191888" w:rsidRDefault="00835CBB" w:rsidP="00835CBB">
      <w:pPr>
        <w:pStyle w:val="NormalHanging12a"/>
      </w:pPr>
      <w:r w:rsidRPr="00191888">
        <w:t>32.</w:t>
      </w:r>
      <w:r w:rsidRPr="00191888">
        <w:tab/>
      </w:r>
      <w:proofErr w:type="gramStart"/>
      <w:r w:rsidRPr="00191888">
        <w:t>z</w:t>
      </w:r>
      <w:proofErr w:type="gramEnd"/>
      <w:r w:rsidRPr="00191888">
        <w:t xml:space="preserve"> zadowoleniem przyjmuje dostosowanie przez Czarnogórę ram legislacyjnych i instytucjonalnych do unijnego dorobku prawnego i międzynarodowych standardów praw człowieka w odniesieniu do zgodności z Konwencją ONZ o prawach dziecka i protokołami fakultatywnymi do niej; wzywa władze do wyeliminowania niedociągnięć we wdrażaniu, zwłaszcza związanych z rozliczalnością i monitorowaniem;</w:t>
      </w:r>
    </w:p>
    <w:p w:rsidR="00835CBB" w:rsidRPr="00191888" w:rsidRDefault="00835CBB" w:rsidP="00835CBB">
      <w:pPr>
        <w:pStyle w:val="NormalHanging12a"/>
      </w:pPr>
      <w:r w:rsidRPr="00191888">
        <w:t>33.</w:t>
      </w:r>
      <w:r w:rsidRPr="00191888">
        <w:tab/>
      </w:r>
      <w:proofErr w:type="gramStart"/>
      <w:r w:rsidRPr="00191888">
        <w:t>apeluje</w:t>
      </w:r>
      <w:proofErr w:type="gramEnd"/>
      <w:r w:rsidRPr="00191888">
        <w:t xml:space="preserve"> o skuteczne wdrożenie strategii służących ochronie praw osób z niepełnosprawnościami we wszystkich sektorach i strategiach politycznych;</w:t>
      </w:r>
    </w:p>
    <w:p w:rsidR="00835CBB" w:rsidRPr="00191888" w:rsidRDefault="00835CBB" w:rsidP="00835CBB">
      <w:pPr>
        <w:pStyle w:val="NormalHanging12a"/>
      </w:pPr>
      <w:r w:rsidRPr="00191888">
        <w:t>34.</w:t>
      </w:r>
      <w:r w:rsidRPr="00191888">
        <w:tab/>
      </w:r>
      <w:proofErr w:type="gramStart"/>
      <w:r w:rsidRPr="00191888">
        <w:t>potępia</w:t>
      </w:r>
      <w:proofErr w:type="gramEnd"/>
      <w:r w:rsidRPr="00191888">
        <w:t xml:space="preserve"> wszelkie nawoływanie do nienawiści, w tym nawoływanie do nienawiści w </w:t>
      </w:r>
      <w:proofErr w:type="spellStart"/>
      <w:r w:rsidRPr="00191888">
        <w:t>internecie</w:t>
      </w:r>
      <w:proofErr w:type="spellEnd"/>
      <w:r w:rsidRPr="00191888">
        <w:t xml:space="preserve"> i ze względu na płeć, oraz przestępstwa z nienawiści; z zadowoleniem przyjmuje kryminalizację rasizmu i mowy nienawiści;</w:t>
      </w:r>
    </w:p>
    <w:p w:rsidR="00835CBB" w:rsidRPr="00191888" w:rsidRDefault="00835CBB" w:rsidP="00835CBB">
      <w:pPr>
        <w:pStyle w:val="NormalHanging12a"/>
      </w:pPr>
      <w:r w:rsidRPr="00191888">
        <w:t>35.</w:t>
      </w:r>
      <w:r w:rsidRPr="00191888">
        <w:tab/>
      </w:r>
      <w:proofErr w:type="gramStart"/>
      <w:r w:rsidRPr="00191888">
        <w:t>podkreśla</w:t>
      </w:r>
      <w:proofErr w:type="gramEnd"/>
      <w:r w:rsidRPr="00191888">
        <w:t xml:space="preserve">, że trzeba wzmocnić mechanizmy instytucjonalne na rzecz równości płci, i wzywa władze Czarnogóry do zajęcia się problemem luki płacowej między kobietami a mężczyznami, do zwiększenia udziału kobiet w podejmowaniu decyzji (w domenie publicznej, w szczególności w administracji publicznej, w sądownictwie i sektorze bezpieczeństwa oraz w przedsiębiorstwach), do zapewnienia większego udziału kobiet w życiu politycznym, do wprowadzenia sporządzania budżetu z uwzględnieniem aspektu płci oraz do zwalczania stereotypów związanych z płcią, a także do wzmożenia wysiłków na rzecz zwalczania dyskryminacji kobiet, zwłaszcza na obszarach wiejskich; z zadowoleniem przyjmuje niedawne wysiłki mające na celu zwiększenie reprezentacji kobiet w naukach przyrodniczych, technologii, inżynierii </w:t>
      </w:r>
      <w:proofErr w:type="gramStart"/>
      <w:r w:rsidRPr="00191888">
        <w:t>i</w:t>
      </w:r>
      <w:proofErr w:type="gramEnd"/>
      <w:r w:rsidRPr="00191888">
        <w:t xml:space="preserve"> matematyce (STEM) i zachęca do dalszych wysiłków w sektorach technologicznych;</w:t>
      </w:r>
    </w:p>
    <w:p w:rsidR="00835CBB" w:rsidRPr="00191888" w:rsidRDefault="00835CBB" w:rsidP="00835CBB">
      <w:pPr>
        <w:pStyle w:val="NormalHanging12a"/>
      </w:pPr>
      <w:r w:rsidRPr="00191888">
        <w:t>36.</w:t>
      </w:r>
      <w:r w:rsidRPr="00191888">
        <w:tab/>
      </w:r>
      <w:proofErr w:type="gramStart"/>
      <w:r w:rsidRPr="00191888">
        <w:t>jest</w:t>
      </w:r>
      <w:proofErr w:type="gramEnd"/>
      <w:r w:rsidRPr="00191888">
        <w:t xml:space="preserve"> głęboko zaniepokojony wysokim wskaźnikiem przemocy ze względu na płeć, w tym przemocy domowej i </w:t>
      </w:r>
      <w:proofErr w:type="spellStart"/>
      <w:r w:rsidRPr="00191888">
        <w:t>kobietobójstwa</w:t>
      </w:r>
      <w:proofErr w:type="spellEnd"/>
      <w:r w:rsidRPr="00191888">
        <w:t xml:space="preserve">; wzywa Czarnogórę, by dostosowała w pełni definicje przemocy ze względu na płeć i przemocy domowej do konwencji stambulskiej i do zaleceń organów międzynarodowych oraz by ustanowiła skuteczne mechanizmy ochrony i zapobiegania i ośrodki wsparcia oraz zapewniła skuteczne działania następcze podejmowane przez organy sądowe na rzecz ofiar przemocy domowej i seksualnej, a także bardziej zdecydowaną politykę karną wobec sprawców; apeluje o gromadzenie </w:t>
      </w:r>
      <w:proofErr w:type="spellStart"/>
      <w:r w:rsidRPr="00191888">
        <w:t>zdezagregowanych</w:t>
      </w:r>
      <w:proofErr w:type="spellEnd"/>
      <w:r w:rsidRPr="00191888">
        <w:t xml:space="preserve"> danych na temat przemocy ze względu na płeć oraz nierówności płci, aby poprawić reakcje polityczne;</w:t>
      </w:r>
    </w:p>
    <w:p w:rsidR="00835CBB" w:rsidRPr="00191888" w:rsidRDefault="00835CBB" w:rsidP="00835CBB">
      <w:pPr>
        <w:pStyle w:val="NormalHanging12a"/>
      </w:pPr>
      <w:r w:rsidRPr="00191888">
        <w:t>37.</w:t>
      </w:r>
      <w:r w:rsidRPr="00191888">
        <w:tab/>
      </w:r>
      <w:proofErr w:type="gramStart"/>
      <w:r w:rsidRPr="00191888">
        <w:t>ubolewa</w:t>
      </w:r>
      <w:proofErr w:type="gramEnd"/>
      <w:r w:rsidRPr="00191888">
        <w:t>, że projekt ustawy o prawnym uzgodnieniu płci nie został przyjęty w 2024 r., mimo że był środkiem przewidzianym w programie przystąpienia Czarnogóry do UE; wzywa Czarnogórę do niezwłocznego przyjęcia ustawy;</w:t>
      </w:r>
    </w:p>
    <w:p w:rsidR="00835CBB" w:rsidRPr="00191888" w:rsidRDefault="00835CBB" w:rsidP="00835CBB">
      <w:pPr>
        <w:pStyle w:val="NormalHanging12a"/>
      </w:pPr>
      <w:r w:rsidRPr="00191888">
        <w:t>38.</w:t>
      </w:r>
      <w:r w:rsidRPr="00191888">
        <w:tab/>
      </w:r>
      <w:proofErr w:type="gramStart"/>
      <w:r w:rsidRPr="00191888">
        <w:t>wyraża</w:t>
      </w:r>
      <w:proofErr w:type="gramEnd"/>
      <w:r w:rsidRPr="00191888">
        <w:t xml:space="preserve"> zadowolenie z przyjęcia przez Czarnogórę nowych ustaw medialnych oraz strategii dotyczącej polityki medialnej; mają one na celu wzmocnienie ram prawnych, aby skutecznej chronić dziennikarzy i innych pracowników mediów; nalega na wprowadzenie polityki zerowej tolerancji w odniesieniu do nacisków na dziennikarzy, nękania ich lub przemocy wobec nich, zwłaszcza ze strony osób publicznych; podkreśla, że trzeba skutecznie prowadzić postępowania przygotowawcze oraz wnosić i popierać oskarżenia w sprawie wszystkich przypadków mowy nienawiści, kampanii oszczerstw i strategicznych pozwów przeciwko dziennikarzom, a także wyjaśnić sprawy z przeszłości; podkreśla potrzebę zapewnienia dziennikarzom prawa dostępu do informacji i utrzymania krytycznego punktu widzenia; odnotowuje znaczną poprawę pod </w:t>
      </w:r>
      <w:proofErr w:type="gramStart"/>
      <w:r w:rsidRPr="00191888">
        <w:t>względem</w:t>
      </w:r>
      <w:proofErr w:type="gramEnd"/>
      <w:r w:rsidRPr="00191888">
        <w:t xml:space="preserve"> wolności prasy w Czarnogórze, o czym świadczy awans tego kraju w światowym rankingu wolności prasy;</w:t>
      </w:r>
    </w:p>
    <w:p w:rsidR="00835CBB" w:rsidRPr="00191888" w:rsidRDefault="00835CBB" w:rsidP="00835CBB">
      <w:pPr>
        <w:pStyle w:val="NormalHanging12a"/>
      </w:pPr>
      <w:r w:rsidRPr="00191888">
        <w:t>39.</w:t>
      </w:r>
      <w:r w:rsidRPr="00191888">
        <w:tab/>
      </w:r>
      <w:proofErr w:type="gramStart"/>
      <w:r w:rsidRPr="00191888">
        <w:t>wyraża</w:t>
      </w:r>
      <w:proofErr w:type="gramEnd"/>
      <w:r w:rsidRPr="00191888">
        <w:t xml:space="preserve"> zaniepokojenie przypadkami stosowania presji wobec dziennikarzy, pracowników akademickich i organizacji społeczeństwa obywatelskiego w związku z korzystaniem przez nich z wolności słowa, w tym przypadkami, w których policja wszczęła przeciwko takim osobom postępowania w sprawie o wykroczenie; jest zaniepokojony wykorzystywaniem strategicznych powództw zmierzających do stłumienia debaty publicznej (SLAPP), aby represjonować dziennikarzy;</w:t>
      </w:r>
    </w:p>
    <w:p w:rsidR="00835CBB" w:rsidRPr="00191888" w:rsidRDefault="00835CBB" w:rsidP="00835CBB">
      <w:pPr>
        <w:pStyle w:val="NormalHanging12a"/>
      </w:pPr>
      <w:r w:rsidRPr="00191888">
        <w:t>40.</w:t>
      </w:r>
      <w:r w:rsidRPr="00191888">
        <w:tab/>
      </w:r>
      <w:proofErr w:type="gramStart"/>
      <w:r w:rsidRPr="00191888">
        <w:t>ubolewa</w:t>
      </w:r>
      <w:proofErr w:type="gramEnd"/>
      <w:r w:rsidRPr="00191888">
        <w:t xml:space="preserve"> nad utrzymującym się wysokim poziomem polaryzacji w mediach i ich podatnością na interesy polityczne i zagraniczne wpływy oraz zagraniczne i krajowe kampanie dezinformacyjne szerzące narracje, które negatywnie wpływają na procesy demokratyczne w Czarnogórze i zagrażają jej europejskiej perspektywie; wzywa Czarnogórę do dalszego rozwijania ulepszonych programów na rzecz umiejętności korzystania z mediów i włączenia ich jako podstawowego przedmiotu edukacji; wzywa władze Czarnogóry do zapewnienia niezależności redakcyjnej, instytucjonalnej i finansowej nadawcy publicznego RTCG, a także legalności procesu powoływania jego kierownictwa i pełnego poszanowania orzeczeń sądowych dotyczących RTCG; przypomina, że musi on przestrzegać prawa i najwyższych standardów rozliczalności i uczciwości; ubolewa, że </w:t>
      </w:r>
      <w:proofErr w:type="gramStart"/>
      <w:r w:rsidRPr="00191888">
        <w:t>niezależność</w:t>
      </w:r>
      <w:proofErr w:type="gramEnd"/>
      <w:r w:rsidRPr="00191888">
        <w:t xml:space="preserve"> mediów publicznych jest osłabiona i podważana; wzywa wszystkie podmioty medialne do przestrzegania wymogów prawnych dotyczących przejrzystości finansowania publicznego;</w:t>
      </w:r>
    </w:p>
    <w:p w:rsidR="00835CBB" w:rsidRPr="00191888" w:rsidRDefault="00835CBB" w:rsidP="00835CBB">
      <w:pPr>
        <w:pStyle w:val="NormalHanging12a"/>
      </w:pPr>
      <w:r w:rsidRPr="00191888">
        <w:t>41.</w:t>
      </w:r>
      <w:r w:rsidRPr="00191888">
        <w:tab/>
      </w:r>
      <w:proofErr w:type="gramStart"/>
      <w:r w:rsidRPr="00191888">
        <w:t>z</w:t>
      </w:r>
      <w:proofErr w:type="gramEnd"/>
      <w:r w:rsidRPr="00191888">
        <w:t xml:space="preserve"> zadowoleniem przyjmuje opublikowanie wyników spisu ludności z 2023 r.; wzywa władze, by nie dopuściły do jakiegokolwiek upolitycznienia tego procesu; zachęca zainteresowane strony do korzystania z tych wyników w sposób niedyskryminacyjny;</w:t>
      </w:r>
    </w:p>
    <w:p w:rsidR="00835CBB" w:rsidRPr="00191888" w:rsidRDefault="00835CBB" w:rsidP="00835CBB">
      <w:pPr>
        <w:pStyle w:val="NormalHanging12a"/>
      </w:pPr>
      <w:r w:rsidRPr="00191888">
        <w:t>42.</w:t>
      </w:r>
      <w:r w:rsidRPr="00191888">
        <w:tab/>
      </w:r>
      <w:proofErr w:type="gramStart"/>
      <w:r w:rsidRPr="00191888">
        <w:t>z</w:t>
      </w:r>
      <w:proofErr w:type="gramEnd"/>
      <w:r w:rsidRPr="00191888">
        <w:t xml:space="preserve"> zadowoleniem odnotowuje dynamiczne i konstruktywne społeczeństwo obywatelskie Czarnogóry i podkreśla jego znaczenie dla wspierania demokracji i pluralizmu oraz promowania dobrych rządów i postępu społecznego; wyraża zaniepokojenie kurczącą się przestrzenią dla organizacji społeczeństwa obywatelskiego manifestujących krytyczne stanowisko i potępia wszelkie kampanie oszczerstw, zastraszanie i ataki na organizacje społeczeństwa obywatelskiego, w szczególności ze strony polityków w kontekście propozycji dotyczących „ustawy o agentach zagranicznych”; zauważa, że takie ustawy mogą podważać podstawowe wolności i funkcjonowanie społeczeństwa obywatelskiego oraz są niezgodne z wartościami i standardami UE; apeluje o wspierające ramy prawne oraz jasne i sprawiedliwe kryteria wyboru w odniesieniu do finansowania publicznego; wzywa radę </w:t>
      </w:r>
      <w:proofErr w:type="gramStart"/>
      <w:r w:rsidRPr="00191888">
        <w:t>ds</w:t>
      </w:r>
      <w:proofErr w:type="gramEnd"/>
      <w:r w:rsidRPr="00191888">
        <w:t>. współpracy między rządem a organizacjami pozarządowymi do wznowienia prac; podkreśla znaczenie budowania stosunków opartych na współpracy i rzeczywistych konsultacji ze społeczeństwem obywatelskim w sprawie projektów aktów prawnych już na wczesnym etapie;</w:t>
      </w:r>
    </w:p>
    <w:p w:rsidR="00835CBB" w:rsidRPr="00191888" w:rsidRDefault="00835CBB" w:rsidP="00835CBB">
      <w:pPr>
        <w:pStyle w:val="Normal12a24b"/>
      </w:pPr>
      <w:r w:rsidRPr="00191888">
        <w:rPr>
          <w:rStyle w:val="BoldItalic"/>
        </w:rPr>
        <w:t>Pojednanie, stosunki dobrosąsiedzkie i współpraca regionalna</w:t>
      </w:r>
    </w:p>
    <w:p w:rsidR="00835CBB" w:rsidRPr="00191888" w:rsidRDefault="00835CBB" w:rsidP="00835CBB">
      <w:pPr>
        <w:pStyle w:val="NormalHanging12a"/>
      </w:pPr>
      <w:r w:rsidRPr="00191888">
        <w:t>43.</w:t>
      </w:r>
      <w:r w:rsidRPr="00191888">
        <w:tab/>
      </w:r>
      <w:proofErr w:type="gramStart"/>
      <w:r w:rsidRPr="00191888">
        <w:t>przypomina</w:t>
      </w:r>
      <w:proofErr w:type="gramEnd"/>
      <w:r w:rsidRPr="00191888">
        <w:t>, że stosunki dobrosąsiedzkie i współpraca regionalna to zasadnicze elementy procesu rozszerzenia; pochwala aktywne zaangażowanie Czarnogóry w inicjatywy współpracy regionalnej; przypomina, że stosunki dobrosąsiedzkie mają kluczowe znaczenie dla postępów w procesie akcesyjnym;</w:t>
      </w:r>
    </w:p>
    <w:p w:rsidR="00835CBB" w:rsidRPr="00191888" w:rsidRDefault="00835CBB" w:rsidP="00835CBB">
      <w:pPr>
        <w:pStyle w:val="NormalHanging12a"/>
      </w:pPr>
      <w:r w:rsidRPr="00191888">
        <w:t>44.</w:t>
      </w:r>
      <w:r w:rsidRPr="00191888">
        <w:tab/>
      </w:r>
      <w:proofErr w:type="gramStart"/>
      <w:r w:rsidRPr="00191888">
        <w:t>ubolewa</w:t>
      </w:r>
      <w:proofErr w:type="gramEnd"/>
      <w:r w:rsidRPr="00191888">
        <w:t>, że w grudniu 2024 r. nie udało się zamknąć rozdziału 31; wzywa wszystkie zaangażowane strony do rozstrzygnięcia zaległych kwestii dwustronnych w konstruktywny sposób i w duchu sąsiedzkiej współpracy, a także do priorytetowego traktowania przyszłych interesów obywateli Bałkanów Zachodnich; przypomina, że należy unikać wykorzystywania nierozwiązanych sporów dwustronnych i regionalnych do blokowania procesu akcesyjnego krajów kandydujących; z zadowoleniem przyjmuje dwustronne konsultacje między Republiką Chorwacji a Czarnogórą w sprawie statusu nierozwiązanych kwestii dwustronnych; zachęca władze do dalszego stosowania środków budowy zaufania;</w:t>
      </w:r>
    </w:p>
    <w:p w:rsidR="00835CBB" w:rsidRPr="00191888" w:rsidRDefault="00835CBB" w:rsidP="00835CBB">
      <w:pPr>
        <w:pStyle w:val="NormalHanging12a"/>
      </w:pPr>
      <w:r w:rsidRPr="00191888">
        <w:t>45.</w:t>
      </w:r>
      <w:r w:rsidRPr="00191888">
        <w:tab/>
      </w:r>
      <w:proofErr w:type="gramStart"/>
      <w:r w:rsidRPr="00191888">
        <w:t>odnotowuje</w:t>
      </w:r>
      <w:proofErr w:type="gramEnd"/>
      <w:r w:rsidRPr="00191888">
        <w:t xml:space="preserve"> wprowadzone przez Czarnogórę zmiany w kodeksie postępowania karnego służące usunięciu przeszkód prawnych i praktycznych w skutecznym prowadzeniu postępowań przygotowawczych w sprawie zbrodni wojennych, wnoszeniu i popieraniu odnośnych oskarżeń oraz w sądzeniu i karaniu sprawców tych zbrodni zgodnie z odpowiednimi zaleceniami; wzywa Czarnogórę, by stosowała proaktywne podejście do rozpatrywania spraw dotyczących zbrodni wojennych, zgodnie z prawem i standardami międzynarodowymi, by identyfikowała, ścigała i karała sprawców oraz gloryfikację zbrodni wojennych oraz by zapewniła ofiarom dostęp do wymiaru sprawiedliwości, wymierzanie sprawiedliwości, rekompensatę i zadośćuczynienie, a także by wyjaśniła los osób zaginionych; wzywa Czarnogórę, by przydzieliła wystarczające zasoby wyspecjalizowanym prokuratorom i sądom oraz </w:t>
      </w:r>
      <w:proofErr w:type="gramStart"/>
      <w:r w:rsidRPr="00191888">
        <w:t>aktywnie</w:t>
      </w:r>
      <w:proofErr w:type="gramEnd"/>
      <w:r w:rsidRPr="00191888">
        <w:t xml:space="preserve"> badała wszystkie zarzuty dotyczące zbrodni wojennych i poruszała kwestie związane z odpowiedzialnością dowództwa, a także by dokonała przeglądu wcześniejszych spraw, które nie były przedmiotem ścigania karnego zgodnie z prawem międzynarodowym lub krajowym; apeluje o współpracę regionalną w zakresie prowadzenia postępowań przygotowawczych dotyczących osób oskarżonych o zbrodnie wojenne i ścigania takich osób; uznaje, że zajęcie się tymi kwestiami i ochrona faktów potwierdzonych sądowo stanowią ważną podstawę zaufania, wartości demokratycznych, pojednania i zacieśnienia stosunków dwustronnych z krajami sąsiadującymi, i zachęca Czarnogórę do wzmożenia tych wysiłków;</w:t>
      </w:r>
    </w:p>
    <w:p w:rsidR="00835CBB" w:rsidRPr="00191888" w:rsidRDefault="00835CBB" w:rsidP="00835CBB">
      <w:pPr>
        <w:pStyle w:val="NormalHanging12a"/>
      </w:pPr>
      <w:r w:rsidRPr="00191888">
        <w:t>46.</w:t>
      </w:r>
      <w:r w:rsidRPr="00191888">
        <w:tab/>
      </w:r>
      <w:proofErr w:type="gramStart"/>
      <w:r w:rsidRPr="00191888">
        <w:t>ostrzega</w:t>
      </w:r>
      <w:proofErr w:type="gramEnd"/>
      <w:r w:rsidRPr="00191888">
        <w:t xml:space="preserve"> przed zagrożeniami związanymi z rewizjonizmem politycznym, który zniekształca fakty historyczne do celów politycznych, osłabia rozliczalność i pogłębia podziały społeczne; zdecydowanie potępia gloryfikację zbrodniarzy wojennych i powszechne publiczne negowanie międzynarodowych wyroków za zbrodnie wojenne, w tym przez władze Czarnogóry; uważa, że oświadczenie prezydenta </w:t>
      </w:r>
      <w:proofErr w:type="spellStart"/>
      <w:r w:rsidRPr="00191888">
        <w:t>Jakova</w:t>
      </w:r>
      <w:proofErr w:type="spellEnd"/>
      <w:r w:rsidRPr="00191888">
        <w:t xml:space="preserve"> </w:t>
      </w:r>
      <w:proofErr w:type="spellStart"/>
      <w:r w:rsidRPr="00191888">
        <w:t>Milatovicia</w:t>
      </w:r>
      <w:proofErr w:type="spellEnd"/>
      <w:r w:rsidRPr="00191888">
        <w:t>, w którym wyraził ubolewanie z powodu udziału sił czarnogórskich w bombardowaniu Dubrownika, stanowiło cenny wkład w pokój i pojednanie w regionie;</w:t>
      </w:r>
    </w:p>
    <w:p w:rsidR="00835CBB" w:rsidRPr="00191888" w:rsidRDefault="00835CBB" w:rsidP="00835CBB">
      <w:pPr>
        <w:pStyle w:val="NormalHanging12a"/>
      </w:pPr>
      <w:r w:rsidRPr="00191888">
        <w:t>47.</w:t>
      </w:r>
      <w:r w:rsidRPr="00191888">
        <w:tab/>
      </w:r>
      <w:proofErr w:type="gramStart"/>
      <w:r w:rsidRPr="00191888">
        <w:t>ponownie</w:t>
      </w:r>
      <w:proofErr w:type="gramEnd"/>
      <w:r w:rsidRPr="00191888">
        <w:t xml:space="preserve"> wyraża poparcie dla inicjatywy w sprawie utworzenia komisji regionalnej ds. ustalenia faktów dotyczących zbrodni wojennych i innych poważnych przypadków łamania praw człowieka popełnionych w byłej Jugosławii (RECOM);</w:t>
      </w:r>
    </w:p>
    <w:p w:rsidR="00835CBB" w:rsidRPr="00191888" w:rsidRDefault="00835CBB" w:rsidP="00835CBB">
      <w:pPr>
        <w:pStyle w:val="NormalHanging12a"/>
      </w:pPr>
      <w:r w:rsidRPr="00191888">
        <w:t>48.</w:t>
      </w:r>
      <w:r w:rsidRPr="00191888">
        <w:tab/>
      </w:r>
      <w:proofErr w:type="gramStart"/>
      <w:r w:rsidRPr="00191888">
        <w:t>ponawia</w:t>
      </w:r>
      <w:proofErr w:type="gramEnd"/>
      <w:r w:rsidRPr="00191888">
        <w:t xml:space="preserve"> swój apel o otwarcie archiwów dotyczących republik byłej Jugosławii oraz o udostępnienie akt byłych jugosłowiańskich służb specjalnych i tajnych służb Jugosłowiańskiej Armii Ludowej w celu gruntownego zbadania zbrodni z czasów komunistycznych i odniesienia się do nich;</w:t>
      </w:r>
    </w:p>
    <w:p w:rsidR="00835CBB" w:rsidRPr="00191888" w:rsidRDefault="00835CBB" w:rsidP="00835CBB">
      <w:pPr>
        <w:pStyle w:val="Normal12a24b"/>
      </w:pPr>
      <w:r w:rsidRPr="00191888">
        <w:rPr>
          <w:rStyle w:val="BoldItalic"/>
        </w:rPr>
        <w:t>Reformy społeczno-gospodarcze</w:t>
      </w:r>
    </w:p>
    <w:p w:rsidR="00835CBB" w:rsidRPr="00191888" w:rsidRDefault="00835CBB" w:rsidP="00835CBB">
      <w:pPr>
        <w:pStyle w:val="NormalHanging12a"/>
      </w:pPr>
      <w:r w:rsidRPr="00191888">
        <w:t>49.</w:t>
      </w:r>
      <w:r w:rsidRPr="00191888">
        <w:tab/>
      </w:r>
      <w:proofErr w:type="gramStart"/>
      <w:r w:rsidRPr="00191888">
        <w:t>z</w:t>
      </w:r>
      <w:proofErr w:type="gramEnd"/>
      <w:r w:rsidRPr="00191888">
        <w:t xml:space="preserve"> zadowoleniem przyjmuje włączenie Czarnogóry do systemów płatności SEPA, dzięki czemu obywatele i przedsiębiorstwa ponoszą niższe koszty; podkreśla, że otwiera to możliwości w zakresie rozwoju przedsiębiorstw, większej konkurencyjności, innowacji i lepszego dostępu do bezpośrednich inwestycji zagranicznych;</w:t>
      </w:r>
    </w:p>
    <w:p w:rsidR="00835CBB" w:rsidRPr="00191888" w:rsidRDefault="00835CBB" w:rsidP="00835CBB">
      <w:pPr>
        <w:pStyle w:val="NormalHanging12a"/>
      </w:pPr>
      <w:r w:rsidRPr="00191888">
        <w:t>50.</w:t>
      </w:r>
      <w:r w:rsidRPr="00191888">
        <w:tab/>
      </w:r>
      <w:proofErr w:type="gramStart"/>
      <w:r w:rsidRPr="00191888">
        <w:t>z</w:t>
      </w:r>
      <w:proofErr w:type="gramEnd"/>
      <w:r w:rsidRPr="00191888">
        <w:t xml:space="preserve"> zadowoleniem przyjmuje plan wzrostu gospodarczego dla Bałkanów Zachodnich, którego celem jest integracja regionu z jednolitym rynkiem UE, promowanie regionalnej współpracy gospodarczej oraz pogłębienie reform związanych z UE; obejmuje on Instrument Wsparcia Reform i Wzrostu Gospodarczego na Bałkanach Zachodnich o wartości 6 mld EUR; wyraża zadowolenie z przyjęcia przez Czarnogórę programu reform i zachęca do jego pełnego wdrożenia; zauważa, że wdrożenie określonych reform w ramach czarnogórskiego programu reform na potrzeby planu wzrostu gospodarczego zapewniłoby dostęp do ponad 380 mln EUR w formie dotacji i korzystnych pożyczek, o ile reformy te zostałyby wdrożone pomyślnie; podkreśla znaczenie pluralistycznych konsultacji z zainteresowanymi stronami, w tym </w:t>
      </w:r>
      <w:proofErr w:type="gramStart"/>
      <w:r w:rsidRPr="00191888">
        <w:t>władzami</w:t>
      </w:r>
      <w:proofErr w:type="gramEnd"/>
      <w:r w:rsidRPr="00191888">
        <w:t xml:space="preserve"> lokalnymi i regionalnymi, partnerami społecznymi i społeczeństwem obywatelskim, na etapach projektowania, wdrażania, monitorowania i oceny;</w:t>
      </w:r>
    </w:p>
    <w:p w:rsidR="00835CBB" w:rsidRPr="00191888" w:rsidRDefault="00835CBB" w:rsidP="00835CBB">
      <w:pPr>
        <w:pStyle w:val="NormalHanging12a"/>
      </w:pPr>
      <w:r w:rsidRPr="00191888">
        <w:t>51.</w:t>
      </w:r>
      <w:r w:rsidRPr="00191888">
        <w:tab/>
      </w:r>
      <w:proofErr w:type="gramStart"/>
      <w:r w:rsidRPr="00191888">
        <w:t>zachęca</w:t>
      </w:r>
      <w:proofErr w:type="gramEnd"/>
      <w:r w:rsidRPr="00191888">
        <w:t xml:space="preserve"> Czarnogórę, by jak najlepiej wykorzystywała wszystkie fundusze UE dostępne w ramach Instrumentu Pomocy Przedakcesyjnej (IPA III), Planu gospodarczo-inwestycyjnego dla Bałkanów Zachodnich, programu IPARD oraz Instrumentu Wsparcia Reform i Wzrostu Gospodarczego na Bałkanach Zachodnich, by przyspieszyła konwergencję społeczno-gospodarczą z UE i dalej dostosowywała swoje przepisy do prawodawstwa UE w zakresie zapobiegania nadużyciom finansowym; przypomina o warunkowości finansowania UE, które może być modyfikowane lub zawieszone w przypadku znacznego regresu lub stałego braku postępów w kwestiach podstawowych;</w:t>
      </w:r>
    </w:p>
    <w:p w:rsidR="00835CBB" w:rsidRPr="00191888" w:rsidRDefault="00835CBB" w:rsidP="00835CBB">
      <w:pPr>
        <w:pStyle w:val="NormalHanging12a"/>
      </w:pPr>
      <w:r w:rsidRPr="00191888">
        <w:t>52.</w:t>
      </w:r>
      <w:r w:rsidRPr="00191888">
        <w:tab/>
      </w:r>
      <w:proofErr w:type="gramStart"/>
      <w:r w:rsidRPr="00191888">
        <w:t>apeluje</w:t>
      </w:r>
      <w:proofErr w:type="gramEnd"/>
      <w:r w:rsidRPr="00191888">
        <w:t xml:space="preserve"> do UE i krajów Bałkanów Zachodnich o ustanowienie ram skutecznej współpracy między Prokuraturą Europejską (EPPO) a krajami przystępującymi, aby ułatwić ścisłą współpracę i ściganie niewłaściwego wykorzystania środków UE, w tym poprzez oddelegowanie krajowych urzędników łącznikowych do EPPO; zachęca Czarnogórę do pełnego wdrożenia ustaleń roboczych uzgodnionych z EPPO; wzywa UE, by dokonała niezbędnych ustaleń prawnych i politycznych w celu rozszerzenia właściwości EPPO na fundusze UE przeznaczone dla Czarnogóry jako kraju kandydującego;</w:t>
      </w:r>
    </w:p>
    <w:p w:rsidR="00835CBB" w:rsidRPr="00191888" w:rsidRDefault="00835CBB" w:rsidP="00835CBB">
      <w:pPr>
        <w:pStyle w:val="NormalHanging12a"/>
      </w:pPr>
      <w:r w:rsidRPr="00191888">
        <w:t>53.</w:t>
      </w:r>
      <w:r w:rsidRPr="00191888">
        <w:tab/>
      </w:r>
      <w:proofErr w:type="gramStart"/>
      <w:r w:rsidRPr="00191888">
        <w:t>z</w:t>
      </w:r>
      <w:proofErr w:type="gramEnd"/>
      <w:r w:rsidRPr="00191888">
        <w:t xml:space="preserve"> zadowoleniem odnotowuje wzrost gospodarczy Czarnogóry; apeluje o podjęcie dalszych kroków, by zmniejszyć deficyt budżetowy i dług publiczny oraz likwidować kolejne zwolnienia z podatków pośrednich, które nie są zgodne z dorobkiem prawnym UE; z zadowoleniem przyjmuje wysiłki na rzecz zmniejszenia tej podatności na zagrożenia budżetowe; po raz kolejny podkreśla konieczność zwiększenia inwestycji publicznych w system edukacji w celu zapewnienia zrównoważonego rozwoju społeczno-gospodarczego;</w:t>
      </w:r>
    </w:p>
    <w:p w:rsidR="00835CBB" w:rsidRPr="00191888" w:rsidRDefault="00835CBB" w:rsidP="00835CBB">
      <w:pPr>
        <w:pStyle w:val="NormalHanging12a"/>
      </w:pPr>
      <w:r w:rsidRPr="00191888">
        <w:t>54.</w:t>
      </w:r>
      <w:r w:rsidRPr="00191888">
        <w:tab/>
      </w:r>
      <w:proofErr w:type="gramStart"/>
      <w:r w:rsidRPr="00191888">
        <w:t>odnotowuje</w:t>
      </w:r>
      <w:proofErr w:type="gramEnd"/>
      <w:r w:rsidRPr="00191888">
        <w:t xml:space="preserve"> dług publiczny Czarnogóry wobec zagranicznych instytucji finansowych i przedsiębiorstw; może on być wykorzystany jako narzędzie wpływania na decyzje w zakresie polityki, zwłaszcza związane z Chinami i Rosją; z zadowoleniem przyjmuje wysiłki na rzecz ograniczenia tych słabych punktów i wzywa władze do dalszego ograniczania zależności gospodarczej od Chin i do dalszego korzystania z Planu gospodarczo-inwestycyjnego dla Bałkanów Zachodnich, unijnej inicjatywy Global Gateway i Instrumentu Wsparcia Reform i Wzrostu Gospodarczego, by znaleźć bardziej ekologiczną i przejrzystą alternatywę, jeśli chodzi o finansowanie projektów infrastrukturalnych; wzywa Czarnogórę do zwiększenia przejrzystości przyszłych projektów infrastrukturalnych, zapewnienia przetargów konkurencyjnych i unikania nadmiernej zależności od zagranicznych wierzycieli;</w:t>
      </w:r>
    </w:p>
    <w:p w:rsidR="00835CBB" w:rsidRPr="00191888" w:rsidRDefault="00835CBB" w:rsidP="00835CBB">
      <w:pPr>
        <w:pStyle w:val="NormalHanging12a"/>
      </w:pPr>
      <w:r w:rsidRPr="00191888">
        <w:t>55.</w:t>
      </w:r>
      <w:r w:rsidRPr="00191888">
        <w:tab/>
      </w:r>
      <w:proofErr w:type="gramStart"/>
      <w:r w:rsidRPr="00191888">
        <w:t>wzywa</w:t>
      </w:r>
      <w:proofErr w:type="gramEnd"/>
      <w:r w:rsidRPr="00191888">
        <w:t xml:space="preserve"> władze Czarnogóry, by wprowadziły środki w celu przeciwdziałania wyludnianiu i emigracji, w szczególności przez inwestycje w kształcenie i opiekę zdrowotną, zwłaszcza w północnej części kraju, oraz w drodze decentralizacji przez inwestycje w miasta średniej wielkości;</w:t>
      </w:r>
    </w:p>
    <w:p w:rsidR="00835CBB" w:rsidRPr="00191888" w:rsidRDefault="00835CBB" w:rsidP="00835CBB">
      <w:pPr>
        <w:pStyle w:val="NormalHanging12a"/>
      </w:pPr>
      <w:r w:rsidRPr="00191888">
        <w:t>56.</w:t>
      </w:r>
      <w:r w:rsidRPr="00191888">
        <w:tab/>
      </w:r>
      <w:proofErr w:type="gramStart"/>
      <w:r w:rsidRPr="00191888">
        <w:t>zachęca</w:t>
      </w:r>
      <w:proofErr w:type="gramEnd"/>
      <w:r w:rsidRPr="00191888">
        <w:t xml:space="preserve"> władze Czarnogóry do pobudzenia transformacji cyfrowej i prowadzenia opartej na dowodach polityki rynku pracy, aby rozwiązać problem utrzymującej się wysokiej stopy bezrobocia, w szczególności wśród kobiet i ludzi młodych, przy jednoczesnym wzmocnieniu zdolności instytucjonalnych i związanych z nimi ram polityki cyfrowej, a także do skutecznego wdrożenia gwarancji dla młodzieży i nowej strategii na rzecz młodzieży; wzywa władze, by pilnie zajęły się drenażem mózgów; zachęca do opracowania ukierunkowanych środków zapobiegawczych i zachęt do zalegalizowania nieformalnych przedsiębiorstw i pracowników, ponieważ duży sektor nieformalny nadal blokuje rozwój społeczno-gospodarczy Czarnogóry;</w:t>
      </w:r>
    </w:p>
    <w:p w:rsidR="00835CBB" w:rsidRPr="00191888" w:rsidRDefault="00835CBB" w:rsidP="00835CBB">
      <w:pPr>
        <w:pStyle w:val="NormalHanging12a"/>
      </w:pPr>
      <w:r w:rsidRPr="00191888">
        <w:t>57.</w:t>
      </w:r>
      <w:r w:rsidRPr="00191888">
        <w:tab/>
      </w:r>
      <w:proofErr w:type="gramStart"/>
      <w:r w:rsidRPr="00191888">
        <w:t>z</w:t>
      </w:r>
      <w:proofErr w:type="gramEnd"/>
      <w:r w:rsidRPr="00191888">
        <w:t xml:space="preserve"> zadowoleniem przyjmuje apele o szybką integrację wszystkich krajów Bałkanów Zachodnich z jednolitym rynkiem cyfrowym UE przed faktycznym członkostwem w UE, co byłoby niezwykle korzystne dla stworzenia środowiska bezpiecznego pod względem cyfrowym;</w:t>
      </w:r>
    </w:p>
    <w:p w:rsidR="00835CBB" w:rsidRPr="00191888" w:rsidRDefault="00835CBB" w:rsidP="00835CBB">
      <w:pPr>
        <w:pStyle w:val="NormalHanging12a"/>
      </w:pPr>
      <w:r w:rsidRPr="00191888">
        <w:t>58.</w:t>
      </w:r>
      <w:r w:rsidRPr="00191888">
        <w:tab/>
      </w:r>
      <w:proofErr w:type="gramStart"/>
      <w:r w:rsidRPr="00191888">
        <w:t>apeluje</w:t>
      </w:r>
      <w:proofErr w:type="gramEnd"/>
      <w:r w:rsidRPr="00191888">
        <w:t xml:space="preserve"> o większą przejrzystość zamówień publicznych, w szczególności w odniesieniu do procedur za pośrednictwem umów międzyrządowych, oraz o pełną zgodność z przepisami i zasadami UE; wzywa Czarnogórę do ograniczenia liczby postępowań o udzielenie zamówienia publicznego bez ogłoszeń; wyraża zaniepokojenie obciążeniem finansowym i brakiem przejrzystości w związku z budową autostrady Bar–</w:t>
      </w:r>
      <w:proofErr w:type="spellStart"/>
      <w:r w:rsidRPr="00191888">
        <w:t>Boljare</w:t>
      </w:r>
      <w:proofErr w:type="spellEnd"/>
      <w:r w:rsidRPr="00191888">
        <w:t xml:space="preserve"> finansowanej z chińskiej pożyczki; podkreśla, że tajemnica związana z umowami pożyczki i umowami budowlanymi budzi obawy dotyczące rozliczalności;</w:t>
      </w:r>
    </w:p>
    <w:p w:rsidR="00835CBB" w:rsidRPr="00191888" w:rsidRDefault="00835CBB" w:rsidP="00835CBB">
      <w:pPr>
        <w:pStyle w:val="NormalHanging12a"/>
      </w:pPr>
      <w:r w:rsidRPr="00191888">
        <w:t>59.</w:t>
      </w:r>
      <w:r w:rsidRPr="00191888">
        <w:tab/>
      </w:r>
      <w:proofErr w:type="gramStart"/>
      <w:r w:rsidRPr="00191888">
        <w:t>wyraża</w:t>
      </w:r>
      <w:proofErr w:type="gramEnd"/>
      <w:r w:rsidRPr="00191888">
        <w:t xml:space="preserve"> zaniepokojenie wszelkimi umowami lub projektami, które obchodzą przepisy dotyczące zamówień publicznych, obowiązki w zakresie przejrzystości i wymogi dotyczące konsultacji publicznych określone w przepisach krajowych i standardach UE; wzywa rząd Czarnogóry do zapewnienia pełnego poszanowania zasad przejrzystości, rozliczalności, </w:t>
      </w:r>
      <w:proofErr w:type="spellStart"/>
      <w:r w:rsidRPr="00191888">
        <w:t>inkluzywnego</w:t>
      </w:r>
      <w:proofErr w:type="spellEnd"/>
      <w:r w:rsidRPr="00191888">
        <w:t xml:space="preserve"> podejmowania decyzji i praworządności we wszystkich inicjatywach dotyczących infrastruktury publicznej i rozwoju;</w:t>
      </w:r>
    </w:p>
    <w:p w:rsidR="00835CBB" w:rsidRPr="00191888" w:rsidRDefault="00835CBB" w:rsidP="00835CBB">
      <w:pPr>
        <w:pStyle w:val="Normal12a24b"/>
      </w:pPr>
      <w:r w:rsidRPr="00191888">
        <w:rPr>
          <w:rStyle w:val="BoldItalic"/>
        </w:rPr>
        <w:t>Energia, środowisko, różnorodność biologiczna i łączność</w:t>
      </w:r>
    </w:p>
    <w:p w:rsidR="00835CBB" w:rsidRPr="00191888" w:rsidRDefault="00835CBB" w:rsidP="00835CBB">
      <w:pPr>
        <w:pStyle w:val="NormalHanging12a"/>
      </w:pPr>
      <w:r w:rsidRPr="00191888">
        <w:t>60.</w:t>
      </w:r>
      <w:r w:rsidRPr="00191888">
        <w:tab/>
      </w:r>
      <w:proofErr w:type="gramStart"/>
      <w:r w:rsidRPr="00191888">
        <w:t>wzywa</w:t>
      </w:r>
      <w:proofErr w:type="gramEnd"/>
      <w:r w:rsidRPr="00191888">
        <w:t xml:space="preserve"> Czarnogórę do przyspieszenia transformacji ekologicznej przy wsparciu ze środków UE, a także do poprawy ram instytucjonalnych i regulacyjnych oraz do zwiększenia odporności energetycznej poprzez przyjęcie wreszcie i wdrożenie dawno oczekiwanego krajowego planu w dziedzinie energii i klimatu, przyjęcie przepisów dotyczących efektywności energetycznej i dalszą integrację z rynkami energii UE; apeluje, by wszystkie nowe projekty w zakresie transformacji ekologicznej były realizowane zgodnie z unijnymi standardami dotyczącymi środowiska, pomocy państwa i koncesji;</w:t>
      </w:r>
    </w:p>
    <w:p w:rsidR="00835CBB" w:rsidRPr="00191888" w:rsidRDefault="00835CBB" w:rsidP="00835CBB">
      <w:pPr>
        <w:pStyle w:val="NormalHanging12a"/>
      </w:pPr>
      <w:r w:rsidRPr="00191888">
        <w:t>61.</w:t>
      </w:r>
      <w:r w:rsidRPr="00191888">
        <w:tab/>
      </w:r>
      <w:proofErr w:type="gramStart"/>
      <w:r w:rsidRPr="00191888">
        <w:t>wyraża</w:t>
      </w:r>
      <w:proofErr w:type="gramEnd"/>
      <w:r w:rsidRPr="00191888">
        <w:t xml:space="preserve"> ubolewanie z powodu braku postępów w zakresie kluczowych reform sektorowych w obszarze polityki transportowej; wzywa władze Czarnogóry do dostosowania rozwoju transportu w tym kraju do strategii na rzecz zrównoważonej i inteligentnej mobilności dla Bałkanów Zachodnich, ze szczególnym uwzględnieniem kolei, multimodalności oraz ograniczenia emisji CO</w:t>
      </w:r>
      <w:r w:rsidRPr="00191888">
        <w:rPr>
          <w:vertAlign w:val="subscript"/>
        </w:rPr>
        <w:t>2</w:t>
      </w:r>
      <w:r w:rsidRPr="00191888">
        <w:t xml:space="preserve"> i innego wpływu na środowisko, a także do dalszego wdrażania strategii rozwoju transportu i wzmocnienia zdolności administracyjnych na potrzeby wdrażania transeuropejskich sieci transportowych; </w:t>
      </w:r>
    </w:p>
    <w:p w:rsidR="00835CBB" w:rsidRPr="00191888" w:rsidRDefault="00835CBB" w:rsidP="00835CBB">
      <w:pPr>
        <w:pStyle w:val="NormalHanging12a"/>
      </w:pPr>
      <w:r w:rsidRPr="00191888">
        <w:t>62.</w:t>
      </w:r>
      <w:r w:rsidRPr="00191888">
        <w:tab/>
      </w:r>
      <w:proofErr w:type="gramStart"/>
      <w:r w:rsidRPr="00191888">
        <w:t>z</w:t>
      </w:r>
      <w:proofErr w:type="gramEnd"/>
      <w:r w:rsidRPr="00191888">
        <w:t xml:space="preserve"> zadowoleniem przyjmuje obniżenie opłat za transmisję danych w </w:t>
      </w:r>
      <w:proofErr w:type="spellStart"/>
      <w:r w:rsidRPr="00191888">
        <w:t>roamingu</w:t>
      </w:r>
      <w:proofErr w:type="spellEnd"/>
      <w:r w:rsidRPr="00191888">
        <w:t xml:space="preserve"> między UE a krajami Bałkanów Zachodnich i apeluje do władz, podmiotów prywatnych i wszystkich zainteresowanych stron o podjęcie wszelkich niezbędnych kroków, aby osiągnąć cel, jakim jest zbliżenie do 2028 r. cen transmisji danych w </w:t>
      </w:r>
      <w:proofErr w:type="spellStart"/>
      <w:r w:rsidRPr="00191888">
        <w:t>roamingu</w:t>
      </w:r>
      <w:proofErr w:type="spellEnd"/>
      <w:r w:rsidRPr="00191888">
        <w:t xml:space="preserve"> do cen krajowych; z zadowoleniem przyjmuje wejście w życie pierwszego etapu wdrażania planu działania dotyczącego </w:t>
      </w:r>
      <w:proofErr w:type="spellStart"/>
      <w:r w:rsidRPr="00191888">
        <w:t>roamingu</w:t>
      </w:r>
      <w:proofErr w:type="spellEnd"/>
      <w:r w:rsidRPr="00191888">
        <w:t xml:space="preserve"> między Bałkanami Zachodnimi a UE;</w:t>
      </w:r>
    </w:p>
    <w:p w:rsidR="00835CBB" w:rsidRPr="00191888" w:rsidRDefault="00835CBB" w:rsidP="00835CBB">
      <w:pPr>
        <w:pStyle w:val="NormalHanging12a"/>
      </w:pPr>
      <w:r w:rsidRPr="00191888">
        <w:t>63.</w:t>
      </w:r>
      <w:r w:rsidRPr="00191888">
        <w:tab/>
      </w:r>
      <w:proofErr w:type="gramStart"/>
      <w:r w:rsidRPr="00191888">
        <w:t>zachęca</w:t>
      </w:r>
      <w:proofErr w:type="gramEnd"/>
      <w:r w:rsidRPr="00191888">
        <w:t xml:space="preserve"> do przyjęcia sektorowych strategii dotyczących gospodarowania odpadami, jakości powietrza i wody, ochrony przyrody i zmiany klimatu, zapewniających strategiczne planowanie inwestycji; zauważa brak postępów i związany z tym wzrost kosztów budowy oczyszczalni ścieków, które są niezbędne, aby zapobiegać zanieczyszczaniu rzek i morza ściekami w siedmiu gminach;</w:t>
      </w:r>
    </w:p>
    <w:p w:rsidR="00835CBB" w:rsidRPr="00191888" w:rsidRDefault="00835CBB" w:rsidP="00835CBB">
      <w:pPr>
        <w:pStyle w:val="NormalCenter12a"/>
      </w:pPr>
      <w:r w:rsidRPr="00191888">
        <w:t>°</w:t>
      </w:r>
    </w:p>
    <w:p w:rsidR="00835CBB" w:rsidRPr="00191888" w:rsidRDefault="00835CBB" w:rsidP="00835CBB">
      <w:pPr>
        <w:pStyle w:val="NormalCenter12a"/>
      </w:pPr>
      <w:r w:rsidRPr="00191888">
        <w:t>°</w:t>
      </w:r>
      <w:r w:rsidRPr="00191888">
        <w:tab/>
        <w:t>°</w:t>
      </w:r>
    </w:p>
    <w:p w:rsidR="00191888" w:rsidRPr="00191888" w:rsidRDefault="00835CBB" w:rsidP="00191888">
      <w:pPr>
        <w:pStyle w:val="NormalHanging12a"/>
      </w:pPr>
      <w:r w:rsidRPr="00191888">
        <w:t>64.</w:t>
      </w:r>
      <w:r w:rsidRPr="00191888">
        <w:tab/>
      </w:r>
      <w:proofErr w:type="gramStart"/>
      <w:r w:rsidRPr="00191888">
        <w:t>zobowiązuje</w:t>
      </w:r>
      <w:proofErr w:type="gramEnd"/>
      <w:r w:rsidRPr="00191888">
        <w:t xml:space="preserve"> swoją przewodniczącą do przekazania niniejszej rezolucji Radzie, Komisji, wiceprzewodniczącej Komisji / wysokiej przedstawicielce Unii do spraw zagranicznych i polityki bezpieczeństwa, komisarz do spraw rozszerzenia, komisarz do spraw regionu śródziemnomorskiego, rządom i parlamentom państw członkowskich oraz prezydentowi, rządowi i parlamentowi Czarnogóry, a także do zapewnienia jej przetłumaczenia na język czarnogórski i opublikowania w tym języku.</w:t>
      </w:r>
    </w:p>
    <w:sectPr w:rsidR="00191888" w:rsidRPr="00191888" w:rsidSect="0019188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357" w:rsidRPr="00191888" w:rsidRDefault="004E1357">
      <w:r w:rsidRPr="00191888">
        <w:separator/>
      </w:r>
    </w:p>
  </w:endnote>
  <w:endnote w:type="continuationSeparator" w:id="0">
    <w:p w:rsidR="004E1357" w:rsidRPr="00191888" w:rsidRDefault="004E1357">
      <w:r w:rsidRPr="001918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18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18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18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357" w:rsidRPr="00191888" w:rsidRDefault="004E1357">
      <w:r w:rsidRPr="00191888">
        <w:separator/>
      </w:r>
    </w:p>
  </w:footnote>
  <w:footnote w:type="continuationSeparator" w:id="0">
    <w:p w:rsidR="004E1357" w:rsidRPr="00191888" w:rsidRDefault="004E1357">
      <w:r w:rsidRPr="00191888">
        <w:continuationSeparator/>
      </w:r>
    </w:p>
  </w:footnote>
  <w:footnote w:id="1">
    <w:p w:rsidR="00835CBB" w:rsidRPr="00191888" w:rsidRDefault="00835CBB" w:rsidP="00191888">
      <w:pPr>
        <w:pStyle w:val="FootnoteText"/>
        <w:ind w:left="567" w:hanging="567"/>
        <w:rPr>
          <w:sz w:val="24"/>
          <w:lang w:val="pl-PL"/>
        </w:rPr>
      </w:pPr>
      <w:r w:rsidRPr="00191888">
        <w:rPr>
          <w:rStyle w:val="FootnoteReference"/>
          <w:sz w:val="24"/>
          <w:lang w:val="pl-PL"/>
        </w:rPr>
        <w:footnoteRef/>
      </w:r>
      <w:r w:rsidR="00191888" w:rsidRPr="00191888">
        <w:rPr>
          <w:sz w:val="24"/>
          <w:lang w:val="pl-PL"/>
        </w:rPr>
        <w:t xml:space="preserve"> </w:t>
      </w:r>
      <w:r w:rsidR="00191888" w:rsidRPr="00191888">
        <w:rPr>
          <w:sz w:val="24"/>
          <w:lang w:val="pl-PL"/>
        </w:rPr>
        <w:tab/>
      </w:r>
      <w:r w:rsidRPr="00191888">
        <w:rPr>
          <w:sz w:val="24"/>
          <w:lang w:val="pl-PL"/>
        </w:rPr>
        <w:t xml:space="preserve">Dz.U. L 108 z 29.4.2010, </w:t>
      </w:r>
      <w:proofErr w:type="gramStart"/>
      <w:r w:rsidRPr="00191888">
        <w:rPr>
          <w:sz w:val="24"/>
          <w:lang w:val="pl-PL"/>
        </w:rPr>
        <w:t>s</w:t>
      </w:r>
      <w:proofErr w:type="gramEnd"/>
      <w:r w:rsidRPr="00191888">
        <w:rPr>
          <w:sz w:val="24"/>
          <w:lang w:val="pl-PL"/>
        </w:rPr>
        <w:t xml:space="preserve">. 3, ELI: </w:t>
      </w:r>
      <w:hyperlink r:id="rId1" w:history="1">
        <w:r w:rsidRPr="00191888">
          <w:rPr>
            <w:rStyle w:val="Hyperlink"/>
            <w:sz w:val="24"/>
            <w:lang w:val="pl-PL"/>
          </w:rPr>
          <w:t>http://data.europa.eu/eli/agree_internation/2010/224/oj</w:t>
        </w:r>
      </w:hyperlink>
      <w:r w:rsidRPr="00191888">
        <w:rPr>
          <w:sz w:val="24"/>
          <w:lang w:val="pl-PL"/>
        </w:rPr>
        <w:t xml:space="preserve">. </w:t>
      </w:r>
    </w:p>
  </w:footnote>
  <w:footnote w:id="2">
    <w:p w:rsidR="00835CBB" w:rsidRPr="00191888" w:rsidRDefault="00835CBB" w:rsidP="00191888">
      <w:pPr>
        <w:pStyle w:val="FootnoteText"/>
        <w:ind w:left="567" w:hanging="567"/>
        <w:rPr>
          <w:sz w:val="24"/>
          <w:lang w:val="pl-PL"/>
        </w:rPr>
      </w:pPr>
      <w:r w:rsidRPr="00191888">
        <w:rPr>
          <w:rStyle w:val="FootnoteReference"/>
          <w:sz w:val="24"/>
          <w:lang w:val="pl-PL"/>
        </w:rPr>
        <w:footnoteRef/>
      </w:r>
      <w:r w:rsidR="00191888" w:rsidRPr="00191888">
        <w:rPr>
          <w:sz w:val="24"/>
          <w:lang w:val="pl-PL"/>
        </w:rPr>
        <w:t xml:space="preserve"> </w:t>
      </w:r>
      <w:r w:rsidR="00191888" w:rsidRPr="00191888">
        <w:rPr>
          <w:sz w:val="24"/>
          <w:lang w:val="pl-PL"/>
        </w:rPr>
        <w:tab/>
      </w:r>
      <w:r w:rsidRPr="00191888">
        <w:rPr>
          <w:sz w:val="24"/>
          <w:lang w:val="pl-PL"/>
        </w:rPr>
        <w:t xml:space="preserve">Dz.U. L 330 z 20.9.2021, </w:t>
      </w:r>
      <w:proofErr w:type="gramStart"/>
      <w:r w:rsidRPr="00191888">
        <w:rPr>
          <w:sz w:val="24"/>
          <w:lang w:val="pl-PL"/>
        </w:rPr>
        <w:t>s</w:t>
      </w:r>
      <w:proofErr w:type="gramEnd"/>
      <w:r w:rsidRPr="00191888">
        <w:rPr>
          <w:sz w:val="24"/>
          <w:lang w:val="pl-PL"/>
        </w:rPr>
        <w:t xml:space="preserve">. 1, ELI: </w:t>
      </w:r>
      <w:r w:rsidR="00C355FF">
        <w:fldChar w:fldCharType="begin"/>
      </w:r>
      <w:r w:rsidR="00C355FF" w:rsidRPr="00C355FF">
        <w:rPr>
          <w:lang w:val="pl-PL"/>
        </w:rPr>
        <w:instrText xml:space="preserve"> HYPERLINK "http://data.europa.eu/eli/reg/2021/1529/oj" </w:instrText>
      </w:r>
      <w:r w:rsidR="00C355FF">
        <w:fldChar w:fldCharType="separate"/>
      </w:r>
      <w:r w:rsidRPr="00191888">
        <w:rPr>
          <w:rStyle w:val="Hyperlink"/>
          <w:sz w:val="24"/>
          <w:lang w:val="pl-PL"/>
        </w:rPr>
        <w:t>http://data.europa.eu/eli/reg/2021/1529/oj</w:t>
      </w:r>
      <w:r w:rsidR="00C355FF">
        <w:rPr>
          <w:rStyle w:val="Hyperlink"/>
          <w:sz w:val="24"/>
          <w:lang w:val="pl-PL"/>
        </w:rPr>
        <w:fldChar w:fldCharType="end"/>
      </w:r>
      <w:r w:rsidRPr="00191888">
        <w:rPr>
          <w:sz w:val="24"/>
          <w:lang w:val="pl-PL"/>
        </w:rPr>
        <w:t xml:space="preserve">. </w:t>
      </w:r>
    </w:p>
  </w:footnote>
  <w:footnote w:id="3">
    <w:p w:rsidR="00835CBB" w:rsidRPr="00C355FF" w:rsidRDefault="00835CBB" w:rsidP="00191888">
      <w:pPr>
        <w:pStyle w:val="FootnoteText"/>
        <w:ind w:left="567" w:hanging="567"/>
        <w:rPr>
          <w:sz w:val="24"/>
          <w:lang w:val="fi-FI"/>
        </w:rPr>
      </w:pPr>
      <w:r w:rsidRPr="00191888">
        <w:rPr>
          <w:rStyle w:val="FootnoteReference"/>
          <w:sz w:val="24"/>
          <w:lang w:val="pl-PL"/>
        </w:rPr>
        <w:footnoteRef/>
      </w:r>
      <w:r w:rsidR="00191888" w:rsidRPr="00C355FF">
        <w:rPr>
          <w:sz w:val="24"/>
          <w:lang w:val="fi-FI"/>
        </w:rPr>
        <w:t xml:space="preserve"> </w:t>
      </w:r>
      <w:r w:rsidR="00191888" w:rsidRPr="00C355FF">
        <w:rPr>
          <w:sz w:val="24"/>
          <w:lang w:val="fi-FI"/>
        </w:rPr>
        <w:tab/>
      </w:r>
      <w:r w:rsidRPr="00C355FF">
        <w:rPr>
          <w:sz w:val="24"/>
          <w:lang w:val="fi-FI"/>
        </w:rPr>
        <w:t xml:space="preserve">Dz.U. L, 2024/1449, 24.5.2024, ELI: </w:t>
      </w:r>
      <w:r w:rsidR="00C355FF">
        <w:fldChar w:fldCharType="begin"/>
      </w:r>
      <w:r w:rsidR="00C355FF" w:rsidRPr="00C355FF">
        <w:rPr>
          <w:lang w:val="fi-FI"/>
        </w:rPr>
        <w:instrText xml:space="preserve"> HYPERLINK "http://data.europa.eu/eli/reg/2024/1449/oj" </w:instrText>
      </w:r>
      <w:r w:rsidR="00C355FF">
        <w:fldChar w:fldCharType="separate"/>
      </w:r>
      <w:r w:rsidRPr="00C355FF">
        <w:rPr>
          <w:rStyle w:val="Hyperlink"/>
          <w:sz w:val="24"/>
          <w:lang w:val="fi-FI"/>
        </w:rPr>
        <w:t>http://data.europa.eu/eli/reg/2024/1449/oj</w:t>
      </w:r>
      <w:r w:rsidR="00C355FF">
        <w:rPr>
          <w:rStyle w:val="Hyperlink"/>
          <w:sz w:val="24"/>
          <w:lang w:val="pl-PL"/>
        </w:rPr>
        <w:fldChar w:fldCharType="end"/>
      </w:r>
      <w:r w:rsidRPr="00C355FF">
        <w:rPr>
          <w:sz w:val="24"/>
          <w:lang w:val="fi-FI"/>
        </w:rPr>
        <w:t xml:space="preserve">. </w:t>
      </w:r>
    </w:p>
  </w:footnote>
  <w:footnote w:id="4">
    <w:p w:rsidR="00835CBB" w:rsidRPr="00191888" w:rsidRDefault="00835CBB" w:rsidP="00191888">
      <w:pPr>
        <w:pStyle w:val="FootnoteText"/>
        <w:ind w:left="567" w:hanging="567"/>
        <w:rPr>
          <w:sz w:val="24"/>
          <w:lang w:val="pl-PL"/>
        </w:rPr>
      </w:pPr>
      <w:r w:rsidRPr="00191888">
        <w:rPr>
          <w:rStyle w:val="FootnoteReference"/>
          <w:sz w:val="24"/>
          <w:lang w:val="pl-PL"/>
        </w:rPr>
        <w:footnoteRef/>
      </w:r>
      <w:r w:rsidR="00191888" w:rsidRPr="00191888">
        <w:rPr>
          <w:sz w:val="24"/>
          <w:lang w:val="pl-PL"/>
        </w:rPr>
        <w:t xml:space="preserve"> </w:t>
      </w:r>
      <w:r w:rsidR="00191888" w:rsidRPr="00191888">
        <w:rPr>
          <w:sz w:val="24"/>
          <w:lang w:val="pl-PL"/>
        </w:rPr>
        <w:tab/>
      </w:r>
      <w:r w:rsidRPr="00191888">
        <w:rPr>
          <w:sz w:val="24"/>
          <w:lang w:val="pl-PL"/>
        </w:rPr>
        <w:t xml:space="preserve">Dz.U. C 167 z 11.5.2023, </w:t>
      </w:r>
      <w:proofErr w:type="gramStart"/>
      <w:r w:rsidRPr="00191888">
        <w:rPr>
          <w:sz w:val="24"/>
          <w:lang w:val="pl-PL"/>
        </w:rPr>
        <w:t>s</w:t>
      </w:r>
      <w:proofErr w:type="gramEnd"/>
      <w:r w:rsidRPr="00191888">
        <w:rPr>
          <w:sz w:val="24"/>
          <w:lang w:val="pl-PL"/>
        </w:rPr>
        <w:t>. 105.</w:t>
      </w:r>
    </w:p>
  </w:footnote>
  <w:footnote w:id="5">
    <w:p w:rsidR="00835CBB" w:rsidRPr="00191888" w:rsidRDefault="00835CBB" w:rsidP="00191888">
      <w:pPr>
        <w:pStyle w:val="FootnoteText"/>
        <w:ind w:left="567" w:hanging="567"/>
        <w:rPr>
          <w:sz w:val="24"/>
          <w:lang w:val="pl-PL"/>
        </w:rPr>
      </w:pPr>
      <w:r w:rsidRPr="00191888">
        <w:rPr>
          <w:rStyle w:val="FootnoteReference"/>
          <w:sz w:val="24"/>
          <w:lang w:val="pl-PL"/>
        </w:rPr>
        <w:footnoteRef/>
      </w:r>
      <w:r w:rsidR="00191888" w:rsidRPr="00191888">
        <w:rPr>
          <w:sz w:val="24"/>
          <w:lang w:val="pl-PL"/>
        </w:rPr>
        <w:t xml:space="preserve"> </w:t>
      </w:r>
      <w:r w:rsidR="00191888" w:rsidRPr="00191888">
        <w:rPr>
          <w:sz w:val="24"/>
          <w:lang w:val="pl-PL"/>
        </w:rPr>
        <w:tab/>
      </w:r>
      <w:r w:rsidRPr="00191888">
        <w:rPr>
          <w:sz w:val="24"/>
          <w:lang w:val="pl-PL"/>
        </w:rPr>
        <w:t xml:space="preserve">Dz.U. C, C/2024/6746, 26.11.2024, ELI: </w:t>
      </w:r>
      <w:r w:rsidR="00C355FF">
        <w:fldChar w:fldCharType="begin"/>
      </w:r>
      <w:r w:rsidR="00C355FF" w:rsidRPr="00C355FF">
        <w:rPr>
          <w:lang w:val="pl-PL"/>
        </w:rPr>
        <w:instrText xml:space="preserve"> HYPERLINK "http://data.europa.eu/eli/C/2024/6746/oj" </w:instrText>
      </w:r>
      <w:r w:rsidR="00C355FF">
        <w:fldChar w:fldCharType="separate"/>
      </w:r>
      <w:r w:rsidRPr="00191888">
        <w:rPr>
          <w:rStyle w:val="Hyperlink"/>
          <w:sz w:val="24"/>
          <w:lang w:val="pl-PL"/>
        </w:rPr>
        <w:t>http://data.europa.eu/eli/C/2024/6746/oj</w:t>
      </w:r>
      <w:r w:rsidR="00C355FF">
        <w:rPr>
          <w:rStyle w:val="Hyperlink"/>
          <w:sz w:val="24"/>
          <w:lang w:val="pl-PL"/>
        </w:rPr>
        <w:fldChar w:fldCharType="end"/>
      </w:r>
      <w:r w:rsidRPr="00191888">
        <w:rPr>
          <w:sz w:val="24"/>
          <w:lang w:val="pl-PL"/>
        </w:rPr>
        <w:t xml:space="preserve">. </w:t>
      </w:r>
    </w:p>
  </w:footnote>
  <w:footnote w:id="6">
    <w:p w:rsidR="00835CBB" w:rsidRPr="00191888" w:rsidRDefault="00835CBB" w:rsidP="00191888">
      <w:pPr>
        <w:pStyle w:val="FootnoteText"/>
        <w:ind w:left="567" w:hanging="567"/>
        <w:rPr>
          <w:sz w:val="24"/>
          <w:lang w:val="pl-PL"/>
        </w:rPr>
      </w:pPr>
      <w:r w:rsidRPr="00191888">
        <w:rPr>
          <w:rStyle w:val="FootnoteReference"/>
          <w:sz w:val="24"/>
          <w:lang w:val="pl-PL"/>
        </w:rPr>
        <w:footnoteRef/>
      </w:r>
      <w:r w:rsidR="00191888" w:rsidRPr="00191888">
        <w:rPr>
          <w:sz w:val="24"/>
          <w:lang w:val="pl-PL"/>
        </w:rPr>
        <w:t xml:space="preserve"> </w:t>
      </w:r>
      <w:r w:rsidR="00191888" w:rsidRPr="00191888">
        <w:rPr>
          <w:sz w:val="24"/>
          <w:lang w:val="pl-PL"/>
        </w:rPr>
        <w:tab/>
      </w:r>
      <w:r w:rsidR="00C355FF">
        <w:fldChar w:fldCharType="begin"/>
      </w:r>
      <w:r w:rsidR="00C355FF" w:rsidRPr="00C355FF">
        <w:rPr>
          <w:lang w:val="pl-PL"/>
        </w:rPr>
        <w:instrText xml:space="preserve"> HYPERLINK "https://www.osce.org/odihr/elections/montenegro" </w:instrText>
      </w:r>
      <w:r w:rsidR="00C355FF">
        <w:fldChar w:fldCharType="separate"/>
      </w:r>
      <w:r w:rsidRPr="00191888">
        <w:rPr>
          <w:rStyle w:val="Hyperlink"/>
          <w:sz w:val="24"/>
          <w:lang w:val="pl-PL"/>
        </w:rPr>
        <w:t>https://www.osce.org/odihr/elections/montenegro</w:t>
      </w:r>
      <w:r w:rsidR="00C355FF">
        <w:rPr>
          <w:rStyle w:val="Hyperlink"/>
          <w:sz w:val="24"/>
          <w:lang w:val="pl-PL"/>
        </w:rPr>
        <w:fldChar w:fldCharType="end"/>
      </w:r>
      <w:r w:rsidRPr="00191888">
        <w:rPr>
          <w:color w:val="0000FF"/>
          <w:sz w:val="24"/>
          <w:u w:val="single" w:color="0000FF"/>
          <w:lang w:val="pl-PL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18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18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18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93/2025"/>
    <w:docVar w:name="dvlangue" w:val="PL"/>
    <w:docVar w:name="dvnumam" w:val="0"/>
    <w:docVar w:name="dvpe" w:val="769.896"/>
    <w:docVar w:name="dvrapporteur" w:val="Sprawozdawca: "/>
    <w:docVar w:name="dvtitre" w:val="Rezolucja Parlamentu Europejskiego z dnia  2025 r. w sprawie sprawozdań Komisji dotyczących Czarnogóry za lata 2023 i 2024(2025/2020(INI))"/>
  </w:docVars>
  <w:rsids>
    <w:rsidRoot w:val="004E135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1888"/>
    <w:rsid w:val="001F32AE"/>
    <w:rsid w:val="002767FF"/>
    <w:rsid w:val="00280C70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135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5CBB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55F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1D2B1F"/>
  <w15:chartTrackingRefBased/>
  <w15:docId w15:val="{D7F2A572-91CC-48A3-BFF7-39515EB6C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35CBB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835CBB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835CBB"/>
    <w:pPr>
      <w:spacing w:after="240"/>
      <w:jc w:val="center"/>
    </w:pPr>
  </w:style>
  <w:style w:type="character" w:customStyle="1" w:styleId="BoldItalic">
    <w:name w:val="BoldItalic"/>
    <w:uiPriority w:val="1"/>
    <w:rsid w:val="00835CBB"/>
    <w:rPr>
      <w:b/>
      <w:i/>
      <w:u w:val="none"/>
    </w:rPr>
  </w:style>
  <w:style w:type="character" w:customStyle="1" w:styleId="Italic">
    <w:name w:val="Italic"/>
    <w:uiPriority w:val="1"/>
    <w:rsid w:val="00835CBB"/>
    <w:rPr>
      <w:i/>
    </w:rPr>
  </w:style>
  <w:style w:type="paragraph" w:customStyle="1" w:styleId="Normal12a24b">
    <w:name w:val="Normal12a24b"/>
    <w:basedOn w:val="Normal"/>
    <w:rsid w:val="00835CBB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835CBB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835CBB"/>
    <w:rPr>
      <w:snapToGrid w:val="0"/>
      <w:sz w:val="24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ur-lex.europa.eu/legal-content/PL/ALL/?uri=CELEX:52023DC0691" TargetMode="External"/><Relationship Id="rId18" Type="http://schemas.openxmlformats.org/officeDocument/2006/relationships/hyperlink" Target="https://eur-lex.europa.eu/legal-content/PL/ALL/?uri=CELEX:52024SC0694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eur-lex.europa.eu/legal-content/PL/ALL/?uri=CELEX:52023SC0694" TargetMode="External"/><Relationship Id="rId17" Type="http://schemas.openxmlformats.org/officeDocument/2006/relationships/hyperlink" Target="https://eur-lex.europa.eu/legal-content/PL/ALL/?uri=CELEX:52024DC0690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eur-lex.europa.eu/legal-content/PL/ALL/?uri=CELEX:52024SC0829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PL/ALL/?uri=CELEX:52023DC0690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eur-lex.europa.eu/legal-content/PL/ALL/?uri=CELEX:52024DC0800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eur-lex.europa.eu/legal-content/PL/ALL/?uri=CELEX:52020DC0641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PL/ALL/?uri=CELEX:52010DC0670" TargetMode="External"/><Relationship Id="rId14" Type="http://schemas.openxmlformats.org/officeDocument/2006/relationships/hyperlink" Target="https://eur-lex.europa.eu/legal-content/PL/ALL/?uri=CELEX:52024DC0146" TargetMode="External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0/22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FC795-FF92-4D86-B9B4-0BD821036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5755</Words>
  <Characters>40454</Characters>
  <Application>Microsoft Office Word</Application>
  <DocSecurity>0</DocSecurity>
  <Lines>337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2025-06-18T12:09:00Z</dcterms:created>
  <dcterms:modified xsi:type="dcterms:W3CDTF">2025-06-18T12:09:00Z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A10-0093/2025</vt:lpwstr>
  </property>
  <property fmtid="{D5CDD505-2E9C-101B-9397-08002B2CF9AE}" pid="4" name="&lt;Type&gt;">
    <vt:lpwstr>RR</vt:lpwstr>
  </property>
</Properties>
</file>