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5472" w14:paraId="73B616D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44CD4E" w14:textId="77777777" w:rsidR="00751A4A" w:rsidRPr="00EE5472" w:rsidRDefault="0053293D" w:rsidP="0010095E">
            <w:pPr>
              <w:pStyle w:val="EPName"/>
            </w:pPr>
            <w:r w:rsidRPr="00EE5472">
              <w:t>Parlamento Europeu</w:t>
            </w:r>
          </w:p>
          <w:p w14:paraId="28850580" w14:textId="77777777" w:rsidR="00751A4A" w:rsidRPr="00EE54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5472">
              <w:t>2024</w:t>
            </w:r>
            <w:r w:rsidR="00817416" w:rsidRPr="00EE5472">
              <w:t>-202</w:t>
            </w:r>
            <w:r w:rsidRPr="00EE5472">
              <w:t>9</w:t>
            </w:r>
          </w:p>
        </w:tc>
        <w:tc>
          <w:tcPr>
            <w:tcW w:w="2268" w:type="dxa"/>
            <w:shd w:val="clear" w:color="auto" w:fill="auto"/>
          </w:tcPr>
          <w:p w14:paraId="1230C303" w14:textId="77777777" w:rsidR="00751A4A" w:rsidRPr="00EE5472" w:rsidRDefault="00187494" w:rsidP="0010095E">
            <w:pPr>
              <w:pStyle w:val="EPLogo"/>
            </w:pPr>
            <w:r w:rsidRPr="00EE5472">
              <w:rPr>
                <w:noProof/>
                <w:lang w:eastAsia="pt-PT"/>
              </w:rPr>
              <w:drawing>
                <wp:inline distT="0" distB="0" distL="0" distR="0" wp14:anchorId="2A095504" wp14:editId="430F42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9629C4" w14:textId="77777777" w:rsidR="00D058B8" w:rsidRPr="00EE5472" w:rsidRDefault="00D058B8" w:rsidP="004C5D52">
      <w:pPr>
        <w:pStyle w:val="LineTop"/>
      </w:pPr>
    </w:p>
    <w:p w14:paraId="3ACD15F3" w14:textId="77777777" w:rsidR="00680577" w:rsidRPr="00EE5472" w:rsidRDefault="0053293D" w:rsidP="00680577">
      <w:pPr>
        <w:pStyle w:val="EPBodyTA1"/>
      </w:pPr>
      <w:r w:rsidRPr="00EE5472">
        <w:t>TEXTOS APROVADOS</w:t>
      </w:r>
    </w:p>
    <w:p w14:paraId="68CFEBA2" w14:textId="77777777" w:rsidR="00D058B8" w:rsidRPr="00EE5472" w:rsidRDefault="00D058B8" w:rsidP="00D058B8">
      <w:pPr>
        <w:pStyle w:val="LineBottom"/>
      </w:pPr>
    </w:p>
    <w:p w14:paraId="0B8F9653" w14:textId="620AAAD6" w:rsidR="0053293D" w:rsidRPr="00EE5472" w:rsidRDefault="0053293D" w:rsidP="0053293D">
      <w:pPr>
        <w:pStyle w:val="ATHeading1"/>
      </w:pPr>
      <w:bookmarkStart w:id="0" w:name="TANumber"/>
      <w:r w:rsidRPr="00EE5472">
        <w:t>P10_</w:t>
      </w:r>
      <w:proofErr w:type="gramStart"/>
      <w:r w:rsidRPr="00EE5472">
        <w:t>TA(</w:t>
      </w:r>
      <w:proofErr w:type="gramEnd"/>
      <w:r w:rsidRPr="00EE5472">
        <w:t>2025)0</w:t>
      </w:r>
      <w:bookmarkEnd w:id="0"/>
      <w:r w:rsidR="00EF2B5C">
        <w:t>130</w:t>
      </w:r>
    </w:p>
    <w:p w14:paraId="1E8693EB" w14:textId="77777777" w:rsidR="0053293D" w:rsidRPr="00EE5472" w:rsidRDefault="0053293D" w:rsidP="0053293D">
      <w:pPr>
        <w:pStyle w:val="ATHeading2"/>
      </w:pPr>
      <w:bookmarkStart w:id="1" w:name="title"/>
      <w:r w:rsidRPr="00EE5472">
        <w:t>Relatórios de 2023 e 2024 relativos ao Montenegro</w:t>
      </w:r>
      <w:bookmarkEnd w:id="1"/>
    </w:p>
    <w:p w14:paraId="2BE566D4" w14:textId="77777777" w:rsidR="0053293D" w:rsidRPr="00EE5472" w:rsidRDefault="0053293D" w:rsidP="0053293D">
      <w:pPr>
        <w:rPr>
          <w:i/>
          <w:vanish/>
        </w:rPr>
      </w:pPr>
      <w:r w:rsidRPr="00EE5472">
        <w:rPr>
          <w:i/>
        </w:rPr>
        <w:fldChar w:fldCharType="begin"/>
      </w:r>
      <w:r w:rsidRPr="00EE5472">
        <w:rPr>
          <w:i/>
        </w:rPr>
        <w:instrText xml:space="preserve"> TC"(</w:instrText>
      </w:r>
      <w:bookmarkStart w:id="2" w:name="DocNumber"/>
      <w:r w:rsidRPr="00EE5472">
        <w:rPr>
          <w:i/>
        </w:rPr>
        <w:instrText>A10-0093/2025</w:instrText>
      </w:r>
      <w:bookmarkEnd w:id="2"/>
      <w:r w:rsidRPr="00EE5472">
        <w:rPr>
          <w:i/>
        </w:rPr>
        <w:instrText xml:space="preserve"> - Relator: Marjan Šarec)"\l3 \n&gt; \* MERGEFORMAT </w:instrText>
      </w:r>
      <w:r w:rsidRPr="00EE5472">
        <w:rPr>
          <w:i/>
        </w:rPr>
        <w:fldChar w:fldCharType="end"/>
      </w:r>
    </w:p>
    <w:p w14:paraId="1AA69F4C" w14:textId="77777777" w:rsidR="0053293D" w:rsidRPr="00EE5472" w:rsidRDefault="0053293D" w:rsidP="0053293D">
      <w:pPr>
        <w:rPr>
          <w:vanish/>
        </w:rPr>
      </w:pPr>
      <w:bookmarkStart w:id="3" w:name="Commission"/>
      <w:r w:rsidRPr="00EE5472">
        <w:rPr>
          <w:vanish/>
        </w:rPr>
        <w:t>Comissão dos Assuntos Externos</w:t>
      </w:r>
      <w:bookmarkEnd w:id="3"/>
    </w:p>
    <w:p w14:paraId="0539D6A4" w14:textId="77777777" w:rsidR="0053293D" w:rsidRPr="00EE5472" w:rsidRDefault="0053293D" w:rsidP="0053293D">
      <w:pPr>
        <w:rPr>
          <w:vanish/>
        </w:rPr>
      </w:pPr>
      <w:bookmarkStart w:id="4" w:name="PE"/>
      <w:r w:rsidRPr="00EE5472">
        <w:rPr>
          <w:vanish/>
        </w:rPr>
        <w:t>PE769.896</w:t>
      </w:r>
      <w:bookmarkEnd w:id="4"/>
    </w:p>
    <w:p w14:paraId="16EC159E" w14:textId="77777777" w:rsidR="0053293D" w:rsidRPr="00EE5472" w:rsidRDefault="0053293D" w:rsidP="0053293D">
      <w:pPr>
        <w:pStyle w:val="ATHeading3"/>
      </w:pPr>
      <w:bookmarkStart w:id="5" w:name="Sujet"/>
      <w:r w:rsidRPr="00EE5472">
        <w:t xml:space="preserve">Resolução do Parlamento Europeu, de </w:t>
      </w:r>
      <w:r w:rsidR="003425E7" w:rsidRPr="00EE5472">
        <w:t xml:space="preserve">18 </w:t>
      </w:r>
      <w:r w:rsidRPr="00EE5472">
        <w:t xml:space="preserve">de </w:t>
      </w:r>
      <w:r w:rsidR="003425E7" w:rsidRPr="00EE5472">
        <w:t xml:space="preserve">junho </w:t>
      </w:r>
      <w:r w:rsidRPr="00EE5472">
        <w:t>de 2025, sobre os relatórios de 2023 e 2024 da Comissão relativos ao Montenegro</w:t>
      </w:r>
      <w:bookmarkEnd w:id="5"/>
      <w:r w:rsidRPr="00EE5472">
        <w:t xml:space="preserve"> </w:t>
      </w:r>
      <w:bookmarkStart w:id="6" w:name="References"/>
      <w:r w:rsidRPr="00EE5472">
        <w:t>(2025/2020(INI))</w:t>
      </w:r>
      <w:bookmarkEnd w:id="6"/>
    </w:p>
    <w:p w14:paraId="7A05FF2C" w14:textId="77777777" w:rsidR="0045065B" w:rsidRPr="00EE5472" w:rsidRDefault="0045065B" w:rsidP="0045065B">
      <w:pPr>
        <w:pStyle w:val="EPComma"/>
      </w:pPr>
      <w:r w:rsidRPr="00EE5472">
        <w:rPr>
          <w:rStyle w:val="Italic"/>
        </w:rPr>
        <w:t>O Parlamento Europeu</w:t>
      </w:r>
      <w:r w:rsidRPr="00EE5472">
        <w:t>,</w:t>
      </w:r>
    </w:p>
    <w:p w14:paraId="531B44B4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o Acordo de Estabilização e de Associação entre as Comunidades Europeias e os seus Estados</w:t>
      </w:r>
      <w:r w:rsidRPr="00EE5472">
        <w:noBreakHyphen/>
        <w:t>Membros, por um lado, e a República do Montenegro, por outro</w:t>
      </w:r>
      <w:r w:rsidRPr="00EE5472">
        <w:rPr>
          <w:rStyle w:val="FootnoteReference"/>
        </w:rPr>
        <w:footnoteReference w:id="1"/>
      </w:r>
      <w:r w:rsidRPr="00EE5472">
        <w:t>, que entrou em vigor em 1 de maio de 2010,</w:t>
      </w:r>
    </w:p>
    <w:p w14:paraId="582781D5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candidatura do Montenegro à adesão à União Europeia, de 15 de dezembro de 2008,</w:t>
      </w:r>
    </w:p>
    <w:p w14:paraId="7EACBD6A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o parecer da Comissão, de 9 de novembro de 2010, sobre o pedido de adesão à União Europeia apresentado pelo Montenegro (</w:t>
      </w:r>
      <w:proofErr w:type="gramStart"/>
      <w:r w:rsidR="003425E7" w:rsidRPr="00EE5472">
        <w:t>COM(</w:t>
      </w:r>
      <w:proofErr w:type="gramEnd"/>
      <w:r w:rsidR="003425E7" w:rsidRPr="00EE5472">
        <w:t>2010)0670</w:t>
      </w:r>
      <w:r w:rsidRPr="00EE5472">
        <w:t>), a decisão do Conselho Europeu, de 16 e 17 de dezembro de 2010, de conceder ao Montenegro o estatuto de país candidato e a decisão do Conselho Europeu, de 29 de junho de 2012, de iniciar as negociações com o Montenegro para a sua adesão à UE,</w:t>
      </w:r>
    </w:p>
    <w:p w14:paraId="43EB8112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o Regulamento (UE) 2021/1529 do Parlamento Europeu e do Conselho de 15 de setembro de 2021 que cria o Instrumento de Assistência de Pré</w:t>
      </w:r>
      <w:r w:rsidRPr="00EE5472">
        <w:noBreakHyphen/>
        <w:t>Adesão (IPA</w:t>
      </w:r>
      <w:r w:rsidR="003425E7" w:rsidRPr="00EE5472">
        <w:t> </w:t>
      </w:r>
      <w:r w:rsidRPr="00EE5472">
        <w:t>III)</w:t>
      </w:r>
      <w:r w:rsidRPr="00EE5472">
        <w:rPr>
          <w:rStyle w:val="FootnoteReference"/>
        </w:rPr>
        <w:footnoteReference w:id="2"/>
      </w:r>
      <w:r w:rsidRPr="00EE5472">
        <w:t>,</w:t>
      </w:r>
    </w:p>
    <w:p w14:paraId="3CC3693B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o Regulamento (UE) 2024/1449 do Parlamento Europeu e do Conselho, de 14 de maio de 2024, que cria o Mecanismo para as Reformas e o Crescimento nos Balcãs Ocidentais</w:t>
      </w:r>
      <w:r w:rsidRPr="00EE5472">
        <w:rPr>
          <w:rStyle w:val="FootnoteReference"/>
        </w:rPr>
        <w:footnoteReference w:id="3"/>
      </w:r>
      <w:r w:rsidRPr="00EE5472">
        <w:t>,</w:t>
      </w:r>
    </w:p>
    <w:p w14:paraId="2FA8C02C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as conclusões da Presidência sobre a reunião do Conselho Europeu realizada em Salónica, em 19 e 20 de junho de 2003,</w:t>
      </w:r>
    </w:p>
    <w:p w14:paraId="77E11340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Declaração de Sófia da Cimeira UE</w:t>
      </w:r>
      <w:r w:rsidRPr="00EE5472">
        <w:noBreakHyphen/>
        <w:t>Balcãs Ocidentais, de 17 de maio de 2018, e a Agenda de Prioridades de Sófia anexada a essa declaração,</w:t>
      </w:r>
    </w:p>
    <w:p w14:paraId="10AC7218" w14:textId="77777777" w:rsidR="0045065B" w:rsidRPr="00EE5472" w:rsidRDefault="0045065B" w:rsidP="0045065B">
      <w:pPr>
        <w:pStyle w:val="NormalHanging12a"/>
      </w:pPr>
      <w:r w:rsidRPr="00EE5472">
        <w:lastRenderedPageBreak/>
        <w:t>–</w:t>
      </w:r>
      <w:r w:rsidRPr="00EE5472">
        <w:tab/>
        <w:t>Tendo em conta as declarações das cimeiras UE</w:t>
      </w:r>
      <w:r w:rsidRPr="00EE5472">
        <w:noBreakHyphen/>
        <w:t>Balcãs Ocidentais, de 13 de dezembro de 2023 e de 18 de dezembro de 2024, ambas realizadas em Bruxelas,</w:t>
      </w:r>
    </w:p>
    <w:p w14:paraId="42A1AF4D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o Processo de Berlim, iniciado em 28 de agosto de 2014,</w:t>
      </w:r>
    </w:p>
    <w:p w14:paraId="4FCEF9BC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Comunicação da Comissão, de 6 de outubro de 2020, intitulada «Um Plano Económico e de Investimento para os Balcãs Ocidentais» (</w:t>
      </w:r>
      <w:proofErr w:type="gramStart"/>
      <w:r w:rsidR="003425E7" w:rsidRPr="00EE5472">
        <w:t>COM(</w:t>
      </w:r>
      <w:proofErr w:type="gramEnd"/>
      <w:r w:rsidR="003425E7" w:rsidRPr="00EE5472">
        <w:t>2020)0641</w:t>
      </w:r>
      <w:r w:rsidRPr="00EE5472">
        <w:t>),</w:t>
      </w:r>
    </w:p>
    <w:p w14:paraId="524F7631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Comunicação da Comissão, de 8 de novembro de 2023, intitulada «Comunicação de 2023 sobre a política de alargamento da UE» (</w:t>
      </w:r>
      <w:proofErr w:type="gramStart"/>
      <w:r w:rsidR="003425E7" w:rsidRPr="00EE5472">
        <w:t>COM(</w:t>
      </w:r>
      <w:proofErr w:type="gramEnd"/>
      <w:r w:rsidR="003425E7" w:rsidRPr="00EE5472">
        <w:t>2023)0690</w:t>
      </w:r>
      <w:r w:rsidRPr="00EE5472">
        <w:t>), acompanhada do documento de trabalho dos serviços da Comissão intitulado «Montenegro 2023 Report» (Relatório de 2023 relativo ao Montenegro) (</w:t>
      </w:r>
      <w:r w:rsidR="003425E7" w:rsidRPr="00EE5472">
        <w:t>SWD(2023)0694</w:t>
      </w:r>
      <w:r w:rsidRPr="00EE5472">
        <w:t>),</w:t>
      </w:r>
    </w:p>
    <w:p w14:paraId="4D7607EC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Comunicação da Comissão, de 8 de novembro de 2023, intitulada «Novo plano de crescimento para os Balcãs Ocidentais» (</w:t>
      </w:r>
      <w:proofErr w:type="gramStart"/>
      <w:r w:rsidR="003425E7" w:rsidRPr="00EE5472">
        <w:t>COM(</w:t>
      </w:r>
      <w:proofErr w:type="gramEnd"/>
      <w:r w:rsidR="003425E7" w:rsidRPr="00EE5472">
        <w:t>2023)0691</w:t>
      </w:r>
      <w:r w:rsidRPr="00EE5472">
        <w:t>),</w:t>
      </w:r>
    </w:p>
    <w:p w14:paraId="441AC592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Comunicação da Comissão, de 20 de março de 2024, sobre reformas e revisões das políticas antes do alargamento (</w:t>
      </w:r>
      <w:proofErr w:type="gramStart"/>
      <w:r w:rsidR="003425E7" w:rsidRPr="00EE5472">
        <w:t>COM(</w:t>
      </w:r>
      <w:proofErr w:type="gramEnd"/>
      <w:r w:rsidR="003425E7" w:rsidRPr="00EE5472">
        <w:t>2024)0146</w:t>
      </w:r>
      <w:r w:rsidRPr="00EE5472">
        <w:t>),</w:t>
      </w:r>
    </w:p>
    <w:p w14:paraId="521A4DE6" w14:textId="3CF28CFA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Comunicação da Comissão, de 24 de julho de 2024, intitulada «Relatório de 2024 sobre o Estado de direito» (</w:t>
      </w:r>
      <w:r w:rsidR="003425E7" w:rsidRPr="00EE5472">
        <w:t>COM(2024)0800</w:t>
      </w:r>
      <w:r w:rsidRPr="00EE5472">
        <w:t>), acompanhada do documento de trabalho dos serviços da Comissão intitulado «2024 Rule of Law Report – The rule of law situation in the European Union: Country Chapter on the rule of law situation in Montenegro» [Relatório de 2024 sobre o Estado de direito – Situação na União Europeia: capítulo relativo à situação do Estado de direito no Montenegro] (</w:t>
      </w:r>
      <w:r w:rsidR="005E73E1" w:rsidRPr="00EE5472">
        <w:t>SWD</w:t>
      </w:r>
      <w:bookmarkStart w:id="7" w:name="_GoBack"/>
      <w:bookmarkEnd w:id="7"/>
      <w:r w:rsidR="005E73E1" w:rsidRPr="00EE5472">
        <w:t>(2024)</w:t>
      </w:r>
      <w:r w:rsidR="003425E7" w:rsidRPr="00EE5472">
        <w:t>0829</w:t>
      </w:r>
      <w:r w:rsidRPr="00EE5472">
        <w:t>),</w:t>
      </w:r>
    </w:p>
    <w:p w14:paraId="562B64EB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Comunicação da Comissão, de 30 de outubro de 2024, intitulada «Comunicação de 2024 sobre a política de alargamento da UE» (</w:t>
      </w:r>
      <w:proofErr w:type="gramStart"/>
      <w:r w:rsidR="003425E7" w:rsidRPr="00EE5472">
        <w:t>COM(</w:t>
      </w:r>
      <w:proofErr w:type="gramEnd"/>
      <w:r w:rsidR="003425E7" w:rsidRPr="00EE5472">
        <w:t>2024)0690</w:t>
      </w:r>
      <w:r w:rsidRPr="00EE5472">
        <w:t>), acompanhada do documento de trabalho dos serviços da Comissão intitulado «Montenegro 2024 Report» [Relatório de 2024 relativo ao Montenegro] (</w:t>
      </w:r>
      <w:r w:rsidR="003425E7" w:rsidRPr="00EE5472">
        <w:t>SWD(2024)0694</w:t>
      </w:r>
      <w:r w:rsidRPr="00EE5472">
        <w:t>),</w:t>
      </w:r>
    </w:p>
    <w:p w14:paraId="59CB6895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síntese e as avaliações por país da Comissão, de 31 de maio de 2023 e de 13 de junho de 2024, do programa de reforma económica do Montenegro, bem como as conclusões conjuntas do diálogo económico e financeiro entre a UE e os Balcãs Ocidentais e a Turquia, adotadas pelo Conselho em 16 de maio de 2023, e as conclusões conjuntas do diálogo económico e financeiro entre a UE e os parceiros dos Balcãs Ocidentais, a Turquia, a Geórgia, a República da Moldávia e a Ucrânia, adotadas pelo Conselho em 14 de maio de 2024,</w:t>
      </w:r>
    </w:p>
    <w:p w14:paraId="6B77F478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as Conferências Intergovernamentais de Adesão UE</w:t>
      </w:r>
      <w:r w:rsidRPr="00EE5472">
        <w:noBreakHyphen/>
        <w:t>Montenegro, de 22 de junho de 2021, 13 de dezembro de 2021, 29 de janeiro de 2024, 26 de junho de 2024 e 16 de dezembro de 2024,</w:t>
      </w:r>
    </w:p>
    <w:p w14:paraId="73EA7F59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11.ª reunião do Conselho de Estabilização e de Associação UE</w:t>
      </w:r>
      <w:r w:rsidRPr="00EE5472">
        <w:noBreakHyphen/>
        <w:t>Montenegro, realizada em 14 de julho de 2022,</w:t>
      </w:r>
    </w:p>
    <w:p w14:paraId="06247EEF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declaração e as recomendações adotadas na 22.ª reunião da Comissão Parlamentar de Estabilização e de Associação (CPEA) UE</w:t>
      </w:r>
      <w:r w:rsidRPr="00EE5472">
        <w:noBreakHyphen/>
        <w:t>Montenegro, realizada em 31</w:t>
      </w:r>
      <w:r w:rsidR="005B7E5F" w:rsidRPr="00EE5472">
        <w:t> de outubro</w:t>
      </w:r>
      <w:r w:rsidRPr="00EE5472">
        <w:t xml:space="preserve"> e 1 de novembro de 2024,</w:t>
      </w:r>
    </w:p>
    <w:p w14:paraId="41264535" w14:textId="77777777" w:rsidR="0045065B" w:rsidRPr="00EE5472" w:rsidRDefault="0045065B" w:rsidP="0045065B">
      <w:pPr>
        <w:pStyle w:val="NormalHanging12a"/>
      </w:pPr>
      <w:r w:rsidRPr="00EE5472">
        <w:lastRenderedPageBreak/>
        <w:t>–</w:t>
      </w:r>
      <w:r w:rsidRPr="00EE5472">
        <w:tab/>
        <w:t>Tendo em conta a adesão do Montenegro à NATO, em 5 de junho de 2017,</w:t>
      </w:r>
    </w:p>
    <w:p w14:paraId="7439C670" w14:textId="0BAB128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o Relatório Especial 01/2022 do Tribunal de Contas Europeu, de 10</w:t>
      </w:r>
      <w:r w:rsidR="00881A89" w:rsidRPr="00EE5472">
        <w:t> </w:t>
      </w:r>
      <w:r w:rsidRPr="00EE5472">
        <w:t>de janeiro de 2022, intitulado «Apoio da UE ao Estado de direito nos Balcãs Ocidentais: apesar dos esforços, subsistem problemas fundamentais»,</w:t>
      </w:r>
    </w:p>
    <w:p w14:paraId="677E9BC4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Convenção do Conselho da Europa para a Prevenção e o Combate à Violência Contra as Mulheres e a Violência Doméstica (Convenção de Istambul), ratificada pelo Montenegro em 2013, e as recomendações da Comissão sobre a igualdade de género e o combate à violência baseada no género,</w:t>
      </w:r>
    </w:p>
    <w:p w14:paraId="7F2A8963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o relatório do Índice Mundial da Liberdade de Imprensa publicado anualmente pelos Repórteres Sem Fronteiras,</w:t>
      </w:r>
    </w:p>
    <w:p w14:paraId="1DE59D58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os dados da Agência das Nações Unidas para os Refugiados (ACNUR) sobre a situação dos refugiados na Ucrânia, de abril de 2025,</w:t>
      </w:r>
    </w:p>
    <w:p w14:paraId="0CD1EE8C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 xml:space="preserve">Tendo em conta a sua recomendação, de 23 de novembro de 2022, ao Conselho, à Comissão e ao </w:t>
      </w:r>
      <w:r w:rsidR="00667F8E" w:rsidRPr="00EE5472">
        <w:t>V</w:t>
      </w:r>
      <w:r w:rsidRPr="00EE5472">
        <w:t>ice</w:t>
      </w:r>
      <w:r w:rsidRPr="00EE5472">
        <w:noBreakHyphen/>
      </w:r>
      <w:r w:rsidR="00667F8E" w:rsidRPr="00EE5472">
        <w:t>P</w:t>
      </w:r>
      <w:r w:rsidRPr="00EE5472">
        <w:t>residente da Comissão/</w:t>
      </w:r>
      <w:r w:rsidR="00667F8E" w:rsidRPr="00EE5472">
        <w:t>A</w:t>
      </w:r>
      <w:r w:rsidRPr="00EE5472">
        <w:t xml:space="preserve">lto </w:t>
      </w:r>
      <w:r w:rsidR="00667F8E" w:rsidRPr="00EE5472">
        <w:t>R</w:t>
      </w:r>
      <w:r w:rsidRPr="00EE5472">
        <w:t>epresentante da União para os Negócios Estrangeiros e a Política de Segurança, referente à nova estratégia da UE para o alargamento</w:t>
      </w:r>
      <w:r w:rsidRPr="00EE5472">
        <w:rPr>
          <w:rStyle w:val="FootnoteReference"/>
        </w:rPr>
        <w:footnoteReference w:id="4"/>
      </w:r>
      <w:r w:rsidRPr="00EE5472">
        <w:t>,</w:t>
      </w:r>
    </w:p>
    <w:p w14:paraId="6CB91F76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as suas anteriores resoluções sobre o Montenegro,</w:t>
      </w:r>
    </w:p>
    <w:p w14:paraId="14F8F153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a sua Resolução, de 29 de fevereiro de 2024, sobre o aprofundamento da integração europeia na perspetiva dos futuros alargamentos</w:t>
      </w:r>
      <w:r w:rsidRPr="00EE5472">
        <w:rPr>
          <w:vertAlign w:val="superscript"/>
        </w:rPr>
        <w:footnoteReference w:id="5"/>
      </w:r>
      <w:r w:rsidRPr="00EE5472">
        <w:t>,</w:t>
      </w:r>
    </w:p>
    <w:p w14:paraId="2D4EAF95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o artigo 55.º do seu Regimento,</w:t>
      </w:r>
    </w:p>
    <w:p w14:paraId="3EB2A3F9" w14:textId="77777777" w:rsidR="0045065B" w:rsidRPr="00EE5472" w:rsidRDefault="0045065B" w:rsidP="0045065B">
      <w:pPr>
        <w:pStyle w:val="NormalHanging12a"/>
      </w:pPr>
      <w:r w:rsidRPr="00EE5472">
        <w:t>–</w:t>
      </w:r>
      <w:r w:rsidRPr="00EE5472">
        <w:tab/>
        <w:t>Tendo em conta o relatório da Comissão dos Assuntos Externos (A10</w:t>
      </w:r>
      <w:r w:rsidRPr="00EE5472">
        <w:noBreakHyphen/>
        <w:t>0093/2025),</w:t>
      </w:r>
    </w:p>
    <w:p w14:paraId="66494DD0" w14:textId="77777777" w:rsidR="0045065B" w:rsidRPr="00EE5472" w:rsidRDefault="0045065B" w:rsidP="0045065B">
      <w:pPr>
        <w:pStyle w:val="NormalHanging12a"/>
      </w:pPr>
      <w:r w:rsidRPr="00EE5472">
        <w:t>A.</w:t>
      </w:r>
      <w:r w:rsidRPr="00EE5472">
        <w:tab/>
        <w:t>Considerando que o alargamento é um instrumento fundamental da política externa da UE e um investimento geopolítico estratégico na paz, estabilidade, segurança e prosperidade;</w:t>
      </w:r>
    </w:p>
    <w:p w14:paraId="253B13E8" w14:textId="77777777" w:rsidR="0045065B" w:rsidRPr="00EE5472" w:rsidRDefault="0045065B" w:rsidP="0045065B">
      <w:pPr>
        <w:pStyle w:val="NormalHanging12a"/>
      </w:pPr>
      <w:proofErr w:type="gramStart"/>
      <w:r w:rsidRPr="00EE5472">
        <w:t>B.</w:t>
      </w:r>
      <w:r w:rsidRPr="00EE5472">
        <w:tab/>
        <w:t>Considerando</w:t>
      </w:r>
      <w:proofErr w:type="gramEnd"/>
      <w:r w:rsidRPr="00EE5472">
        <w:t xml:space="preserve"> que a nova dinâmica de alargamento, desencadeada pela realidade geopolítica em mutação e pelos pedidos de adesão à UE apresentados por vários países da Parceria Oriental, levaram a UE a acelerar os seus esforços destinados a promover os seus compromissos de longa data com os Balcãs Ocidentais; </w:t>
      </w:r>
      <w:r w:rsidR="00667F8E" w:rsidRPr="00EE5472">
        <w:t xml:space="preserve">considerando </w:t>
      </w:r>
      <w:r w:rsidRPr="00EE5472">
        <w:t>que o futuro dos países dos Balcãs Ocidentais passa pela integração na UE;</w:t>
      </w:r>
    </w:p>
    <w:p w14:paraId="667781F9" w14:textId="77777777" w:rsidR="0045065B" w:rsidRPr="00EE5472" w:rsidRDefault="0045065B" w:rsidP="0045065B">
      <w:pPr>
        <w:pStyle w:val="NormalHanging12a"/>
      </w:pPr>
      <w:r w:rsidRPr="00EE5472">
        <w:t>C.</w:t>
      </w:r>
      <w:r w:rsidRPr="00EE5472">
        <w:tab/>
        <w:t xml:space="preserve">Considerando que cada país é avaliado com base nos seus próprios méritos relativamente ao cumprimento dos critérios de Copenhaga, incluindo o respeito pleno pela democracia, pelo Estado de direito, pela boa governação, pelos valores fundamentais da UE e pelo alinhamento com a política externa e de segurança da UE; </w:t>
      </w:r>
      <w:r w:rsidR="00667F8E" w:rsidRPr="00EE5472">
        <w:t xml:space="preserve">considerando </w:t>
      </w:r>
      <w:r w:rsidRPr="00EE5472">
        <w:t>que a execução das reformas necessárias no domínio dos «princípios fundamentais» determina o calendário e os progressos do processo de adesão;</w:t>
      </w:r>
    </w:p>
    <w:p w14:paraId="11C20D5E" w14:textId="77777777" w:rsidR="0045065B" w:rsidRPr="00EE5472" w:rsidRDefault="0045065B" w:rsidP="0045065B">
      <w:pPr>
        <w:pStyle w:val="NormalHanging12a"/>
      </w:pPr>
      <w:r w:rsidRPr="00EE5472">
        <w:lastRenderedPageBreak/>
        <w:t>D.</w:t>
      </w:r>
      <w:r w:rsidRPr="00EE5472">
        <w:tab/>
        <w:t>Considerando que o Montenegro é o país que mais avançou no processo de adesão, tendo aberto os 33 capítulos do acervo da UE e encerrado, provisoriamente, seis e beneficia de um apoio público significativo;</w:t>
      </w:r>
    </w:p>
    <w:p w14:paraId="5C8795CE" w14:textId="77777777" w:rsidR="0045065B" w:rsidRPr="00EE5472" w:rsidRDefault="0045065B" w:rsidP="0045065B">
      <w:pPr>
        <w:pStyle w:val="NormalHanging12a"/>
      </w:pPr>
      <w:r w:rsidRPr="00EE5472">
        <w:t>E</w:t>
      </w:r>
      <w:r w:rsidR="00833DB7" w:rsidRPr="00EE5472">
        <w:t>.</w:t>
      </w:r>
      <w:r w:rsidRPr="00EE5472">
        <w:tab/>
        <w:t xml:space="preserve">Considerando que a UE é o maior parceiro comercial, investidor e prestador de assistência financeira do Montenegro; </w:t>
      </w:r>
    </w:p>
    <w:p w14:paraId="588AE4B0" w14:textId="77777777" w:rsidR="0045065B" w:rsidRPr="00EE5472" w:rsidRDefault="0045065B" w:rsidP="0045065B">
      <w:pPr>
        <w:pStyle w:val="NormalHanging12a"/>
      </w:pPr>
      <w:r w:rsidRPr="00EE5472">
        <w:t>F</w:t>
      </w:r>
      <w:r w:rsidR="00833DB7" w:rsidRPr="00EE5472">
        <w:t>.</w:t>
      </w:r>
      <w:r w:rsidRPr="00EE5472">
        <w:tab/>
        <w:t>Considerando que o Montenegro está exposto a influências estrangeiras maliciosas, a campanhas de desinformação e a outras formas de influência, incluindo a ingerência eleitoral, estratégias de guerra híbrida e investimentos desfavoráveis por parte de intervenientes de fora da UE, em particular da Rússia e da China, que estão a tentar influenciar a trajetória política, económica e estratégica do Montenegro e ameaçam os processos democráticos e a integridade dos meios de comunicação social, pondo em risco as perspetivas do país de adesão à UE;</w:t>
      </w:r>
    </w:p>
    <w:p w14:paraId="63742082" w14:textId="77777777" w:rsidR="0045065B" w:rsidRPr="00EE5472" w:rsidRDefault="0045065B" w:rsidP="0045065B">
      <w:pPr>
        <w:pStyle w:val="NormalHanging12a"/>
      </w:pPr>
      <w:r w:rsidRPr="00EE5472">
        <w:t>G.</w:t>
      </w:r>
      <w:r w:rsidRPr="00EE5472">
        <w:tab/>
        <w:t>Considerando que, em 8 de junho de 2024, teve lugar em Belgrado uma «Assembleia de Todos os Sérvios», com a participação de deputados de alto nível, sob o lema «Um povo, uma Assembleia»;</w:t>
      </w:r>
    </w:p>
    <w:p w14:paraId="790FFCA1" w14:textId="77777777" w:rsidR="0045065B" w:rsidRPr="00EE5472" w:rsidRDefault="0045065B" w:rsidP="0045065B">
      <w:pPr>
        <w:pStyle w:val="Normal12a24b"/>
      </w:pPr>
      <w:r w:rsidRPr="00EE5472">
        <w:rPr>
          <w:rStyle w:val="BoldItalic"/>
        </w:rPr>
        <w:t>Compromisso com a adesão à UE</w:t>
      </w:r>
    </w:p>
    <w:p w14:paraId="755BB1C8" w14:textId="77777777" w:rsidR="0045065B" w:rsidRPr="00EE5472" w:rsidRDefault="0045065B" w:rsidP="0045065B">
      <w:pPr>
        <w:pStyle w:val="NormalHanging12a"/>
      </w:pPr>
      <w:proofErr w:type="gramStart"/>
      <w:r w:rsidRPr="00EE5472">
        <w:t>1.</w:t>
      </w:r>
      <w:r w:rsidRPr="00EE5472">
        <w:tab/>
        <w:t>Reconhece</w:t>
      </w:r>
      <w:proofErr w:type="gramEnd"/>
      <w:r w:rsidRPr="00EE5472">
        <w:t xml:space="preserve"> o compromisso firme do Montenegro com a adesão à UE e reitera o seu apoio pleno à futura adesão do país à UE; congratula</w:t>
      </w:r>
      <w:r w:rsidRPr="00EE5472">
        <w:noBreakHyphen/>
        <w:t>se com a posição de liderança regional do Montenegro no processo de adesão à UE e com o apoio esmagador dos cidadãos do país e da maioria dos intervenientes políticos à adesão à UE em 2028;</w:t>
      </w:r>
    </w:p>
    <w:p w14:paraId="59C04B41" w14:textId="77777777" w:rsidR="0045065B" w:rsidRPr="00EE5472" w:rsidRDefault="0045065B" w:rsidP="0045065B">
      <w:pPr>
        <w:pStyle w:val="NormalHanging12a"/>
      </w:pPr>
      <w:r w:rsidRPr="00EE5472">
        <w:t>2.</w:t>
      </w:r>
      <w:r w:rsidRPr="00EE5472">
        <w:tab/>
        <w:t>Congratula</w:t>
      </w:r>
      <w:r w:rsidRPr="00EE5472">
        <w:noBreakHyphen/>
        <w:t>se com os progressos positivos do Montenegro na adoção de reformas e medidas relacionadas com a UE, assentes num calendário ambicioso, e apela a esforços coletivos dos intervenientes políticos, da sociedade civil e dos cidadãos; louva o Montenegro pelo cumprimento dos critérios de referência intercalares para os capítulos 23 e 24, que continuam a determinar o ritmo geral das negociações, e pela receção de um relatório de avaliação intercalar positivo; congratula</w:t>
      </w:r>
      <w:r w:rsidRPr="00EE5472">
        <w:noBreakHyphen/>
        <w:t>se com o encerramento de mais três capítulos de negociação, elevando o total para seis;</w:t>
      </w:r>
    </w:p>
    <w:p w14:paraId="4113D15C" w14:textId="77777777" w:rsidR="0045065B" w:rsidRPr="00EE5472" w:rsidRDefault="0045065B" w:rsidP="0045065B">
      <w:pPr>
        <w:pStyle w:val="NormalHanging12a"/>
      </w:pPr>
      <w:r w:rsidRPr="00EE5472">
        <w:t>3.</w:t>
      </w:r>
      <w:r w:rsidRPr="00EE5472">
        <w:tab/>
        <w:t>Incentiva todos os intervenientes políticos a permanecerem centrados na integração na UE e nas reformas necessárias; salienta a necessidade de estabilidade política, compromisso e participação construtiva na criação de consensos em todas as linhas partidárias para avançar de forma rápida e mais eficaz para o encerramento de mais capítulos em 2025, a fim de concretizar o calendário ambicioso do país; salienta que as reformas adotadas devem ser aplicadas de forma eficaz e coerente, a fim de assegurar progressos genuínos e o pleno alinhamento com a legislação da UE; apela ao reforço do funcionamento e da coordenação entre as instituições do Estado, a fim de conseguir estabilidade política e prosseguir com os seus progressos substanciais na adoção de reformas</w:t>
      </w:r>
      <w:r w:rsidRPr="00EE5472">
        <w:noBreakHyphen/>
        <w:t>chave relacionadas com a UE, em particular as reformas eleitorais e judiciais e a luta contra a criminalidade organizada e a corrupção;</w:t>
      </w:r>
    </w:p>
    <w:p w14:paraId="30537A9C" w14:textId="77777777" w:rsidR="0045065B" w:rsidRPr="00EE5472" w:rsidRDefault="0045065B" w:rsidP="0045065B">
      <w:pPr>
        <w:pStyle w:val="NormalHanging12a"/>
      </w:pPr>
      <w:proofErr w:type="gramStart"/>
      <w:r w:rsidRPr="00EE5472">
        <w:t>4.</w:t>
      </w:r>
      <w:r w:rsidRPr="00EE5472">
        <w:tab/>
        <w:t>Sublinha</w:t>
      </w:r>
      <w:proofErr w:type="gramEnd"/>
      <w:r w:rsidRPr="00EE5472">
        <w:t xml:space="preserve"> que a credibilidade da UE, incluindo a sua política de alargamento no geral, seria afetada se os progressos tangíveis realizados por alguns países dos Balcãs Ocidentais não se traduzissem em progressos claros na via da adesão à UE;</w:t>
      </w:r>
    </w:p>
    <w:p w14:paraId="0D937164" w14:textId="77777777" w:rsidR="0045065B" w:rsidRPr="00EE5472" w:rsidRDefault="0045065B" w:rsidP="0045065B">
      <w:pPr>
        <w:pStyle w:val="NormalHanging12a"/>
      </w:pPr>
      <w:r w:rsidRPr="00EE5472">
        <w:lastRenderedPageBreak/>
        <w:t>5.</w:t>
      </w:r>
      <w:r w:rsidRPr="00EE5472">
        <w:tab/>
        <w:t>Congratula</w:t>
      </w:r>
      <w:r w:rsidRPr="00EE5472">
        <w:noBreakHyphen/>
        <w:t>se com o alinhamento total e sustentado do Montenegro com a política externa e de segurança comum da UE (PESC), incluindo as medidas restritivas da UE, nomeadamente as relacionadas com a guerra de agressão da Rússia contra a Ucrânia, e o seu apoio a uma ordem internacional assente em regras a nível das Nações Unidas; insta o Montenegro a reforçar a aplicação das medidas restritivas e a evitar que sejam contornadas e a apreender os bens dos sancionados; exorta todos os representantes governamentais a respeitarem e a promoverem o alinhamento com a PESC e os valores da UE e a absterem</w:t>
      </w:r>
      <w:r w:rsidRPr="00EE5472">
        <w:noBreakHyphen/>
        <w:t>se de atividades que possam ameaçar a trajetória estratégica do Montenegro rumo à adesão à UE e a sua soberania; manifesta profunda preocupação, nesse contexto, com as declarações de altos funcionários públicos em apoio do presidente da entidade Republika Srpska, Milorad Dodik, que está a comprometer a soberania e a integridade territorial da Bósnia</w:t>
      </w:r>
      <w:r w:rsidRPr="00EE5472">
        <w:noBreakHyphen/>
        <w:t>Herzegovina; lamenta a participação de deputados de alto nível do Montenegro na «Assembleia de Todos os Sérvios», em Belgrado, e o seu apoio à declaração adotada nessa ocasião, que compromete a soberania do Montenegro, da Bósnia</w:t>
      </w:r>
      <w:r w:rsidRPr="00EE5472">
        <w:noBreakHyphen/>
        <w:t>Herzegovina e do Kosovo;</w:t>
      </w:r>
    </w:p>
    <w:p w14:paraId="6C71BE13" w14:textId="77777777" w:rsidR="0045065B" w:rsidRPr="00EE5472" w:rsidRDefault="0045065B" w:rsidP="0045065B">
      <w:pPr>
        <w:pStyle w:val="NormalHanging12a"/>
      </w:pPr>
      <w:r w:rsidRPr="00EE5472">
        <w:t>6.</w:t>
      </w:r>
      <w:r w:rsidRPr="00EE5472">
        <w:tab/>
        <w:t>Sublinha a importância estratégica de o Montenegro ser membro da NATO e congratula</w:t>
      </w:r>
      <w:r w:rsidRPr="00EE5472">
        <w:noBreakHyphen/>
        <w:t>se com a sua participação ativa nas missões e operações da política comum de segurança e defesa da UE, como a operação Atalanta da Força Naval da UE, em missões da NATO e noutras missões internacionais e multilaterais; congratula</w:t>
      </w:r>
      <w:r w:rsidRPr="00EE5472">
        <w:noBreakHyphen/>
        <w:t>se com a decisão do Conselho de Defesa e Segurança do Montenegro de aprovar a participação das suas forças armadas na Missão de Assistência Militar da União Europeia de apoio à Ucrânia e na Assistência e Formação em Segurança para a Ucrânia da NATO e insta o Parlamento montenegrino a adotar estas decisões, reforçando assim o compromisso do país com a segurança coletiva;</w:t>
      </w:r>
    </w:p>
    <w:p w14:paraId="6295DA4F" w14:textId="77777777" w:rsidR="0045065B" w:rsidRPr="00EE5472" w:rsidRDefault="0045065B" w:rsidP="0045065B">
      <w:pPr>
        <w:pStyle w:val="NormalHanging12a"/>
      </w:pPr>
      <w:proofErr w:type="gramStart"/>
      <w:r w:rsidRPr="00EE5472">
        <w:t>7.</w:t>
      </w:r>
      <w:r w:rsidRPr="00EE5472">
        <w:tab/>
        <w:t>Louva</w:t>
      </w:r>
      <w:proofErr w:type="gramEnd"/>
      <w:r w:rsidRPr="00EE5472">
        <w:t xml:space="preserve"> o Montenegro pelo seu apoio humanitário e material à Ucrânia e pelo alargamento do mecanismo de proteção temporária que concede às pessoas que fogem da Ucrânia o direito de permanecer no Montenegro durante um ano; recorda que o Montenegro está entre os países dos Balcãs Ocidentais que acolhem o maior número de refugiados ucranianos, com mais de 18 800 refugiados da Ucrânia registados no Montenegro em 31 de janeiro de 2025, de acordo com as estatísticas do ACNUR;</w:t>
      </w:r>
    </w:p>
    <w:p w14:paraId="29E4E8D5" w14:textId="77777777" w:rsidR="0045065B" w:rsidRPr="00EE5472" w:rsidRDefault="0045065B" w:rsidP="0045065B">
      <w:pPr>
        <w:pStyle w:val="NormalHanging12a"/>
      </w:pPr>
      <w:r w:rsidRPr="00EE5472">
        <w:t>8.</w:t>
      </w:r>
      <w:r w:rsidRPr="00EE5472">
        <w:tab/>
        <w:t>Continua seriamente preocupado com a ingerência estrangeira maliciosa, os esforços de desestabilização, os ciberataques, as ameaças híbridas e as campanhas de desinformação, incluindo tentativas de influenciar processos políticos e a opinião pública, por parte de intervenientes de países terceiros, que difamam a UE e prejudicam os progressos do Montenegro na sua via de adesão; insta o Montenegro a adotar contramedidas no âmbito de uma cooperação mais forte com a UE e a NATO e através de uma maior cooperação regional entre os países dos Balcãs Ocidentais; observa que as instituições religiosas podem ser usadas como um instrumento de influência externa e condena todas as ingerências indevidas da Igreja Ortodoxa sérvia neste contexto; reitera a importância de reforçar a capacidade de resiliência contra a manipulação da informação e a ingerência por parte de agentes estrangeiros, nomeadamente através de uma maior supervisão do panorama mediático, de campanhas de sensibilização do público e de programas de literacia mediática; recomenda que o Montenegro crie um grupo de trabalho dedicado às ameaças híbridas;</w:t>
      </w:r>
    </w:p>
    <w:p w14:paraId="4DC50EF1" w14:textId="77777777" w:rsidR="0045065B" w:rsidRPr="00EE5472" w:rsidRDefault="0045065B" w:rsidP="0045065B">
      <w:pPr>
        <w:pStyle w:val="NormalHanging12a"/>
      </w:pPr>
      <w:r w:rsidRPr="00EE5472">
        <w:t>9.</w:t>
      </w:r>
      <w:r w:rsidRPr="00EE5472">
        <w:tab/>
        <w:t xml:space="preserve">Insta a Comissão, o Serviço Europeu para a Ação Externa (SEAE), a Delegação da UE ao Montenegro e as autoridades montenegrinas a reforçarem a comunicação estratégica com os cidadãos montenegrinos sobre os benefícios do processo de alargamento e da </w:t>
      </w:r>
      <w:r w:rsidRPr="00EE5472">
        <w:lastRenderedPageBreak/>
        <w:t>adesão à UE, bem como sobre os critérios específicos de adesão que o Montenegro ainda tem de cumprir para se alinhar com os requisitos da UE; exorta</w:t>
      </w:r>
      <w:r w:rsidRPr="00EE5472">
        <w:noBreakHyphen/>
        <w:t>os, além disso, a melhorarem a visibilidade da UE no país, nomeadamente no que diz respeito aos projetos financiados pela União; defende um alargamento da supervisão por parte da divisão StratCom, a fim de se concentrar nas ameaças de desinformação transfronteiriças nos países dos Balcãs Ocidentais e nos seus vizinhos; exorta a Comissão a continuar a apoiar os esforços do SEAE e do Grupo de Trabalho para os Balcãs Ocidentais para alargar as suas atividades de sensibilização, aumentando a visibilidade nos meios de comunicação social locais, publicando relatórios de verificação de factos e estabelecendo parcerias com organizações da sociedade civil, a fim de combater as narrativas falsas de forma mais eficaz;</w:t>
      </w:r>
    </w:p>
    <w:p w14:paraId="1BDB0C0B" w14:textId="77777777" w:rsidR="0045065B" w:rsidRPr="00EE5472" w:rsidRDefault="0045065B" w:rsidP="0045065B">
      <w:pPr>
        <w:pStyle w:val="NormalHanging12a"/>
      </w:pPr>
      <w:proofErr w:type="gramStart"/>
      <w:r w:rsidRPr="00EE5472">
        <w:t>10.</w:t>
      </w:r>
      <w:r w:rsidRPr="00EE5472">
        <w:tab/>
        <w:t>Congratula</w:t>
      </w:r>
      <w:proofErr w:type="gramEnd"/>
      <w:r w:rsidRPr="00EE5472">
        <w:noBreakHyphen/>
        <w:t>se com o empenho renovado do Parlamento montenegrino na Comissão Parlamentar de Estabilização e de Associação;</w:t>
      </w:r>
    </w:p>
    <w:p w14:paraId="3D69C954" w14:textId="77777777" w:rsidR="0045065B" w:rsidRPr="00EE5472" w:rsidRDefault="0045065B" w:rsidP="0045065B">
      <w:pPr>
        <w:pStyle w:val="Normal12a24b"/>
      </w:pPr>
      <w:r w:rsidRPr="00EE5472">
        <w:rPr>
          <w:rStyle w:val="BoldItalic"/>
        </w:rPr>
        <w:t>Democracia e Estado de direito</w:t>
      </w:r>
    </w:p>
    <w:p w14:paraId="1E5D725C" w14:textId="77777777" w:rsidR="0045065B" w:rsidRPr="00EE5472" w:rsidRDefault="0045065B" w:rsidP="0045065B">
      <w:pPr>
        <w:pStyle w:val="NormalHanging12a"/>
      </w:pPr>
      <w:r w:rsidRPr="00EE5472">
        <w:t>11.</w:t>
      </w:r>
      <w:r w:rsidRPr="00EE5472">
        <w:tab/>
        <w:t>Reconhece o papel fundamental do Parlamento montenegrino no processo de adesão, nomeadamente no que diz respeito à aprovação de legislação relacionada com a adesão, e sublinha a importância da cooperação parlamentar a esse respeito; reitera a disponibilidade do Parlamento Europeu para utilizar os seus recursos políticos e técnicos para fazer avançar a agenda de reformas relacionadas com a UE, nomeadamente através de atividades de apoio à democracia; observa com preocupação as tensões reemergentes e a polarização étnica, que estão a abrandar o processo de reforma; solicita a realização de um diálogo construtivo e a criação de consensos em todo o espetro político, dando prioridade à qualidade legislativa, e solicita veementemente que sejam encontradas soluções através do diálogo parlamentar; solicita que se evite que a política de identidade desvie a atenção da agenda da UE ou que torne as relações mais tensas com os seus vizinhos, assegurando que o Montenegro permanece firmemente na via de adesão à UE; congratula</w:t>
      </w:r>
      <w:r w:rsidRPr="00EE5472">
        <w:noBreakHyphen/>
        <w:t>se com o acordo entre o primeiro</w:t>
      </w:r>
      <w:r w:rsidRPr="00EE5472">
        <w:noBreakHyphen/>
        <w:t>ministro do Montenegro e os líderes da oposição de solicitar um parecer à Comissão de Veneza sobre a cessação do mandato da juíza do Tribunal Constitucional Dragana Đuranović e de permitir o regresso da oposição ao Parlamento;</w:t>
      </w:r>
    </w:p>
    <w:p w14:paraId="01F8FAE8" w14:textId="77777777" w:rsidR="0045065B" w:rsidRPr="00EE5472" w:rsidRDefault="0045065B" w:rsidP="0045065B">
      <w:pPr>
        <w:pStyle w:val="NormalHanging12a"/>
      </w:pPr>
      <w:r w:rsidRPr="00EE5472">
        <w:t>12.</w:t>
      </w:r>
      <w:r w:rsidRPr="00EE5472">
        <w:tab/>
        <w:t>Manifesta preocupação com as tentativas de alterar a lei relativa à cidadania montenegrina no Parlamento do Montenegro, o que pode ter implicações graves e a longo prazo para os processos de tomada de decisão e a identidade do país, e salienta simultaneamente que quaisquer debates sobre a política de identidade devem ser tratados com a máxima sensibilidade para evitar uma maior polarização e devem procurar um amplo consenso social; insta as autoridades montenegrinas a consultarem e a coordenarem com a UE eventuais alterações à lei sobre a cidadania e salienta a importância de alcançar um consenso sobre qualquer matéria relacionada com este tema de importância crucial para a identidade e a independência do Montenegro;</w:t>
      </w:r>
    </w:p>
    <w:p w14:paraId="47BE54B2" w14:textId="77777777" w:rsidR="0045065B" w:rsidRPr="00EE5472" w:rsidRDefault="0045065B" w:rsidP="0045065B">
      <w:pPr>
        <w:pStyle w:val="NormalHanging12a"/>
      </w:pPr>
      <w:proofErr w:type="gramStart"/>
      <w:r w:rsidRPr="00EE5472">
        <w:t>13.</w:t>
      </w:r>
      <w:r w:rsidRPr="00EE5472">
        <w:tab/>
        <w:t>Exorta</w:t>
      </w:r>
      <w:proofErr w:type="gramEnd"/>
      <w:r w:rsidRPr="00EE5472">
        <w:t xml:space="preserve"> vivamente o Parlamento montenegrino a realizar consultas públicas inclusivas e transparentes e um diálogo regular e construtivo com a sociedade civil na tomada de decisões, desde a fase inicial do processo legislativo, nomeadamente no que diz respeito a legislação fundamental para o processo de reforma da UE; solicita que o Clube das Mulheres Parlamentares do Montenegro tenha um papel mais ativo;</w:t>
      </w:r>
    </w:p>
    <w:p w14:paraId="6BC41644" w14:textId="77777777" w:rsidR="0045065B" w:rsidRPr="00EE5472" w:rsidRDefault="0045065B" w:rsidP="0045065B">
      <w:pPr>
        <w:pStyle w:val="NormalHanging12a"/>
      </w:pPr>
      <w:r w:rsidRPr="00EE5472">
        <w:lastRenderedPageBreak/>
        <w:t>14.</w:t>
      </w:r>
      <w:r w:rsidRPr="00EE5472">
        <w:tab/>
        <w:t>Insta o Montenegro a alinhar plenamente o seu quadro jurídico eleitoral com as normas da UE, nomeadamente no que diz respeito à harmonização da legislação eleitoral, às restrições aos direitos de voto e de candidatura, à transparência, aos mecanismos de resolução de litígios, à supervisão das campanhas e dos meios de comunicação social e ao financiamento dos partidos políticos e das campanhas eleitorais, e a aplicar as recomendações do Gabinete das Instituições Democráticas e dos Direitos Humanos da Organização para a Segurança e a Cooperação na Europa</w:t>
      </w:r>
      <w:r w:rsidRPr="00EE5472">
        <w:rPr>
          <w:rStyle w:val="FootnoteReference"/>
        </w:rPr>
        <w:footnoteReference w:id="6"/>
      </w:r>
      <w:r w:rsidRPr="00EE5472">
        <w:t>; exorta o Montenegro a aumentar a transparência e a supervisão das despesas dos partidos políticos e a evitar a utilização abusiva de recursos estatais através do alinhamento da legislação pertinente com as normas da UE, a melhorar a aplicação das regras em matéria de financiamento por terceiros e a reforçar as sanções em caso de violação; destaca o papel da Agência para a Prevenção da Corrupção (APC) a esse respeito e apela para uma maior cooperação entre o APC e as autoridades de informação financeira para detetar e prevenir a influência estrangeira nas campanhas políticas; insta, além disso, o Montenegro a aplicar as recomendações do Comité das Nações Unidas para a Eliminação da Discriminação contra as Mulheres (CEDAW) sobre a paridade de género nas listas eleitorais;</w:t>
      </w:r>
    </w:p>
    <w:p w14:paraId="5C972B3C" w14:textId="77777777" w:rsidR="0045065B" w:rsidRPr="00EE5472" w:rsidRDefault="0045065B" w:rsidP="0045065B">
      <w:pPr>
        <w:pStyle w:val="NormalHanging12a"/>
      </w:pPr>
      <w:r w:rsidRPr="00EE5472">
        <w:t>15.</w:t>
      </w:r>
      <w:r w:rsidRPr="00EE5472">
        <w:tab/>
        <w:t>Reitera o seu apelo às autoridades montenegrinas para que definam um único dia para as eleições autárquicas a nível nacional, tal como previsto na legislação relativa à autonomia local, a fim de aumentar a eficiência da governação, reduzir as tensões políticas e reforçar a estabilidade e a eficácia das instituições municipais e estatais; recorda que o futuro desembolso de fundos ao abrigo do Mecanismo para as Reformas e o Crescimento depende do cumprimento dessa reforma, em conformidade com os compromissos assumidos pelo Montenegro na sua agenda de reformas, e deve ser realizado com caráter prioritário; congratula</w:t>
      </w:r>
      <w:r w:rsidRPr="00EE5472">
        <w:noBreakHyphen/>
        <w:t>se com o facto de, em 2022, terem sido realizadas, no mesmo dia, eleições em 14 municípios; solicita a adoção de um quadro legislativo robusto a esse respeito; Manifesta</w:t>
      </w:r>
      <w:r w:rsidRPr="00EE5472">
        <w:noBreakHyphen/>
        <w:t>se apreensivo com a má condução do processo eleitoral no município de Šavnik;</w:t>
      </w:r>
    </w:p>
    <w:p w14:paraId="2E627271" w14:textId="77777777" w:rsidR="0045065B" w:rsidRPr="00EE5472" w:rsidRDefault="0045065B" w:rsidP="0045065B">
      <w:pPr>
        <w:pStyle w:val="NormalHanging12a"/>
      </w:pPr>
      <w:proofErr w:type="gramStart"/>
      <w:r w:rsidRPr="00EE5472">
        <w:t>16.</w:t>
      </w:r>
      <w:r w:rsidRPr="00EE5472">
        <w:tab/>
        <w:t>Insta</w:t>
      </w:r>
      <w:proofErr w:type="gramEnd"/>
      <w:r w:rsidRPr="00EE5472">
        <w:t xml:space="preserve"> as autoridades montenegrinas a adotarem a Lei relativa ao Governo, que deverá permitir um quadro melhorado de governação e a otimização da administração pública;</w:t>
      </w:r>
    </w:p>
    <w:p w14:paraId="11CD2422" w14:textId="77777777" w:rsidR="0045065B" w:rsidRPr="00EE5472" w:rsidRDefault="0045065B" w:rsidP="0045065B">
      <w:pPr>
        <w:pStyle w:val="NormalHanging12a"/>
      </w:pPr>
      <w:r w:rsidRPr="00EE5472">
        <w:t>17.</w:t>
      </w:r>
      <w:r w:rsidRPr="00EE5472">
        <w:tab/>
        <w:t>Sublinha a importância de uma função pública profissional, baseada no mérito, transparente e despolitizada; insta o Montenegro a alterar e aplicar a legislação pertinente, a fim de proporcionar um quadro para a profissionalização, otimização e racionalização da administração pública, incluindo garantias processuais contra decisões com motivações políticas em matéria de nomeações e destituições, bem como normas elevadas para cargos de gestão; lamenta a ausência de progressos significativos na adoção e aplicação efetiva dessa legislação e salienta que tal permite que o recrutamento para a função pública continue sujeito a influência política;</w:t>
      </w:r>
    </w:p>
    <w:p w14:paraId="05EFDFFB" w14:textId="77777777" w:rsidR="0045065B" w:rsidRPr="00EE5472" w:rsidRDefault="0045065B" w:rsidP="0045065B">
      <w:pPr>
        <w:pStyle w:val="NormalHanging12a"/>
      </w:pPr>
      <w:proofErr w:type="gramStart"/>
      <w:r w:rsidRPr="00EE5472">
        <w:t>18.</w:t>
      </w:r>
      <w:r w:rsidRPr="00EE5472">
        <w:tab/>
        <w:t>Regozija</w:t>
      </w:r>
      <w:proofErr w:type="gramEnd"/>
      <w:r w:rsidRPr="00EE5472">
        <w:noBreakHyphen/>
        <w:t>se com a inclusão do Montenegro no Relatório de 2024 da Comissão sobre o Estado de direito; regista com preocupação as deficiências identificadas, incluindo no que diz respeito a nomeações judiciais e à independência do Ministério Público;</w:t>
      </w:r>
    </w:p>
    <w:p w14:paraId="5E70596D" w14:textId="77777777" w:rsidR="0045065B" w:rsidRPr="00EE5472" w:rsidRDefault="0045065B" w:rsidP="0045065B">
      <w:pPr>
        <w:pStyle w:val="NormalHanging12a"/>
      </w:pPr>
      <w:proofErr w:type="gramStart"/>
      <w:r w:rsidRPr="00EE5472">
        <w:t>19.</w:t>
      </w:r>
      <w:r w:rsidRPr="00EE5472">
        <w:tab/>
        <w:t>Congratula</w:t>
      </w:r>
      <w:proofErr w:type="gramEnd"/>
      <w:r w:rsidRPr="00EE5472">
        <w:noBreakHyphen/>
        <w:t xml:space="preserve">se com os progressos realizados na execução das principais reformas judiciais, na adoção de um novo quadro estratégico e na conclusão de nomeações </w:t>
      </w:r>
      <w:r w:rsidRPr="00EE5472">
        <w:lastRenderedPageBreak/>
        <w:t>judiciais há muito pendentes; insta o Montenegro a preencher os restantes cargos judiciais de alto nível;</w:t>
      </w:r>
    </w:p>
    <w:p w14:paraId="1723A21C" w14:textId="77777777" w:rsidR="0045065B" w:rsidRPr="00EE5472" w:rsidRDefault="0045065B" w:rsidP="0045065B">
      <w:pPr>
        <w:pStyle w:val="NormalHanging12a"/>
      </w:pPr>
      <w:r w:rsidRPr="00EE5472">
        <w:t>20.</w:t>
      </w:r>
      <w:r w:rsidRPr="00EE5472">
        <w:tab/>
        <w:t>Insta o Montenegro a continuar a alinhar o seu quadro jurídico, incluindo a Constituição, em especial a composição e o processo de tomada de decisões do Conselho Judicial, com a legislação e as normas da UE em matéria de independência, responsabilização, imparcialidade, integridade e profissionalismo do poder judicial e a despolitizar as nomeações para aumentar a independência, implementar as recomendações internacionais pendentes e definir critérios para a aposentação de juízes e procuradores, em linha com as normas europeias e em plena conformidade com a Constituição; lamenta os processos pendentes em atraso e insta o Montenegro a tomar medidas para reduzir a duração dos processos judiciais, em particular nos casos de criminalidade grave e organizada e sobretudo de branqueamento de capitais; recomenda que o Montenegro adote as alterações à Constituição na fase final das negociações de adesão do país à UE;</w:t>
      </w:r>
    </w:p>
    <w:p w14:paraId="4D0EDB25" w14:textId="77777777" w:rsidR="0045065B" w:rsidRPr="00EE5472" w:rsidRDefault="0045065B" w:rsidP="0045065B">
      <w:pPr>
        <w:pStyle w:val="NormalHanging12a"/>
      </w:pPr>
      <w:r w:rsidRPr="00EE5472">
        <w:t>21.</w:t>
      </w:r>
      <w:r w:rsidRPr="00EE5472">
        <w:tab/>
        <w:t>Toma nota das medidas adotadas na luta contra a corrupção, incluindo novas leis e disposições em matéria de proteção dos denunciantes, de criação de um novo conselho nacional para a luta contra a corrupção e da nova estratégia de luta contra a corrupção para 2024</w:t>
      </w:r>
      <w:r w:rsidRPr="00EE5472">
        <w:noBreakHyphen/>
        <w:t>2028; insta o Montenegro a continuar a alinhar</w:t>
      </w:r>
      <w:r w:rsidRPr="00EE5472">
        <w:noBreakHyphen/>
        <w:t>se com o acervo e as normas da UE e a dar seguimento às recomendações da Comissão, da Comissão de Veneza e do Grupo de Estados contra a Corrupção (GRECO); insta as autoridades montenegrinas a continuarem a corrigir as deficiências existentes no tratamento dos casos de criminalidade organizada e na apreensão e no confisco de bens de origem criminosa;</w:t>
      </w:r>
    </w:p>
    <w:p w14:paraId="4DFA0583" w14:textId="77777777" w:rsidR="0045065B" w:rsidRPr="00EE5472" w:rsidRDefault="0045065B" w:rsidP="0045065B">
      <w:pPr>
        <w:pStyle w:val="NormalHanging12a"/>
      </w:pPr>
      <w:proofErr w:type="gramStart"/>
      <w:r w:rsidRPr="00EE5472">
        <w:t>22.</w:t>
      </w:r>
      <w:r w:rsidRPr="00EE5472">
        <w:tab/>
        <w:t>Insta</w:t>
      </w:r>
      <w:proofErr w:type="gramEnd"/>
      <w:r w:rsidRPr="00EE5472">
        <w:t xml:space="preserve"> o Montenegro a intensificar a resposta da justiça penal à corrupção de alto nível, nomeadamente através do reforço da aplicação eficaz da legislação penal em vigor e da imposição de sanções eficazes e dissuasoras, e a criar as condições para que as instituições judiciais e os organismos independentes que lidam com a corrupção funcionem efetivamente, sem influência política;</w:t>
      </w:r>
    </w:p>
    <w:p w14:paraId="0BB26216" w14:textId="77777777" w:rsidR="0045065B" w:rsidRPr="00EE5472" w:rsidRDefault="0045065B" w:rsidP="0045065B">
      <w:pPr>
        <w:pStyle w:val="NormalHanging12a"/>
      </w:pPr>
      <w:proofErr w:type="gramStart"/>
      <w:r w:rsidRPr="00EE5472">
        <w:t>23.</w:t>
      </w:r>
      <w:r w:rsidRPr="00EE5472">
        <w:tab/>
        <w:t>Toma</w:t>
      </w:r>
      <w:proofErr w:type="gramEnd"/>
      <w:r w:rsidRPr="00EE5472">
        <w:t xml:space="preserve"> nota do trabalho da Agência para a Prevenção da Corrupção e solicita que lhe seja concedido financiamento suficiente e que seja despolitizada; espera que a Agência obtenha resultados tangíveis e aja de forma não seletiva para melhorar a sua integridade e reforçar a sua autoridade no exercício eficaz das suas competências; apela a um quadro de prevenção da corrupção mais forte;</w:t>
      </w:r>
    </w:p>
    <w:p w14:paraId="5569A442" w14:textId="77777777" w:rsidR="0045065B" w:rsidRPr="00EE5472" w:rsidRDefault="0045065B" w:rsidP="0045065B">
      <w:pPr>
        <w:pStyle w:val="NormalHanging12a"/>
      </w:pPr>
      <w:r w:rsidRPr="00EE5472">
        <w:t>24.</w:t>
      </w:r>
      <w:r w:rsidRPr="00EE5472">
        <w:tab/>
        <w:t>Insta o Montenegro a alinhar a sua legislação em matéria de armas com a legislação da UE e as normas internacionais, nomeadamente no que diz respeito às normas técnicas para a marcação de armas de fogo, aos procedimentos de desativação e à regulamentação relativa às armas de alarme e de sinalização, bem como a criar um sistema normalizado e eficaz de recolha e comunicação de dados sobre armas de fogo; manifesta consternação com o trágico tiroteio em massa em Cetinje e apresenta as suas condolências às famílias das vítimas; manifesta preocupação com o aproveitamento dessa tragédia para fins de desinformação e de polarização étnica; insta o Montenegro a reforçar a sua comunicação em situações de crise para combater a desinformação e assegurar uma comunicação responsável pelos meios de comunicação social na sequência de incidentes violentos; solicita que sejam adotadas medidas sistemáticas nos domínios da segurança, do bem</w:t>
      </w:r>
      <w:r w:rsidRPr="00EE5472">
        <w:noBreakHyphen/>
        <w:t xml:space="preserve">estar mental e da transparência institucional, bem como iniciativas de educação cívica e de sensibilização do público, de divulgação e ensino, </w:t>
      </w:r>
      <w:r w:rsidRPr="00EE5472">
        <w:lastRenderedPageBreak/>
        <w:t>sobre os perigos e riscos das armas de fogo, em linha com as expectativas dos cidadãos e as necessidades da sociedade;</w:t>
      </w:r>
    </w:p>
    <w:p w14:paraId="50CF4FA4" w14:textId="77777777" w:rsidR="0045065B" w:rsidRPr="00EE5472" w:rsidRDefault="0045065B" w:rsidP="0045065B">
      <w:pPr>
        <w:pStyle w:val="NormalHanging12a"/>
      </w:pPr>
      <w:r w:rsidRPr="00EE5472">
        <w:t>25.</w:t>
      </w:r>
      <w:r w:rsidRPr="00EE5472">
        <w:tab/>
        <w:t>Insta o Montenegro a alinhar urgente e plenamente a sua política de vistos com a da UE, especialmente no que diz respeito aos países que apresentem riscos de migração irregular ou de segurança para a UE; manifesta preocupação pelo facto de, contrariamente às expectativas, dois países adicionais terem sido acrescentados ao regime de isenção de vistos e de os titulares de passaportes russos e bielorrussos continuarem a beneficiar de um regime de isenção de vistos; observa que a harmonização da política de vistos está igualmente prevista na agenda de reformas do Montenegro no âmbito do Mecanismo para as Reformas e o Crescimento;</w:t>
      </w:r>
    </w:p>
    <w:p w14:paraId="3C2F3459" w14:textId="77777777" w:rsidR="0045065B" w:rsidRPr="00EE5472" w:rsidRDefault="0045065B" w:rsidP="0045065B">
      <w:pPr>
        <w:pStyle w:val="NormalHanging12a"/>
      </w:pPr>
      <w:r w:rsidRPr="00EE5472">
        <w:t>26.</w:t>
      </w:r>
      <w:r w:rsidRPr="00EE5472">
        <w:tab/>
        <w:t>Congratula</w:t>
      </w:r>
      <w:r w:rsidRPr="00EE5472">
        <w:noBreakHyphen/>
        <w:t>se com a cooperação em curso do Montenegro com a Agência Europeia da Guarda de Fronteiras e Costeira (Frontex), a Europol, a Eurojust e a Agência da União Europeia para a Formação Policial (CEPOL) e refere a importância dessa cooperação na luta contra a criminalidade transfronteiriça, incluindo o tráfico de armas, de drogas e de seres humanos, e na luta contra o terrorismo e o extremismo; congratula</w:t>
      </w:r>
      <w:r w:rsidRPr="00EE5472">
        <w:noBreakHyphen/>
        <w:t>se com a entrada em vigor, em 1 de julho de 2023, do acordo melhorado sobre a cooperação operacional em matéria de gestão das fronteiras com a Frontex e sugere uma maior cooperação entre o Montenegro e a Frontex para reforçar a gestão das fronteiras, apoiar os procedimentos de asilo, combater a introdução clandestina e reforçar a readmissão;</w:t>
      </w:r>
    </w:p>
    <w:p w14:paraId="79F81824" w14:textId="77777777" w:rsidR="0045065B" w:rsidRPr="00EE5472" w:rsidRDefault="0045065B" w:rsidP="0045065B">
      <w:pPr>
        <w:pStyle w:val="Normal12a24b"/>
      </w:pPr>
      <w:r w:rsidRPr="00EE5472">
        <w:rPr>
          <w:rStyle w:val="BoldItalic"/>
        </w:rPr>
        <w:t>Liberdades fundamentais e direitos humanos</w:t>
      </w:r>
    </w:p>
    <w:p w14:paraId="3DC306CD" w14:textId="77777777" w:rsidR="0045065B" w:rsidRPr="00EE5472" w:rsidRDefault="0045065B" w:rsidP="0045065B">
      <w:pPr>
        <w:pStyle w:val="NormalHanging12a"/>
      </w:pPr>
      <w:r w:rsidRPr="00EE5472">
        <w:t>27.</w:t>
      </w:r>
      <w:r w:rsidRPr="00EE5472">
        <w:tab/>
        <w:t>Lamenta que os grupos mais vulneráveis da sociedade continuem a ser vítimas de discriminação; insta o Montenegro a adotar uma nova lei contra a discriminação e estratégias pertinentes, através de um processo inclusivo, transparente e construtivo que envolva ativamente as pessoas mais afetadas, a fim de melhorar o acesso dos grupos vulneráveis aos direitos; sublinha que o respeito pelos direitos de todas as minorias nacionais é parte integrante do acervo da UE; solicita uma maior aplicação para assegurar a igualdade de tratamento de todos os grupos étnicos, religiosos e sociais para que lhes seja assegurada igualdade de direitos e de oportunidades e possam participar plenamente na vida social, política e económica;</w:t>
      </w:r>
    </w:p>
    <w:p w14:paraId="7DE8CBB3" w14:textId="77777777" w:rsidR="0045065B" w:rsidRPr="00EE5472" w:rsidRDefault="0045065B" w:rsidP="0045065B">
      <w:pPr>
        <w:pStyle w:val="NormalHanging12a"/>
      </w:pPr>
      <w:proofErr w:type="gramStart"/>
      <w:r w:rsidRPr="00EE5472">
        <w:t>28.</w:t>
      </w:r>
      <w:r w:rsidRPr="00EE5472">
        <w:tab/>
        <w:t>Acolhe</w:t>
      </w:r>
      <w:proofErr w:type="gramEnd"/>
      <w:r w:rsidRPr="00EE5472">
        <w:t xml:space="preserve"> a identidade multiétnica do Montenegro e defende uma maior promoção e o respeito das línguas, do património cultural e das tradições das comunidades locais e das minorias nacionais, uma vez que tal está estreitamente relacionado com a perspetiva europeia do Montenegro;</w:t>
      </w:r>
    </w:p>
    <w:p w14:paraId="66DB7B13" w14:textId="77777777" w:rsidR="0045065B" w:rsidRPr="00EE5472" w:rsidRDefault="0045065B" w:rsidP="0045065B">
      <w:pPr>
        <w:pStyle w:val="NormalHanging12a"/>
      </w:pPr>
      <w:proofErr w:type="gramStart"/>
      <w:r w:rsidRPr="00EE5472">
        <w:t>29.</w:t>
      </w:r>
      <w:r w:rsidRPr="00EE5472">
        <w:tab/>
        <w:t>Sublinha</w:t>
      </w:r>
      <w:proofErr w:type="gramEnd"/>
      <w:r w:rsidRPr="00EE5472">
        <w:t xml:space="preserve"> a identidade multiétnica da baía de Kotor; salienta que a perspetiva europeia do Montenegro está estreitamente relacionada com a proteção das minorias e do seu património cultural; insta as autoridades montenegrinas a cultivarem a natureza multiétnica do Estado, incluindo as tradições e o património cultural da comunidade croata na baía de Kotor;</w:t>
      </w:r>
    </w:p>
    <w:p w14:paraId="0D0D7B38" w14:textId="77777777" w:rsidR="0045065B" w:rsidRPr="00EE5472" w:rsidRDefault="0045065B" w:rsidP="0045065B">
      <w:pPr>
        <w:pStyle w:val="NormalHanging12a"/>
      </w:pPr>
      <w:r w:rsidRPr="00EE5472">
        <w:t>30.</w:t>
      </w:r>
      <w:r w:rsidRPr="00EE5472">
        <w:tab/>
        <w:t>Manifesta profunda preocupação com os sítios do património ameaçados no Montenegro, como a baía de Kotor e Sveti Stefan; salienta que Sveti Stefan, juntamente com o Parque Miločer, foi incluído entre «Os 7 sítios do património mais ameaçados na Europa» em 2023;</w:t>
      </w:r>
    </w:p>
    <w:p w14:paraId="593CDBB9" w14:textId="77777777" w:rsidR="0045065B" w:rsidRPr="00EE5472" w:rsidRDefault="0045065B" w:rsidP="0045065B">
      <w:pPr>
        <w:pStyle w:val="NormalHanging12a"/>
      </w:pPr>
      <w:proofErr w:type="gramStart"/>
      <w:r w:rsidRPr="00EE5472">
        <w:lastRenderedPageBreak/>
        <w:t>31.</w:t>
      </w:r>
      <w:r w:rsidRPr="00EE5472">
        <w:tab/>
        <w:t>Insta</w:t>
      </w:r>
      <w:proofErr w:type="gramEnd"/>
      <w:r w:rsidRPr="00EE5472">
        <w:t xml:space="preserve"> as autoridades montenegrinas a abordarem as condições de vida difíceis dos ciganos no Montenegro e a discriminação que enfrentam e solicita que sejam adotadas mais medidas para promover a compreensão intercultural nas escolas; insta as autoridades montenegrinas a tomarem também medidas para melhorar o clima de inclusão social das pessoas LGBTI;</w:t>
      </w:r>
    </w:p>
    <w:p w14:paraId="0EC633E2" w14:textId="77777777" w:rsidR="0045065B" w:rsidRPr="00EE5472" w:rsidRDefault="0045065B" w:rsidP="0045065B">
      <w:pPr>
        <w:pStyle w:val="NormalHanging12a"/>
      </w:pPr>
      <w:proofErr w:type="gramStart"/>
      <w:r w:rsidRPr="00EE5472">
        <w:t>32.</w:t>
      </w:r>
      <w:r w:rsidRPr="00EE5472">
        <w:tab/>
        <w:t>Congratula</w:t>
      </w:r>
      <w:proofErr w:type="gramEnd"/>
      <w:r w:rsidRPr="00EE5472">
        <w:noBreakHyphen/>
        <w:t>se com o facto de o Montenegro ter alinhado o seu quadro legislativo e institucional com o acervo da UE e as normas internacionais em matéria de direitos humanos no que diz respeito à conformidade com a Convenção das Nações Unidas sobre os Direitos da Criança e os seus protocolos facultativos; insta as autoridades a colmatarem as lacunas na aplicação, nomeadamente relacionadas com a responsabilização e o acompanhamento;</w:t>
      </w:r>
    </w:p>
    <w:p w14:paraId="64C11940" w14:textId="77777777" w:rsidR="0045065B" w:rsidRPr="00EE5472" w:rsidRDefault="0045065B" w:rsidP="0045065B">
      <w:pPr>
        <w:pStyle w:val="NormalHanging12a"/>
      </w:pPr>
      <w:r w:rsidRPr="00EE5472">
        <w:t>33.</w:t>
      </w:r>
      <w:r w:rsidRPr="00EE5472">
        <w:tab/>
        <w:t>Apela à aplicação eficaz de estratégias para defender os direitos das pessoas com deficiência em todos os setores e políticas;</w:t>
      </w:r>
    </w:p>
    <w:p w14:paraId="5EF29646" w14:textId="77777777" w:rsidR="0045065B" w:rsidRPr="00EE5472" w:rsidRDefault="0045065B" w:rsidP="0045065B">
      <w:pPr>
        <w:pStyle w:val="NormalHanging12a"/>
      </w:pPr>
      <w:proofErr w:type="gramStart"/>
      <w:r w:rsidRPr="00EE5472">
        <w:t>34.</w:t>
      </w:r>
      <w:r w:rsidRPr="00EE5472">
        <w:tab/>
        <w:t>Condena</w:t>
      </w:r>
      <w:proofErr w:type="gramEnd"/>
      <w:r w:rsidRPr="00EE5472">
        <w:t xml:space="preserve"> todos os discursos de ódio, incluindo o discurso de ódio em linha e com base no género, e os crimes de ódio; congratula</w:t>
      </w:r>
      <w:r w:rsidRPr="00EE5472">
        <w:noBreakHyphen/>
        <w:t>se com a criminalização do racismo e do discurso de ódio;</w:t>
      </w:r>
    </w:p>
    <w:p w14:paraId="1B7BD618" w14:textId="77777777" w:rsidR="0045065B" w:rsidRPr="00EE5472" w:rsidRDefault="0045065B" w:rsidP="0045065B">
      <w:pPr>
        <w:pStyle w:val="NormalHanging12a"/>
      </w:pPr>
      <w:r w:rsidRPr="00EE5472">
        <w:t>35.</w:t>
      </w:r>
      <w:r w:rsidRPr="00EE5472">
        <w:tab/>
        <w:t>Salienta a necessidade de reforçar os mecanismos institucionais para a qualidade de género e insta as autoridades montenegrinas a colmatarem as disparidades salariais entre homens e mulheres, a melhorarem a participação das mulheres na tomada de decisões, tanto no domínio público, em particular na administração pública, nos setores judicial e da segurança, como nas empresas, a assegurarem uma maior participação política das mulheres, a introduzirem uma orçamentação sensível ao género, a combaterem os estereótipos de género e a intensificarem os esforços destinados a combater a discriminação contra as mulheres, em particular nas zonas rurais; congratula</w:t>
      </w:r>
      <w:r w:rsidRPr="00EE5472">
        <w:noBreakHyphen/>
        <w:t>se com os esforços recentes destinados a reforçar a representação das mulheres na ciência, na tecnologia, na engenharia e na matemática (CTEM) e defende que devem ser adotados mais esforços nos setores tecnológicos;</w:t>
      </w:r>
    </w:p>
    <w:p w14:paraId="78D12850" w14:textId="77777777" w:rsidR="0045065B" w:rsidRPr="00EE5472" w:rsidRDefault="0045065B" w:rsidP="0045065B">
      <w:pPr>
        <w:pStyle w:val="NormalHanging12a"/>
      </w:pPr>
      <w:r w:rsidRPr="00EE5472">
        <w:t>36.</w:t>
      </w:r>
      <w:r w:rsidRPr="00EE5472">
        <w:tab/>
        <w:t>Manifesta profunda preocupação com as taxas elevadas de violência baseada no género, incluindo a violência doméstica e os feminicídios; exorta o Montenegro a alinhar plenamente as suas definições de violência baseada no género e de violência doméstica com a Convenção de Istambul e com recomendações de organismos internacionais, a criar mecanismos eficazes de proteção e prevenção e centros de apoio e a assegurar um acompanhamento judicial eficaz para as vítimas de violência doméstica e sexual, bem como a adotar uma política penal mais robusta contra os autores de crimes; apela à recolha de dados desagregados sobre a violência baseada no género e as disparidades de género, a fim de melhorar as respostas políticas;</w:t>
      </w:r>
    </w:p>
    <w:p w14:paraId="0B047DDA" w14:textId="77777777" w:rsidR="0045065B" w:rsidRPr="00EE5472" w:rsidRDefault="0045065B" w:rsidP="0045065B">
      <w:pPr>
        <w:pStyle w:val="NormalHanging12a"/>
      </w:pPr>
      <w:proofErr w:type="gramStart"/>
      <w:r w:rsidRPr="00EE5472">
        <w:t>37.</w:t>
      </w:r>
      <w:r w:rsidRPr="00EE5472">
        <w:tab/>
        <w:t>Lamenta</w:t>
      </w:r>
      <w:proofErr w:type="gramEnd"/>
      <w:r w:rsidRPr="00EE5472">
        <w:t xml:space="preserve"> que o projeto de lei sobre o reconhecimento jurídico do género não tenha sido adotado em 2024, apesar de ser uma medida constante do programa do Montenegro de adesão à UE; insta o Montenegro a adotar a lei sem demora;</w:t>
      </w:r>
    </w:p>
    <w:p w14:paraId="465CC02E" w14:textId="77777777" w:rsidR="0045065B" w:rsidRPr="00EE5472" w:rsidRDefault="0045065B" w:rsidP="0045065B">
      <w:pPr>
        <w:pStyle w:val="NormalHanging12a"/>
      </w:pPr>
      <w:r w:rsidRPr="00EE5472">
        <w:t>38.</w:t>
      </w:r>
      <w:r w:rsidRPr="00EE5472">
        <w:tab/>
        <w:t>Congratula</w:t>
      </w:r>
      <w:r w:rsidRPr="00EE5472">
        <w:noBreakHyphen/>
        <w:t xml:space="preserve">se com a nova legislação do Montenegro em matéria de meios de comunicação social e com a sua estratégia para a política dos meios de comunicação social destinada a reforçar o quadro jurídico para proteger eficazmente os jornalistas e outros profissionais da comunicação social; insiste numa política de tolerância zero no que diz respeito à pressão, ao assédio ou à violência contra jornalistas, em especial por </w:t>
      </w:r>
      <w:r w:rsidRPr="00EE5472">
        <w:lastRenderedPageBreak/>
        <w:t>parte de figuras públicas; sublinha a necessidade de realizar investigações eficazes, de julgar todos os casos de discurso de ódio, de campanhas de difamação e de ações judiciais estratégicas contra jornalistas e de dar seguimento a casos antigos; salienta a necessidade de garantir o direito dos jornalistas de acesso à informação e de manter uma postura crítica; regista uma melhoria significativa no que toca à liberdade de imprensa no Montenegro, como demonstrado pelo seu progresso no Índice Mundial da Liberdade de Imprensa</w:t>
      </w:r>
      <w:r w:rsidR="00AA77DD" w:rsidRPr="00EE5472">
        <w:t>;</w:t>
      </w:r>
    </w:p>
    <w:p w14:paraId="6F457016" w14:textId="77777777" w:rsidR="0045065B" w:rsidRPr="00EE5472" w:rsidRDefault="0045065B" w:rsidP="0045065B">
      <w:pPr>
        <w:pStyle w:val="NormalHanging12a"/>
      </w:pPr>
      <w:proofErr w:type="gramStart"/>
      <w:r w:rsidRPr="00EE5472">
        <w:t>39.</w:t>
      </w:r>
      <w:r w:rsidRPr="00EE5472">
        <w:tab/>
        <w:t>Manifesta</w:t>
      </w:r>
      <w:proofErr w:type="gramEnd"/>
      <w:r w:rsidRPr="00EE5472">
        <w:t xml:space="preserve"> preocupação com os casos em que jornalistas, académicos e organizações da sociedade civil enfrentaram pressão por exercerem a liberdade de expressão, incluindo casos em que a polícia instaurou processos de contraordenação contra eles; manifesta preocupação com a utilização de ações judiciais estratégicas contra a participação pública (SLAPP) contra jornalistas;</w:t>
      </w:r>
    </w:p>
    <w:p w14:paraId="55E9F1DA" w14:textId="77777777" w:rsidR="0045065B" w:rsidRPr="00EE5472" w:rsidRDefault="0045065B" w:rsidP="0045065B">
      <w:pPr>
        <w:pStyle w:val="NormalHanging12a"/>
      </w:pPr>
      <w:r w:rsidRPr="00EE5472">
        <w:t>40.</w:t>
      </w:r>
      <w:r w:rsidRPr="00EE5472">
        <w:tab/>
        <w:t>Lamenta o elevado nível de polarização prevalecente nos meios de comunicação social e a sua vulnerabilidade a interesses políticos e à influência estrangeira, bem como as campanhas de desinformação estrangeiras e nacionais que espalham narrativas que têm um impacto negativo nos processos democráticos no país e põem em perigo a sua perspetiva europeia; insta o Montenegro a continuar a desenvolver programas melhorados de literacia mediática e a incluí</w:t>
      </w:r>
      <w:r w:rsidRPr="00EE5472">
        <w:noBreakHyphen/>
        <w:t>los como um tema de base na educação; insta as autoridades montenegrinas a assegurarem a independência editorial, institucional e financeira do organismo público de radiodifusão RTCG, bem como a legalidade da nomeação da sua direção e o pleno respeito das decisões judiciais relativas ao RTCG; recorda que tem de respeitar a lei e os mais elevados padrões de responsabilização e de integridade; lamenta que a independência dos meios de comunicação social públicos esteja a ser enfraquecida e comprometida; exorta todas as entidades dos meios de comunicação social a cumprirem os requisitos legais em matéria de transparência do financiamento público;</w:t>
      </w:r>
    </w:p>
    <w:p w14:paraId="0AF02DC3" w14:textId="77777777" w:rsidR="0045065B" w:rsidRPr="00EE5472" w:rsidRDefault="0045065B" w:rsidP="0045065B">
      <w:pPr>
        <w:pStyle w:val="NormalHanging12a"/>
      </w:pPr>
      <w:proofErr w:type="gramStart"/>
      <w:r w:rsidRPr="00EE5472">
        <w:t>41.</w:t>
      </w:r>
      <w:r w:rsidRPr="00EE5472">
        <w:tab/>
        <w:t>Congratula</w:t>
      </w:r>
      <w:proofErr w:type="gramEnd"/>
      <w:r w:rsidRPr="00EE5472">
        <w:noBreakHyphen/>
        <w:t>se com a publicação dos resultados do recenseamento da população de 2023; insta as autoridades a evitarem qualquer politização do processo; exorta as partes interessadas a utilizarem esses resultados de forma não discriminatória;</w:t>
      </w:r>
    </w:p>
    <w:p w14:paraId="3B184517" w14:textId="77777777" w:rsidR="0045065B" w:rsidRPr="00EE5472" w:rsidRDefault="0045065B" w:rsidP="0045065B">
      <w:pPr>
        <w:pStyle w:val="NormalHanging12a"/>
      </w:pPr>
      <w:r w:rsidRPr="00EE5472">
        <w:t>42.</w:t>
      </w:r>
      <w:r w:rsidRPr="00EE5472">
        <w:tab/>
        <w:t>Congratula</w:t>
      </w:r>
      <w:r w:rsidRPr="00EE5472">
        <w:noBreakHyphen/>
        <w:t>se com a sociedade civil vibrante e construtiva do Montenegro e sublinha a sua importância para promover a democracia e o pluralismo e para promover a boa governação e o progresso social; manifesta preocupação com a redução do espaço reservado às organizações da sociedade civil com uma postura crítica e condena todas as campanhas de difamação, intimidação e ataques contra organizações da sociedade civil, nomeadamente por parte de figuras políticas no contexto das propostas que dizem respeito à «lei relativa aos agentes estrangeiros»; observa que tais leis podem comprometer as liberdades fundamentais e o funcionamento da sociedade civil e são incompatíveis com os valores e as normas da UE; solicita que seja adotado um quadro jurídico de apoio e critérios de seleção claros e justos em relação ao financiamento público; insta o Conselho de Cooperação entre o Governo e as organizações não governamentais a retomar os trabalhos; sublinha a importância de estabelecer relações de colaboração e de consultar verdadeiramente a sociedade civil sobre os projetos de legislação desde uma fase precoce;</w:t>
      </w:r>
    </w:p>
    <w:p w14:paraId="2D1F667D" w14:textId="77777777" w:rsidR="0045065B" w:rsidRPr="00EE5472" w:rsidRDefault="0045065B" w:rsidP="0045065B">
      <w:pPr>
        <w:pStyle w:val="Normal12a24b"/>
      </w:pPr>
      <w:r w:rsidRPr="00EE5472">
        <w:rPr>
          <w:rStyle w:val="BoldItalic"/>
        </w:rPr>
        <w:t>Reconciliação, relações de boa vizinhança e cooperação regional</w:t>
      </w:r>
    </w:p>
    <w:p w14:paraId="28AB88CD" w14:textId="77777777" w:rsidR="0045065B" w:rsidRPr="00EE5472" w:rsidRDefault="0045065B" w:rsidP="0045065B">
      <w:pPr>
        <w:pStyle w:val="NormalHanging12a"/>
      </w:pPr>
      <w:proofErr w:type="gramStart"/>
      <w:r w:rsidRPr="00EE5472">
        <w:lastRenderedPageBreak/>
        <w:t>43.</w:t>
      </w:r>
      <w:r w:rsidRPr="00EE5472">
        <w:tab/>
        <w:t>Recorda</w:t>
      </w:r>
      <w:proofErr w:type="gramEnd"/>
      <w:r w:rsidRPr="00EE5472">
        <w:t xml:space="preserve"> que as relações de boa vizinhança e a cooperação regional constituem elementos essenciais do processo de alargamento; louva a participação ativa do Montenegro em iniciativas de cooperação regional; recorda que as relações de boa vizinhança são fundamentais para avançar no processo de adesão;</w:t>
      </w:r>
    </w:p>
    <w:p w14:paraId="57ABED93" w14:textId="77777777" w:rsidR="0045065B" w:rsidRPr="00EE5472" w:rsidRDefault="0045065B" w:rsidP="0045065B">
      <w:pPr>
        <w:pStyle w:val="NormalHanging12a"/>
      </w:pPr>
      <w:r w:rsidRPr="00EE5472">
        <w:t>44.</w:t>
      </w:r>
      <w:r w:rsidRPr="00EE5472">
        <w:tab/>
        <w:t>Lamenta que o capítulo 31 não tenha podido ser encerrado em dezembro de 2024; insta todas as partes envolvidas a encontrarem soluções para as questões bilaterais pendentes de forma construtiva e amigável e a darem prioridade aos interesses futuros dos cidadãos dos Balcãs Ocidentais; recorda que deve ser evitada a utilização de litígios bilaterais e regionais não resolvidos para bloquear os processos de adesão dos países candidatos; congratula</w:t>
      </w:r>
      <w:r w:rsidRPr="00EE5472">
        <w:noBreakHyphen/>
        <w:t>se com as consultas bilaterais entre a República da Croácia e o Montenegro sobre o estatuto das questões bilaterais não resolvidas; exorta as autoridades a continuarem a adotar medidas que criem confiança;</w:t>
      </w:r>
    </w:p>
    <w:p w14:paraId="79C5F6B7" w14:textId="77777777" w:rsidR="0045065B" w:rsidRPr="00EE5472" w:rsidRDefault="0045065B" w:rsidP="0045065B">
      <w:pPr>
        <w:pStyle w:val="NormalHanging12a"/>
      </w:pPr>
      <w:r w:rsidRPr="00EE5472">
        <w:t>45.</w:t>
      </w:r>
      <w:r w:rsidRPr="00EE5472">
        <w:tab/>
        <w:t>Toma nota das alterações do Montenegro ao Código de Processo Penal destinadas a eliminar os obstáculos jurídicos e práticos que afetam a eficácia da investigação, da ação penal, dos julgamentos e da punição dos crimes de guerra, em conformidade com as recomendações pertinentes; insta o Montenegro a adotar uma abordagem proativa ao tratamento dos casos de crimes de guerra, em linha com o direito e as normas internacionais, a fim de identificar, julgar e punir os autores e a glorificação dos crimes de guerra, assegurar o acesso e a prestação de justiça, de recurso e de reparação às vítimas e esclarecer qual o destino das pessoas desaparecidas; exorta o Montenegro a afetar recursos suficientes a procuradores e tribunais especializados, a investigar proativamente todas as alegações de crimes de guerra e a levantar questões de responsabilidade de comando, bem como a rever processos anteriores que não tenham sido julgados em conformidade com o direito internacional ou nacional; apela a uma cooperação regional na investigação e no julgamento de pessoas acusadas de crimes de guerra; reconhece que a resolução dessas questões e a salvaguarda de factos judiciais são uma base importante para a confiança, os valores democráticos, a reconciliação e o reforço das relações bilaterais com os países vizinhos e incentiva o Montenegro a intensificar esses esforços;</w:t>
      </w:r>
    </w:p>
    <w:p w14:paraId="3A96D446" w14:textId="77777777" w:rsidR="0045065B" w:rsidRPr="00EE5472" w:rsidRDefault="0045065B" w:rsidP="0045065B">
      <w:pPr>
        <w:pStyle w:val="NormalHanging12a"/>
      </w:pPr>
      <w:r w:rsidRPr="00EE5472">
        <w:t>46.</w:t>
      </w:r>
      <w:r w:rsidRPr="00EE5472">
        <w:tab/>
        <w:t>Adverte contra os perigos do revisionismo político, que distorce os factos históricos para fins políticos, compromete a responsabilização e agrava as divisões sociais; condena veementemente a glorificação dos criminosos de guerra e a negação pública generalizada de vereditos internacionais relativos a crimes de guerra, nomeadamente pelas autoridades montenegrinas; considera que a declaração do presidente Jakov Milatović, lamentando a participação das forças montenegrinas no bombardeamento da cidade de Dubrovnik, foi um contributo importante para a paz e a reconciliação regionais;</w:t>
      </w:r>
    </w:p>
    <w:p w14:paraId="475A5CC4" w14:textId="77777777" w:rsidR="0045065B" w:rsidRPr="00EE5472" w:rsidRDefault="0045065B" w:rsidP="0045065B">
      <w:pPr>
        <w:pStyle w:val="NormalHanging12a"/>
      </w:pPr>
      <w:proofErr w:type="gramStart"/>
      <w:r w:rsidRPr="00EE5472">
        <w:t>47.</w:t>
      </w:r>
      <w:r w:rsidRPr="00EE5472">
        <w:tab/>
        <w:t>Reitera</w:t>
      </w:r>
      <w:proofErr w:type="gramEnd"/>
      <w:r w:rsidRPr="00EE5472">
        <w:t xml:space="preserve"> o seu apoio à iniciativa que visa criar a Comissão Regional para o apuramento dos factos relativos a crimes de guerra e outras violações graves dos direitos humanos no território da antiga Jugoslávia (RECOM);</w:t>
      </w:r>
    </w:p>
    <w:p w14:paraId="70A5B526" w14:textId="77777777" w:rsidR="0045065B" w:rsidRPr="00EE5472" w:rsidRDefault="0045065B" w:rsidP="0045065B">
      <w:pPr>
        <w:pStyle w:val="NormalHanging12a"/>
      </w:pPr>
      <w:proofErr w:type="gramStart"/>
      <w:r w:rsidRPr="00EE5472">
        <w:t>48.</w:t>
      </w:r>
      <w:r w:rsidRPr="00EE5472">
        <w:tab/>
        <w:t>Reitera</w:t>
      </w:r>
      <w:proofErr w:type="gramEnd"/>
      <w:r w:rsidRPr="00EE5472">
        <w:t xml:space="preserve"> o seu apelo para a abertura dos arquivos que dizem respeito às antigas repúblicas da Jugoslávia e para a concessão de acesso aos dossiês do antigo serviço secreto jugoslavo e do serviço secreto do exército popular jugoslavo, a fim de investigar exaustivamente e resolver os crimes da era comunista;</w:t>
      </w:r>
    </w:p>
    <w:p w14:paraId="20236CDD" w14:textId="77777777" w:rsidR="0045065B" w:rsidRPr="00EE5472" w:rsidRDefault="0045065B" w:rsidP="0045065B">
      <w:pPr>
        <w:pStyle w:val="Normal12a24b"/>
      </w:pPr>
      <w:r w:rsidRPr="00EE5472">
        <w:rPr>
          <w:rStyle w:val="BoldItalic"/>
        </w:rPr>
        <w:t>Reformas socioeconómicas</w:t>
      </w:r>
    </w:p>
    <w:p w14:paraId="0A143015" w14:textId="77777777" w:rsidR="0045065B" w:rsidRPr="00EE5472" w:rsidRDefault="0045065B" w:rsidP="0045065B">
      <w:pPr>
        <w:pStyle w:val="NormalHanging12a"/>
      </w:pPr>
      <w:proofErr w:type="gramStart"/>
      <w:r w:rsidRPr="00EE5472">
        <w:lastRenderedPageBreak/>
        <w:t>49.</w:t>
      </w:r>
      <w:r w:rsidRPr="00EE5472">
        <w:tab/>
        <w:t>Congratula</w:t>
      </w:r>
      <w:proofErr w:type="gramEnd"/>
      <w:r w:rsidRPr="00EE5472">
        <w:noBreakHyphen/>
        <w:t>se com a inclusão do Montenegro nos sistemas de pagamento SEPA, reduzindo assim os custos para os cidadãos e as empresas; sublinha que tal oferece oportunidades para a expansão das empresas, o aumento da competitividade, a inovação e um acesso melhor ao investimento direto estrangeiro;</w:t>
      </w:r>
    </w:p>
    <w:p w14:paraId="43854848" w14:textId="77777777" w:rsidR="0045065B" w:rsidRPr="00EE5472" w:rsidRDefault="0045065B" w:rsidP="0045065B">
      <w:pPr>
        <w:pStyle w:val="NormalHanging12a"/>
      </w:pPr>
      <w:r w:rsidRPr="00EE5472">
        <w:t>50.</w:t>
      </w:r>
      <w:r w:rsidRPr="00EE5472">
        <w:tab/>
        <w:t>Louva o Plano de Crescimento para os Balcãs Ocidentais, que visa integrar a região no mercado único da UE, promover a cooperação económica regional e aprofundar as reformas relacionadas com a UE, e que inclui o Mecanismo para as Reformas e o Crescimento para os Balcãs Ocidentais, no valor de 6 mil milhões de EUR; regozija</w:t>
      </w:r>
      <w:r w:rsidRPr="00EE5472">
        <w:noBreakHyphen/>
        <w:t>se com a adoção pelo Montenegro de uma agenda de reformas e incentiva a sua plena aplicação; observa que a execução das medidas de reforma definidas no âmbito do programa de reformas do Montenegro para o Plano de Crescimento proporcionaria acesso a mais de 380 milhões de EUR em subvenções e empréstimos favoráveis, mediante uma execução bem</w:t>
      </w:r>
      <w:r w:rsidRPr="00EE5472">
        <w:noBreakHyphen/>
        <w:t>sucedida; salienta a importância de consultas inclusivas das partes interessadas, nomeadamente das autoridades locais e regionais, dos parceiros sociais e da sociedade civil, nas fases de conceção, execução, acompanhamento e avaliação;</w:t>
      </w:r>
    </w:p>
    <w:p w14:paraId="6B32C3E7" w14:textId="77777777" w:rsidR="0045065B" w:rsidRPr="00EE5472" w:rsidRDefault="0045065B" w:rsidP="0045065B">
      <w:pPr>
        <w:pStyle w:val="NormalHanging12a"/>
      </w:pPr>
      <w:r w:rsidRPr="00EE5472">
        <w:t>51.</w:t>
      </w:r>
      <w:r w:rsidRPr="00EE5472">
        <w:tab/>
        <w:t>Insta o Montenegro a utilizar da melhor forma possível todo o financiamento da UE disponível ao abrigo do Instrumento de Pré</w:t>
      </w:r>
      <w:r w:rsidRPr="00EE5472">
        <w:noBreakHyphen/>
        <w:t>Adesão (IPA III), do Plano Económico e de Investimento para os Balcãs Ocidentais, do programa IPARD e do Mecanismo para as Reformas e o Crescimento nos Balcãs Ocidentais, a fim de acelerar a convergência socioeconómica com a UE e continuar a alinhar a sua legislação com a da UE em matéria de prevenção da fraude; recorda a condicionalidade do financiamento da UE, que pode ser modulado ou suspenso em caso de regressão significativa ou de ausência persistente de progressos em aspetos fundamentais;</w:t>
      </w:r>
    </w:p>
    <w:p w14:paraId="15925547" w14:textId="77777777" w:rsidR="0045065B" w:rsidRPr="00EE5472" w:rsidRDefault="0045065B" w:rsidP="0045065B">
      <w:pPr>
        <w:pStyle w:val="NormalHanging12a"/>
      </w:pPr>
      <w:r w:rsidRPr="00EE5472">
        <w:t>52.</w:t>
      </w:r>
      <w:r w:rsidRPr="00EE5472">
        <w:tab/>
        <w:t xml:space="preserve">Insta a UE e os países dos Balcãs Ocidentais a estabelecerem um quadro para uma cooperação eficaz entre a Procuradoria Europeia e os países candidatos à adesão, a fim de facilitar uma cooperação estreita e as ações judiciais contra a utilização indevida de fundos da UE, nomeadamente através do destacamento de agentes de ligação nacionais para a Procuradoria Europeia; exorta o Montenegro a aplicar plenamente os acordos de trabalho com a Procuradoria Europeia; insta a UE a adotar as disposições jurídicas e políticas necessárias para alargar a jurisdição da </w:t>
      </w:r>
      <w:r w:rsidR="00A456A9" w:rsidRPr="00EE5472">
        <w:t xml:space="preserve">Procuradoria Europeia </w:t>
      </w:r>
      <w:r w:rsidRPr="00EE5472">
        <w:t>aos fundos da UE destinados ao Montenegro enquanto país candidato;</w:t>
      </w:r>
    </w:p>
    <w:p w14:paraId="29DE4F0C" w14:textId="77777777" w:rsidR="0045065B" w:rsidRPr="00EE5472" w:rsidRDefault="0045065B" w:rsidP="0045065B">
      <w:pPr>
        <w:pStyle w:val="NormalHanging12a"/>
      </w:pPr>
      <w:proofErr w:type="gramStart"/>
      <w:r w:rsidRPr="00EE5472">
        <w:t>53.</w:t>
      </w:r>
      <w:r w:rsidRPr="00EE5472">
        <w:tab/>
        <w:t>Regista</w:t>
      </w:r>
      <w:proofErr w:type="gramEnd"/>
      <w:r w:rsidRPr="00EE5472">
        <w:t xml:space="preserve"> com agrado o crescimento económico do Montenegro; exorta à adoção de mais medidas para reduzir o défice orçamental e a dívida pública, bem como para continuar a eliminar as isenções de impostos indiretos que não estão em consonância com o acervo da UE; congratula</w:t>
      </w:r>
      <w:r w:rsidRPr="00EE5472">
        <w:noBreakHyphen/>
        <w:t>se com os esforços para reduzir essas vulnerabilidades orçamentais; reitera a necessidade de aumentar o investimento público no sistema de ensino para um desenvolvimento social e económico sustentável;</w:t>
      </w:r>
    </w:p>
    <w:p w14:paraId="508B596C" w14:textId="77777777" w:rsidR="0045065B" w:rsidRPr="00EE5472" w:rsidRDefault="0045065B" w:rsidP="0045065B">
      <w:pPr>
        <w:pStyle w:val="NormalHanging12a"/>
      </w:pPr>
      <w:r w:rsidRPr="00EE5472">
        <w:t>54.</w:t>
      </w:r>
      <w:r w:rsidRPr="00EE5472">
        <w:tab/>
        <w:t>Observa que a dívida pública do Montenegro a instituições financeiras e empresas estrangeiras pode ser utilizada como instrumento para influenciar as suas decisões políticas, em particular as relacionadas com a China e a Rússia; congratula</w:t>
      </w:r>
      <w:r w:rsidRPr="00EE5472">
        <w:noBreakHyphen/>
        <w:t xml:space="preserve">se com os esforços destinados a reduzir essas vulnerabilidades e exorta as autoridades a continuarem a reduzir a dependência económica em relação à China e a continuarem a utilizar o Plano Económico e de Investimento para os Balcãs Ocidentais, a Iniciativa Global Gateway da UE e o Mecanismo para os Balcãs Ocidentais para encontrar alternativas mais ecológicas e mais transparentes para o financiamento de projetos de </w:t>
      </w:r>
      <w:r w:rsidRPr="00EE5472">
        <w:lastRenderedPageBreak/>
        <w:t>infraestruturas; insta o Montenegro a aumentar a transparência dos futuros projetos de infraestruturas, a assegurar concursos competitivos e a evitar uma dependência excessiva da dívida em relação a credores estrangeiros;</w:t>
      </w:r>
    </w:p>
    <w:p w14:paraId="0CF26AD1" w14:textId="77777777" w:rsidR="0045065B" w:rsidRPr="00EE5472" w:rsidRDefault="0045065B" w:rsidP="0045065B">
      <w:pPr>
        <w:pStyle w:val="NormalHanging12a"/>
      </w:pPr>
      <w:proofErr w:type="gramStart"/>
      <w:r w:rsidRPr="00EE5472">
        <w:t>55.</w:t>
      </w:r>
      <w:r w:rsidRPr="00EE5472">
        <w:tab/>
        <w:t>Insta</w:t>
      </w:r>
      <w:proofErr w:type="gramEnd"/>
      <w:r w:rsidRPr="00EE5472">
        <w:t xml:space="preserve"> as autoridades montenegrinas a tomarem medidas para combater o despovoamento e a emigração, em particular através de investimentos na educação e nos cuidados de saúde, em especial no Norte do país, bem como através da descentralização, investindo em cidades de média dimensão;</w:t>
      </w:r>
    </w:p>
    <w:p w14:paraId="4AF87A97" w14:textId="77777777" w:rsidR="0045065B" w:rsidRPr="00EE5472" w:rsidRDefault="0045065B" w:rsidP="0045065B">
      <w:pPr>
        <w:pStyle w:val="NormalHanging12a"/>
      </w:pPr>
      <w:r w:rsidRPr="00EE5472">
        <w:t>56.</w:t>
      </w:r>
      <w:r w:rsidRPr="00EE5472">
        <w:tab/>
        <w:t>Exorta as autoridades montenegrinas a impulsionarem a transformação digital e a prosseguirem políticas do mercado de trabalho baseadas em dados concretos para fazer face à taxa de desemprego persistentemente elevada, em particular entre as mulheres e os jovens, reforçando simultaneamente a capacidade institucional e o quadro político digital subjacente, e a aplicarem eficazmente a Garantia para a Juventude e a nova Estratégia para a Juventude; insta as autoridades a combaterem urgentemente a fuga de cérebros; promove o desenvolvimento de medidas preventivas específicas e de incentivos para legalizar as empresas e os trabalhadores informais, uma vez que a grande dimensão do setor informal continua a entravar o desenvolvimento económico e social no Montenegro;</w:t>
      </w:r>
    </w:p>
    <w:p w14:paraId="3983C235" w14:textId="77777777" w:rsidR="0045065B" w:rsidRPr="00EE5472" w:rsidRDefault="0045065B" w:rsidP="0045065B">
      <w:pPr>
        <w:pStyle w:val="NormalHanging12a"/>
      </w:pPr>
      <w:proofErr w:type="gramStart"/>
      <w:r w:rsidRPr="00EE5472">
        <w:t>57.</w:t>
      </w:r>
      <w:r w:rsidRPr="00EE5472">
        <w:tab/>
        <w:t>Congratula</w:t>
      </w:r>
      <w:proofErr w:type="gramEnd"/>
      <w:r w:rsidRPr="00EE5472">
        <w:noBreakHyphen/>
        <w:t>se com os apelos para a rápida integração de todos os países dos Balcãs Ocidentais no mercado único digital da UE antes da adesão efetiva à UE, o que permitiria decisivamente a criação de um ambiente seguro do ponto de vista digital;</w:t>
      </w:r>
    </w:p>
    <w:p w14:paraId="0EBE2C72" w14:textId="77777777" w:rsidR="0045065B" w:rsidRPr="00EE5472" w:rsidRDefault="0045065B" w:rsidP="0045065B">
      <w:pPr>
        <w:pStyle w:val="NormalHanging12a"/>
      </w:pPr>
      <w:r w:rsidRPr="00EE5472">
        <w:t>58.</w:t>
      </w:r>
      <w:r w:rsidRPr="00EE5472">
        <w:tab/>
        <w:t>Apela para uma maior transparência nos contratos públicos, nomeadamente no que se refere aos procedimentos através de acordos intergovernamentais, e ao pleno cumprimento das regras e princípios da UE; insta o Montenegro a reduzir o número de procedimentos de adjudicação de contratos públicos sem avisos prévios; manifesta preocupação com os encargos financeiros e a falta de transparência em torno da construção da autoestrada Bar</w:t>
      </w:r>
      <w:r w:rsidRPr="00EE5472">
        <w:noBreakHyphen/>
        <w:t>Boljare, no Montenegro, financiada por um empréstimo chinês; salienta que o sigilo em torno dos contratos de empréstimo e dos contratos de construção suscita preocupações em matéria de responsabilização;</w:t>
      </w:r>
    </w:p>
    <w:p w14:paraId="30BBC5F1" w14:textId="77777777" w:rsidR="0045065B" w:rsidRPr="00EE5472" w:rsidRDefault="0045065B" w:rsidP="0045065B">
      <w:pPr>
        <w:pStyle w:val="NormalHanging12a"/>
      </w:pPr>
      <w:r w:rsidRPr="00EE5472">
        <w:t>59.</w:t>
      </w:r>
      <w:r w:rsidRPr="00EE5472">
        <w:tab/>
        <w:t>Manifesta preocupação com quaisquer acordos ou projetos que contornem as regras em matéria de contratos públicos, as obrigações de transparência e os requisitos de consulta pública, tal como estabelecido na legislação nacional e nas normas da UE; insta o Governo do Montenegro a assegurar o pleno respeito pelos princípios da transparência, da responsabilização, da tomada de decisão inclusiva e do Estado de direito em todas as iniciativas públicas relativas a infraestruturas ou desenvolvimento;</w:t>
      </w:r>
    </w:p>
    <w:p w14:paraId="2EA56EB1" w14:textId="77777777" w:rsidR="0045065B" w:rsidRPr="00EE5472" w:rsidRDefault="0045065B" w:rsidP="0045065B">
      <w:pPr>
        <w:pStyle w:val="Normal12a24b"/>
      </w:pPr>
      <w:r w:rsidRPr="00EE5472">
        <w:rPr>
          <w:rStyle w:val="BoldItalic"/>
        </w:rPr>
        <w:t>Energia, ambiente, biodiversidade e conectividade</w:t>
      </w:r>
    </w:p>
    <w:p w14:paraId="1B94425C" w14:textId="77777777" w:rsidR="0045065B" w:rsidRPr="00EE5472" w:rsidRDefault="0045065B" w:rsidP="0045065B">
      <w:pPr>
        <w:pStyle w:val="NormalHanging12a"/>
      </w:pPr>
      <w:r w:rsidRPr="00EE5472">
        <w:t>60.</w:t>
      </w:r>
      <w:r w:rsidRPr="00EE5472">
        <w:tab/>
        <w:t>Insta o Montenegro a avançar com a transição ecológica, com o apoio do financiamento da UE, a melhorar o seu quadro institucional e regulamentar e a reforçar a resiliência energética, através da adoção e execução do tão aguardado plano nacional em matéria de energia e clima, da adoção de legislação em matéria de eficiência energética e de uma maior integração nos mercados da energia da UE; solicita que todos os novos projetos de transição ecológica sejam executados em conformidade com as normas da UE em matéria de ambiente, auxílios estatais e concessões;</w:t>
      </w:r>
    </w:p>
    <w:p w14:paraId="21C296E5" w14:textId="77777777" w:rsidR="0045065B" w:rsidRPr="00EE5472" w:rsidRDefault="0045065B" w:rsidP="0045065B">
      <w:pPr>
        <w:pStyle w:val="NormalHanging12a"/>
      </w:pPr>
      <w:r w:rsidRPr="00EE5472">
        <w:lastRenderedPageBreak/>
        <w:t>61.</w:t>
      </w:r>
      <w:r w:rsidRPr="00EE5472">
        <w:tab/>
        <w:t>Lamenta a falta de progressos nas principais reformas setoriais no domínio da política de transportes; insta as autoridades montenegrinas a alinharem o desenvolvimento dos transportes do país com a Estratégia de Mobilidade Sustentável e Inteligente para os Balcãs Ocidentais, centrando</w:t>
      </w:r>
      <w:r w:rsidRPr="00EE5472">
        <w:noBreakHyphen/>
        <w:t>se nos caminhos</w:t>
      </w:r>
      <w:r w:rsidRPr="00EE5472">
        <w:noBreakHyphen/>
        <w:t>de</w:t>
      </w:r>
      <w:r w:rsidRPr="00EE5472">
        <w:noBreakHyphen/>
        <w:t>ferro, na multimodalidade e na redução das emissões de CO</w:t>
      </w:r>
      <w:r w:rsidRPr="00EE5472">
        <w:rPr>
          <w:vertAlign w:val="subscript"/>
        </w:rPr>
        <w:t>2</w:t>
      </w:r>
      <w:r w:rsidRPr="00EE5472">
        <w:t xml:space="preserve"> e de outros impactos ambientais, e a continuarem a aplicar a sua estratégia de desenvolvimento dos transportes e a reforçarem as capacidades administrativas para a implementação das redes transeuropeias de transportes; </w:t>
      </w:r>
    </w:p>
    <w:p w14:paraId="41239001" w14:textId="77777777" w:rsidR="0045065B" w:rsidRPr="00EE5472" w:rsidRDefault="0045065B" w:rsidP="0045065B">
      <w:pPr>
        <w:pStyle w:val="NormalHanging12a"/>
      </w:pPr>
      <w:proofErr w:type="gramStart"/>
      <w:r w:rsidRPr="00EE5472">
        <w:t>62.</w:t>
      </w:r>
      <w:r w:rsidRPr="00EE5472">
        <w:tab/>
        <w:t>Congratula</w:t>
      </w:r>
      <w:proofErr w:type="gramEnd"/>
      <w:r w:rsidRPr="00EE5472">
        <w:noBreakHyphen/>
        <w:t>se com a redução das tarifas de itinerância entre a UE e os países dos Balcãs Ocidentais e exorta as autoridades, os intervenientes privados e as partes interessadas a tomar todas as medidas necessárias para alcançar o objetivo de aproximar os preços da itinerância de dados dos preços nacionais até 2028; congratula</w:t>
      </w:r>
      <w:r w:rsidRPr="00EE5472">
        <w:noBreakHyphen/>
        <w:t>se com a entrada em vigor da primeira fase de aplicação do roteiro para a itinerância entre os Balcãs Ocidentais e a UE;</w:t>
      </w:r>
    </w:p>
    <w:p w14:paraId="0C5854C7" w14:textId="77777777" w:rsidR="0045065B" w:rsidRPr="00EE5472" w:rsidRDefault="0045065B" w:rsidP="0045065B">
      <w:pPr>
        <w:pStyle w:val="NormalHanging12a"/>
      </w:pPr>
      <w:proofErr w:type="gramStart"/>
      <w:r w:rsidRPr="00EE5472">
        <w:t>63.</w:t>
      </w:r>
      <w:r w:rsidRPr="00EE5472">
        <w:tab/>
        <w:t>Incentiva</w:t>
      </w:r>
      <w:proofErr w:type="gramEnd"/>
      <w:r w:rsidRPr="00EE5472">
        <w:t xml:space="preserve"> a adoção de estratégias setoriais para a gestão dos resíduos, a qualidade do ar e da água, a proteção da natureza e as alterações climáticas, assegurando o planeamento estratégico dos investimentos; regista a falta de progressos e o aumento dos custos associados à construção de estações de tratamento de águas residuais essenciais para prevenir a poluição das águas dos rios e do mar causada por esgotos em sete municípios;</w:t>
      </w:r>
    </w:p>
    <w:p w14:paraId="33B904AD" w14:textId="77777777" w:rsidR="0045065B" w:rsidRPr="00EE5472" w:rsidRDefault="0045065B" w:rsidP="0045065B">
      <w:pPr>
        <w:pStyle w:val="NormalCenter12a"/>
      </w:pPr>
      <w:r w:rsidRPr="00EE5472">
        <w:t>°</w:t>
      </w:r>
    </w:p>
    <w:p w14:paraId="5BF52508" w14:textId="77777777" w:rsidR="0045065B" w:rsidRPr="00EE5472" w:rsidRDefault="0045065B" w:rsidP="0045065B">
      <w:pPr>
        <w:pStyle w:val="NormalCenter12a"/>
      </w:pPr>
      <w:r w:rsidRPr="00EE5472">
        <w:t>°</w:t>
      </w:r>
      <w:r w:rsidRPr="00EE5472">
        <w:tab/>
        <w:t>°</w:t>
      </w:r>
    </w:p>
    <w:p w14:paraId="669A88FC" w14:textId="77777777" w:rsidR="0045065B" w:rsidRPr="00EE5472" w:rsidRDefault="0045065B" w:rsidP="0045065B">
      <w:pPr>
        <w:pStyle w:val="NormalHanging12a"/>
      </w:pPr>
    </w:p>
    <w:p w14:paraId="518606A9" w14:textId="77777777" w:rsidR="00520DEF" w:rsidRPr="00EE5472" w:rsidRDefault="0045065B" w:rsidP="00520DEF">
      <w:pPr>
        <w:pStyle w:val="NormalHanging12a"/>
      </w:pPr>
      <w:proofErr w:type="gramStart"/>
      <w:r w:rsidRPr="00EE5472">
        <w:t>64.</w:t>
      </w:r>
      <w:r w:rsidRPr="00EE5472">
        <w:tab/>
        <w:t>Encarrega</w:t>
      </w:r>
      <w:proofErr w:type="gramEnd"/>
      <w:r w:rsidRPr="00EE5472">
        <w:t xml:space="preserve"> a sua Presidente de transmitir a presente resolução ao Conselho, à Comissão, à </w:t>
      </w:r>
      <w:r w:rsidR="001F065B" w:rsidRPr="00EE5472">
        <w:t>V</w:t>
      </w:r>
      <w:r w:rsidRPr="00EE5472">
        <w:t>ice</w:t>
      </w:r>
      <w:r w:rsidRPr="00EE5472">
        <w:noBreakHyphen/>
      </w:r>
      <w:r w:rsidR="001F065B" w:rsidRPr="00EE5472">
        <w:t>P</w:t>
      </w:r>
      <w:r w:rsidRPr="00EE5472">
        <w:t>residente da Comissão/</w:t>
      </w:r>
      <w:r w:rsidR="001F065B" w:rsidRPr="00EE5472">
        <w:t>A</w:t>
      </w:r>
      <w:r w:rsidRPr="00EE5472">
        <w:t xml:space="preserve">lta </w:t>
      </w:r>
      <w:r w:rsidR="001F065B" w:rsidRPr="00EE5472">
        <w:t>R</w:t>
      </w:r>
      <w:r w:rsidRPr="00EE5472">
        <w:t>epresentante da União para os Negócios Estrangeiros e a Política de Segurança, à comissária do Alargamento, à comissária do Mediterrâneo, aos governos e parlamentos dos Estados</w:t>
      </w:r>
      <w:r w:rsidRPr="00EE5472">
        <w:noBreakHyphen/>
        <w:t>Membros e ao presidente, ao Governo e ao Parlamento do Montenegro, assim como de a traduzir e publicar em montenegrino.</w:t>
      </w:r>
    </w:p>
    <w:p w14:paraId="1DBA5671" w14:textId="77777777" w:rsidR="00E365E1" w:rsidRPr="00EE5472" w:rsidRDefault="00E365E1" w:rsidP="0053293D"/>
    <w:sectPr w:rsidR="00E365E1" w:rsidRPr="00EE5472" w:rsidSect="00520D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31F03" w14:textId="77777777" w:rsidR="0053293D" w:rsidRPr="00520DEF" w:rsidRDefault="0053293D">
      <w:r w:rsidRPr="00520DEF">
        <w:separator/>
      </w:r>
    </w:p>
  </w:endnote>
  <w:endnote w:type="continuationSeparator" w:id="0">
    <w:p w14:paraId="73105332" w14:textId="77777777" w:rsidR="0053293D" w:rsidRPr="00520DEF" w:rsidRDefault="0053293D">
      <w:r w:rsidRPr="00520D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E2CB0" w14:textId="77777777" w:rsidR="00064002" w:rsidRPr="00520D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232BB" w14:textId="77777777" w:rsidR="00064002" w:rsidRPr="00520D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BC0B" w14:textId="77777777" w:rsidR="00064002" w:rsidRPr="00520D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A4868" w14:textId="77777777" w:rsidR="0053293D" w:rsidRPr="00520DEF" w:rsidRDefault="0053293D">
      <w:r w:rsidRPr="00520DEF">
        <w:separator/>
      </w:r>
    </w:p>
  </w:footnote>
  <w:footnote w:type="continuationSeparator" w:id="0">
    <w:p w14:paraId="2A8F58E5" w14:textId="77777777" w:rsidR="0053293D" w:rsidRPr="00520DEF" w:rsidRDefault="0053293D">
      <w:r w:rsidRPr="00520DEF">
        <w:continuationSeparator/>
      </w:r>
    </w:p>
  </w:footnote>
  <w:footnote w:id="1">
    <w:p w14:paraId="791179F5" w14:textId="77777777" w:rsidR="0045065B" w:rsidRPr="00EE5472" w:rsidRDefault="0045065B" w:rsidP="00520DEF">
      <w:pPr>
        <w:pStyle w:val="FootnoteText"/>
        <w:ind w:left="567" w:hanging="567"/>
        <w:rPr>
          <w:sz w:val="24"/>
          <w:lang w:val="fi-FI"/>
        </w:rPr>
      </w:pPr>
      <w:r w:rsidRPr="00520DEF">
        <w:rPr>
          <w:rStyle w:val="FootnoteReference"/>
          <w:sz w:val="24"/>
          <w:lang w:val="pt-PT"/>
        </w:rPr>
        <w:footnoteRef/>
      </w:r>
      <w:r w:rsidR="00520DEF" w:rsidRPr="00EE5472">
        <w:rPr>
          <w:sz w:val="24"/>
          <w:lang w:val="fi-FI"/>
        </w:rPr>
        <w:t xml:space="preserve"> </w:t>
      </w:r>
      <w:r w:rsidR="00520DEF" w:rsidRPr="00EE5472">
        <w:rPr>
          <w:sz w:val="24"/>
          <w:lang w:val="fi-FI"/>
        </w:rPr>
        <w:tab/>
      </w:r>
      <w:r w:rsidRPr="00EE5472">
        <w:rPr>
          <w:sz w:val="24"/>
          <w:lang w:val="fi-FI"/>
        </w:rPr>
        <w:t xml:space="preserve">JO L 108 de 29.4.2010, p. 3, ELI: </w:t>
      </w:r>
      <w:hyperlink r:id="rId1" w:history="1">
        <w:r w:rsidRPr="00EE5472">
          <w:rPr>
            <w:rStyle w:val="Hyperlink"/>
            <w:sz w:val="24"/>
            <w:lang w:val="fi-FI"/>
          </w:rPr>
          <w:t>http://data.europa.eu/eli/agree_internation/2010/224/oj</w:t>
        </w:r>
      </w:hyperlink>
      <w:r w:rsidRPr="00EE5472">
        <w:rPr>
          <w:sz w:val="24"/>
          <w:lang w:val="fi-FI"/>
        </w:rPr>
        <w:t>.</w:t>
      </w:r>
    </w:p>
  </w:footnote>
  <w:footnote w:id="2">
    <w:p w14:paraId="2E80AE15" w14:textId="77777777" w:rsidR="0045065B" w:rsidRPr="00EE5472" w:rsidRDefault="0045065B" w:rsidP="00520DEF">
      <w:pPr>
        <w:pStyle w:val="FootnoteText"/>
        <w:ind w:left="567" w:hanging="567"/>
        <w:rPr>
          <w:sz w:val="24"/>
          <w:lang w:val="fi-FI"/>
        </w:rPr>
      </w:pPr>
      <w:r w:rsidRPr="00520DEF">
        <w:rPr>
          <w:rStyle w:val="FootnoteReference"/>
          <w:sz w:val="24"/>
          <w:lang w:val="pt-PT"/>
        </w:rPr>
        <w:footnoteRef/>
      </w:r>
      <w:r w:rsidR="00520DEF" w:rsidRPr="00EE5472">
        <w:rPr>
          <w:sz w:val="24"/>
          <w:lang w:val="fi-FI"/>
        </w:rPr>
        <w:t xml:space="preserve"> </w:t>
      </w:r>
      <w:r w:rsidR="00520DEF" w:rsidRPr="00EE5472">
        <w:rPr>
          <w:sz w:val="24"/>
          <w:lang w:val="fi-FI"/>
        </w:rPr>
        <w:tab/>
      </w:r>
      <w:r w:rsidRPr="00EE5472">
        <w:rPr>
          <w:sz w:val="24"/>
          <w:lang w:val="fi-FI"/>
        </w:rPr>
        <w:t xml:space="preserve">JO L 330 de 20.9.2021, p. 1, ELI: </w:t>
      </w:r>
      <w:hyperlink r:id="rId2" w:history="1">
        <w:r w:rsidRPr="00EE5472">
          <w:rPr>
            <w:rStyle w:val="Hyperlink"/>
            <w:sz w:val="24"/>
            <w:lang w:val="fi-FI"/>
          </w:rPr>
          <w:t>http://data.europa.eu/eli/reg/2021/1529/oj</w:t>
        </w:r>
      </w:hyperlink>
      <w:r w:rsidRPr="00EE5472">
        <w:rPr>
          <w:sz w:val="24"/>
          <w:lang w:val="fi-FI"/>
        </w:rPr>
        <w:t>.</w:t>
      </w:r>
    </w:p>
  </w:footnote>
  <w:footnote w:id="3">
    <w:p w14:paraId="19A31BB2" w14:textId="77777777" w:rsidR="0045065B" w:rsidRPr="00EE5472" w:rsidRDefault="0045065B" w:rsidP="00520DEF">
      <w:pPr>
        <w:pStyle w:val="FootnoteText"/>
        <w:ind w:left="567" w:hanging="567"/>
        <w:rPr>
          <w:sz w:val="24"/>
          <w:lang w:val="fi-FI"/>
        </w:rPr>
      </w:pPr>
      <w:r w:rsidRPr="00520DEF">
        <w:rPr>
          <w:rStyle w:val="FootnoteReference"/>
          <w:sz w:val="24"/>
          <w:lang w:val="pt-PT"/>
        </w:rPr>
        <w:footnoteRef/>
      </w:r>
      <w:r w:rsidR="00520DEF" w:rsidRPr="00EE5472">
        <w:rPr>
          <w:sz w:val="24"/>
          <w:lang w:val="fi-FI"/>
        </w:rPr>
        <w:t xml:space="preserve"> </w:t>
      </w:r>
      <w:r w:rsidR="00520DEF" w:rsidRPr="00EE5472">
        <w:rPr>
          <w:sz w:val="24"/>
          <w:lang w:val="fi-FI"/>
        </w:rPr>
        <w:tab/>
      </w:r>
      <w:r w:rsidRPr="00EE5472">
        <w:rPr>
          <w:sz w:val="24"/>
          <w:lang w:val="fi-FI"/>
        </w:rPr>
        <w:t xml:space="preserve">JO L, 2024/1449, 24.5.2024, ELI: </w:t>
      </w:r>
      <w:hyperlink r:id="rId3" w:history="1">
        <w:r w:rsidRPr="00EE5472">
          <w:rPr>
            <w:rStyle w:val="Hyperlink"/>
            <w:sz w:val="24"/>
            <w:lang w:val="fi-FI"/>
          </w:rPr>
          <w:t>http://data.europa.eu/eli/reg/2024/1449/oj</w:t>
        </w:r>
      </w:hyperlink>
      <w:r w:rsidRPr="00EE5472">
        <w:rPr>
          <w:sz w:val="24"/>
          <w:lang w:val="fi-FI"/>
        </w:rPr>
        <w:t>.</w:t>
      </w:r>
    </w:p>
  </w:footnote>
  <w:footnote w:id="4">
    <w:p w14:paraId="216A3AC2" w14:textId="77777777" w:rsidR="0045065B" w:rsidRPr="00EE5472" w:rsidRDefault="0045065B" w:rsidP="00520DEF">
      <w:pPr>
        <w:pStyle w:val="FootnoteText"/>
        <w:ind w:left="567" w:hanging="567"/>
        <w:rPr>
          <w:sz w:val="24"/>
          <w:lang w:val="fi-FI"/>
        </w:rPr>
      </w:pPr>
      <w:r w:rsidRPr="00520DEF">
        <w:rPr>
          <w:rStyle w:val="FootnoteReference"/>
          <w:sz w:val="24"/>
          <w:lang w:val="pt-PT"/>
        </w:rPr>
        <w:footnoteRef/>
      </w:r>
      <w:r w:rsidR="00520DEF" w:rsidRPr="00EE5472">
        <w:rPr>
          <w:sz w:val="24"/>
          <w:lang w:val="fi-FI"/>
        </w:rPr>
        <w:t xml:space="preserve"> </w:t>
      </w:r>
      <w:r w:rsidR="00520DEF" w:rsidRPr="00EE5472">
        <w:rPr>
          <w:sz w:val="24"/>
          <w:lang w:val="fi-FI"/>
        </w:rPr>
        <w:tab/>
      </w:r>
      <w:r w:rsidRPr="00EE5472">
        <w:rPr>
          <w:sz w:val="24"/>
          <w:lang w:val="fi-FI"/>
        </w:rPr>
        <w:t>JO C 167 de 11.5.2023, p. 105.</w:t>
      </w:r>
    </w:p>
  </w:footnote>
  <w:footnote w:id="5">
    <w:p w14:paraId="035CD5B5" w14:textId="77777777" w:rsidR="0045065B" w:rsidRPr="00EE5472" w:rsidRDefault="0045065B" w:rsidP="00520DEF">
      <w:pPr>
        <w:pStyle w:val="FootnoteText"/>
        <w:ind w:left="567" w:hanging="567"/>
        <w:rPr>
          <w:sz w:val="24"/>
          <w:lang w:val="fi-FI"/>
        </w:rPr>
      </w:pPr>
      <w:r w:rsidRPr="00520DEF">
        <w:rPr>
          <w:rStyle w:val="FootnoteReference"/>
          <w:sz w:val="24"/>
          <w:lang w:val="pt-PT"/>
        </w:rPr>
        <w:footnoteRef/>
      </w:r>
      <w:r w:rsidR="00520DEF" w:rsidRPr="00EE5472">
        <w:rPr>
          <w:sz w:val="24"/>
          <w:lang w:val="fi-FI"/>
        </w:rPr>
        <w:t xml:space="preserve"> </w:t>
      </w:r>
      <w:r w:rsidR="00520DEF" w:rsidRPr="00EE5472">
        <w:rPr>
          <w:sz w:val="24"/>
          <w:lang w:val="fi-FI"/>
        </w:rPr>
        <w:tab/>
      </w:r>
      <w:r w:rsidRPr="00EE5472">
        <w:rPr>
          <w:sz w:val="24"/>
          <w:lang w:val="fi-FI"/>
        </w:rPr>
        <w:t xml:space="preserve">JO C, C/2024/6746, 26.11.2024, ELI: </w:t>
      </w:r>
      <w:hyperlink r:id="rId4" w:history="1">
        <w:r w:rsidRPr="00EE5472">
          <w:rPr>
            <w:rStyle w:val="Hyperlink"/>
            <w:sz w:val="24"/>
            <w:lang w:val="fi-FI"/>
          </w:rPr>
          <w:t>http://data.europa.eu/eli/C/2024/6746/oj</w:t>
        </w:r>
      </w:hyperlink>
      <w:r w:rsidRPr="00EE5472">
        <w:rPr>
          <w:sz w:val="24"/>
          <w:lang w:val="fi-FI"/>
        </w:rPr>
        <w:t xml:space="preserve">. </w:t>
      </w:r>
    </w:p>
  </w:footnote>
  <w:footnote w:id="6">
    <w:p w14:paraId="1B7F4132" w14:textId="77777777" w:rsidR="0045065B" w:rsidRPr="00EE5472" w:rsidRDefault="0045065B" w:rsidP="00520DEF">
      <w:pPr>
        <w:pStyle w:val="FootnoteText"/>
        <w:ind w:left="567" w:hanging="567"/>
        <w:rPr>
          <w:sz w:val="24"/>
          <w:lang w:val="fi-FI"/>
        </w:rPr>
      </w:pPr>
      <w:r w:rsidRPr="00520DEF">
        <w:rPr>
          <w:rStyle w:val="FootnoteReference"/>
          <w:sz w:val="24"/>
          <w:lang w:val="pt-PT"/>
        </w:rPr>
        <w:footnoteRef/>
      </w:r>
      <w:r w:rsidR="00520DEF" w:rsidRPr="00EE5472">
        <w:rPr>
          <w:sz w:val="24"/>
          <w:lang w:val="fi-FI"/>
        </w:rPr>
        <w:t xml:space="preserve"> </w:t>
      </w:r>
      <w:r w:rsidR="00520DEF" w:rsidRPr="00EE5472">
        <w:rPr>
          <w:sz w:val="24"/>
          <w:lang w:val="fi-FI"/>
        </w:rPr>
        <w:tab/>
      </w:r>
      <w:hyperlink r:id="rId5" w:history="1">
        <w:r w:rsidRPr="00EE5472">
          <w:rPr>
            <w:rStyle w:val="Hyperlink"/>
            <w:sz w:val="24"/>
            <w:lang w:val="fi-FI"/>
          </w:rPr>
          <w:t>https://www.osce.org/odihr/elections/montenegro</w:t>
        </w:r>
      </w:hyperlink>
      <w:r w:rsidRPr="00EE5472">
        <w:rPr>
          <w:sz w:val="24"/>
          <w:lang w:val="fi-FI"/>
        </w:rPr>
        <w:t>.</w:t>
      </w:r>
      <w:r w:rsidRPr="00EE5472">
        <w:rPr>
          <w:color w:val="0000FF"/>
          <w:sz w:val="24"/>
          <w:u w:val="single" w:color="0000FF"/>
          <w:lang w:val="fi-F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CA71F" w14:textId="77777777" w:rsidR="00064002" w:rsidRPr="00520D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BDA05" w14:textId="77777777" w:rsidR="00064002" w:rsidRPr="00520D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7ED13" w14:textId="77777777" w:rsidR="00064002" w:rsidRPr="00520D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pt-PT" w:vendorID="64" w:dllVersion="131078" w:nlCheck="1" w:checkStyle="0"/>
  <w:activeWritingStyle w:appName="MSWord" w:lang="fi-FI" w:vendorID="64" w:dllVersion="131078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3/2025"/>
    <w:docVar w:name="dvlangue" w:val="PT"/>
    <w:docVar w:name="dvnumam" w:val="0"/>
    <w:docVar w:name="dvpe" w:val="769.896"/>
    <w:docVar w:name="dvrapporteur" w:val="Relator: "/>
    <w:docVar w:name="dvtitre" w:val="Resolução do Parlamento Europeu, de ... de ... de 2025,_x000d__x000a_ sobre os relatórios de 2023 e 2024 da Comissão relativos ao Montenegro(2025/2020(INI))"/>
  </w:docVars>
  <w:rsids>
    <w:rsidRoot w:val="0053293D"/>
    <w:rsid w:val="00002272"/>
    <w:rsid w:val="00064002"/>
    <w:rsid w:val="000677B9"/>
    <w:rsid w:val="000831BA"/>
    <w:rsid w:val="000A42CC"/>
    <w:rsid w:val="000E7DD9"/>
    <w:rsid w:val="0010095E"/>
    <w:rsid w:val="00125B37"/>
    <w:rsid w:val="001607A1"/>
    <w:rsid w:val="00187494"/>
    <w:rsid w:val="001F065B"/>
    <w:rsid w:val="001F32AE"/>
    <w:rsid w:val="002767FF"/>
    <w:rsid w:val="002B18FE"/>
    <w:rsid w:val="002B5493"/>
    <w:rsid w:val="003425E7"/>
    <w:rsid w:val="00343214"/>
    <w:rsid w:val="00361C00"/>
    <w:rsid w:val="00395FA1"/>
    <w:rsid w:val="003E15D4"/>
    <w:rsid w:val="00411CCE"/>
    <w:rsid w:val="0041666E"/>
    <w:rsid w:val="00421060"/>
    <w:rsid w:val="0045065B"/>
    <w:rsid w:val="00471C19"/>
    <w:rsid w:val="004867E3"/>
    <w:rsid w:val="00494A28"/>
    <w:rsid w:val="004C0004"/>
    <w:rsid w:val="004C5D52"/>
    <w:rsid w:val="0050519A"/>
    <w:rsid w:val="005072A1"/>
    <w:rsid w:val="00514517"/>
    <w:rsid w:val="00520DEF"/>
    <w:rsid w:val="0053293D"/>
    <w:rsid w:val="00545827"/>
    <w:rsid w:val="00560270"/>
    <w:rsid w:val="005B7E5F"/>
    <w:rsid w:val="005C2568"/>
    <w:rsid w:val="005E73E1"/>
    <w:rsid w:val="005F1B17"/>
    <w:rsid w:val="006037C0"/>
    <w:rsid w:val="006631B6"/>
    <w:rsid w:val="00667F8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5D2"/>
    <w:rsid w:val="00817416"/>
    <w:rsid w:val="00833DB7"/>
    <w:rsid w:val="00842779"/>
    <w:rsid w:val="00865F67"/>
    <w:rsid w:val="00881A7B"/>
    <w:rsid w:val="00881A89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6A9"/>
    <w:rsid w:val="00A4678D"/>
    <w:rsid w:val="00A778C7"/>
    <w:rsid w:val="00A938FD"/>
    <w:rsid w:val="00AA77DD"/>
    <w:rsid w:val="00AB441E"/>
    <w:rsid w:val="00AB6293"/>
    <w:rsid w:val="00AB7A5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73A"/>
    <w:rsid w:val="00ED4235"/>
    <w:rsid w:val="00EE5472"/>
    <w:rsid w:val="00EF2B5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52393B"/>
  <w15:chartTrackingRefBased/>
  <w15:docId w15:val="{F1C6D912-7163-466A-9939-C64B66E2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5065B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45065B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45065B"/>
    <w:pPr>
      <w:spacing w:after="240"/>
      <w:jc w:val="center"/>
    </w:pPr>
  </w:style>
  <w:style w:type="character" w:customStyle="1" w:styleId="BoldItalic">
    <w:name w:val="BoldItalic"/>
    <w:uiPriority w:val="1"/>
    <w:rsid w:val="0045065B"/>
    <w:rPr>
      <w:b/>
      <w:i/>
      <w:u w:val="none"/>
    </w:rPr>
  </w:style>
  <w:style w:type="character" w:customStyle="1" w:styleId="Italic">
    <w:name w:val="Italic"/>
    <w:uiPriority w:val="1"/>
    <w:rsid w:val="0045065B"/>
    <w:rPr>
      <w:i/>
    </w:rPr>
  </w:style>
  <w:style w:type="paragraph" w:customStyle="1" w:styleId="Normal12a24b">
    <w:name w:val="Normal12a24b"/>
    <w:basedOn w:val="Normal"/>
    <w:rsid w:val="0045065B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45065B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45065B"/>
    <w:rPr>
      <w:snapToGrid w:val="0"/>
      <w:sz w:val="24"/>
      <w:lang w:val="pt-PT" w:eastAsia="en-US"/>
    </w:rPr>
  </w:style>
  <w:style w:type="paragraph" w:styleId="BalloonText">
    <w:name w:val="Balloon Text"/>
    <w:basedOn w:val="Normal"/>
    <w:link w:val="BalloonTextChar"/>
    <w:rsid w:val="003425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25E7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3425E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EE54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547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547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E5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5472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0/224/oj" TargetMode="External"/><Relationship Id="rId5" Type="http://schemas.openxmlformats.org/officeDocument/2006/relationships/hyperlink" Target="https://www.osce.org/odihr/elections/montenegro" TargetMode="External"/><Relationship Id="rId4" Type="http://schemas.openxmlformats.org/officeDocument/2006/relationships/hyperlink" Target="http://data.europa.eu/eli/C/2024/67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573F0-F928-4210-8964-14956FE01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7320</Words>
  <Characters>39544</Characters>
  <Application>Microsoft Office Word</Application>
  <DocSecurity>0</DocSecurity>
  <Lines>329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SILVA Carla Marina</cp:lastModifiedBy>
  <cp:revision>2</cp:revision>
  <cp:lastPrinted>2004-11-19T15:42:00Z</cp:lastPrinted>
  <dcterms:created xsi:type="dcterms:W3CDTF">2025-07-21T12:58:00Z</dcterms:created>
  <dcterms:modified xsi:type="dcterms:W3CDTF">2025-07-21T12:58:00Z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A10-0093/2025</vt:lpwstr>
  </property>
  <property fmtid="{D5CDD505-2E9C-101B-9397-08002B2CF9AE}" pid="4" name="&lt;Type&gt;">
    <vt:lpwstr>RR</vt:lpwstr>
  </property>
</Properties>
</file>