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1324" w14:paraId="77FC83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FEC43A" w14:textId="77777777" w:rsidR="00751A4A" w:rsidRPr="00BE1324" w:rsidRDefault="00EE425D" w:rsidP="0010095E">
            <w:pPr>
              <w:pStyle w:val="EPName"/>
            </w:pPr>
            <w:r w:rsidRPr="00BE1324">
              <w:t>Európsky parlament</w:t>
            </w:r>
          </w:p>
          <w:p w14:paraId="52BA9686" w14:textId="77777777" w:rsidR="00751A4A" w:rsidRPr="00BE13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1324">
              <w:t>2024</w:t>
            </w:r>
            <w:r w:rsidR="00817416" w:rsidRPr="00BE1324">
              <w:t>-202</w:t>
            </w:r>
            <w:r w:rsidRPr="00BE1324">
              <w:t>9</w:t>
            </w:r>
          </w:p>
        </w:tc>
        <w:tc>
          <w:tcPr>
            <w:tcW w:w="2268" w:type="dxa"/>
            <w:shd w:val="clear" w:color="auto" w:fill="auto"/>
          </w:tcPr>
          <w:p w14:paraId="5B2D6806" w14:textId="77777777" w:rsidR="00751A4A" w:rsidRPr="00BE1324" w:rsidRDefault="00187494" w:rsidP="0010095E">
            <w:pPr>
              <w:pStyle w:val="EPLogo"/>
            </w:pPr>
            <w:r w:rsidRPr="00BE1324">
              <w:rPr>
                <w:noProof/>
                <w:lang w:val="en-GB"/>
              </w:rPr>
              <w:drawing>
                <wp:inline distT="0" distB="0" distL="0" distR="0" wp14:anchorId="4E7BB101" wp14:editId="7A4254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5720DC" w14:textId="77777777" w:rsidR="00D058B8" w:rsidRPr="00BE1324" w:rsidRDefault="00D058B8" w:rsidP="004C5D52">
      <w:pPr>
        <w:pStyle w:val="LineTop"/>
      </w:pPr>
    </w:p>
    <w:p w14:paraId="0294761C" w14:textId="77777777" w:rsidR="00680577" w:rsidRPr="00BE1324" w:rsidRDefault="00EE425D" w:rsidP="00680577">
      <w:pPr>
        <w:pStyle w:val="EPBodyTA1"/>
      </w:pPr>
      <w:r w:rsidRPr="00BE1324">
        <w:t>PRIJATÉ TEXTY</w:t>
      </w:r>
    </w:p>
    <w:p w14:paraId="1483D004" w14:textId="77777777" w:rsidR="00D058B8" w:rsidRPr="00BE1324" w:rsidRDefault="00D058B8" w:rsidP="00D058B8">
      <w:pPr>
        <w:pStyle w:val="LineBottom"/>
      </w:pPr>
    </w:p>
    <w:p w14:paraId="1FCFD3A4" w14:textId="77777777" w:rsidR="00EE425D" w:rsidRPr="00BE1324" w:rsidRDefault="00EE425D" w:rsidP="00EE425D">
      <w:pPr>
        <w:pStyle w:val="ATHeading1"/>
      </w:pPr>
      <w:bookmarkStart w:id="0" w:name="TANumber"/>
      <w:r w:rsidRPr="00BE1324">
        <w:t>P10_TA(2025)0</w:t>
      </w:r>
      <w:r w:rsidR="00CB317A">
        <w:t>130</w:t>
      </w:r>
      <w:bookmarkEnd w:id="0"/>
    </w:p>
    <w:p w14:paraId="02F70F2D" w14:textId="77777777" w:rsidR="00EE425D" w:rsidRPr="00BE1324" w:rsidRDefault="00EE425D" w:rsidP="00EE425D">
      <w:pPr>
        <w:pStyle w:val="ATHeading2"/>
      </w:pPr>
      <w:bookmarkStart w:id="1" w:name="title"/>
      <w:r w:rsidRPr="00BE1324">
        <w:t>Správy Komisie o Čiernej Hore za roky 2023 a 2024</w:t>
      </w:r>
      <w:bookmarkEnd w:id="1"/>
    </w:p>
    <w:p w14:paraId="5B0DE798" w14:textId="77777777" w:rsidR="00EE425D" w:rsidRPr="00BE1324" w:rsidRDefault="00EE425D" w:rsidP="00EE425D">
      <w:pPr>
        <w:rPr>
          <w:i/>
          <w:vanish/>
        </w:rPr>
      </w:pPr>
      <w:r w:rsidRPr="00BE1324">
        <w:rPr>
          <w:i/>
        </w:rPr>
        <w:fldChar w:fldCharType="begin"/>
      </w:r>
      <w:r w:rsidRPr="00BE1324">
        <w:rPr>
          <w:i/>
        </w:rPr>
        <w:instrText xml:space="preserve"> TC"(</w:instrText>
      </w:r>
      <w:bookmarkStart w:id="2" w:name="DocNumber"/>
      <w:r w:rsidRPr="00BE1324">
        <w:rPr>
          <w:i/>
        </w:rPr>
        <w:instrText>A10-0093/2025</w:instrText>
      </w:r>
      <w:bookmarkEnd w:id="2"/>
      <w:r w:rsidRPr="00BE1324">
        <w:rPr>
          <w:i/>
        </w:rPr>
        <w:instrText xml:space="preserve"> - Spravodajca: Marjan Šarec)"\l3 \n&gt; \* MERGEFORMAT </w:instrText>
      </w:r>
      <w:r w:rsidRPr="00BE1324">
        <w:rPr>
          <w:i/>
        </w:rPr>
        <w:fldChar w:fldCharType="end"/>
      </w:r>
    </w:p>
    <w:p w14:paraId="3F7A9F8B" w14:textId="77777777" w:rsidR="00EE425D" w:rsidRPr="00BE1324" w:rsidRDefault="00EE425D" w:rsidP="00EE425D">
      <w:pPr>
        <w:rPr>
          <w:vanish/>
        </w:rPr>
      </w:pPr>
      <w:bookmarkStart w:id="3" w:name="Commission"/>
      <w:r w:rsidRPr="00BE1324">
        <w:rPr>
          <w:vanish/>
        </w:rPr>
        <w:t>Výbor pre zahraničné veci</w:t>
      </w:r>
      <w:bookmarkEnd w:id="3"/>
    </w:p>
    <w:p w14:paraId="5E47627F" w14:textId="77777777" w:rsidR="00EE425D" w:rsidRPr="00BE1324" w:rsidRDefault="00EE425D" w:rsidP="00EE425D">
      <w:pPr>
        <w:rPr>
          <w:vanish/>
        </w:rPr>
      </w:pPr>
      <w:bookmarkStart w:id="4" w:name="PE"/>
      <w:r w:rsidRPr="00BE1324">
        <w:rPr>
          <w:vanish/>
        </w:rPr>
        <w:t>PE769.896</w:t>
      </w:r>
      <w:bookmarkEnd w:id="4"/>
    </w:p>
    <w:p w14:paraId="739A9B85" w14:textId="77777777" w:rsidR="00EE425D" w:rsidRPr="00BE1324" w:rsidRDefault="00EE425D" w:rsidP="00EE425D">
      <w:pPr>
        <w:pStyle w:val="ATHeading3"/>
      </w:pPr>
      <w:bookmarkStart w:id="5" w:name="Sujet"/>
      <w:r w:rsidRPr="00BE1324">
        <w:t>Uznesenie Európskeho parlamentu z</w:t>
      </w:r>
      <w:r w:rsidR="00E16AE2">
        <w:t> 18</w:t>
      </w:r>
      <w:r w:rsidRPr="00BE1324">
        <w:t>. júna 2025 o správach Komisie o Čiernej Hore za roky 2023 a 2024</w:t>
      </w:r>
      <w:bookmarkEnd w:id="5"/>
      <w:r w:rsidRPr="00BE1324">
        <w:t xml:space="preserve"> </w:t>
      </w:r>
      <w:bookmarkStart w:id="6" w:name="References"/>
      <w:r w:rsidRPr="00BE1324">
        <w:t>(2025/2020(INI))</w:t>
      </w:r>
      <w:bookmarkEnd w:id="6"/>
    </w:p>
    <w:p w14:paraId="0D4D210D" w14:textId="77777777" w:rsidR="00DB5B28" w:rsidRPr="00BE1324" w:rsidRDefault="00DB5B28" w:rsidP="00DB5B28">
      <w:pPr>
        <w:pStyle w:val="EPComma"/>
      </w:pPr>
      <w:r w:rsidRPr="00BE1324">
        <w:rPr>
          <w:rStyle w:val="Italic"/>
        </w:rPr>
        <w:t>Európsky parlament</w:t>
      </w:r>
      <w:r w:rsidRPr="00BE1324">
        <w:t>,</w:t>
      </w:r>
    </w:p>
    <w:p w14:paraId="62F99A35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Dohodu o stabilizácii a pridružení medzi Európskymi spoločenstvami a ich členskými štátmi na jednej strane a Čiernohorskou republikou na strane druhej</w:t>
      </w:r>
      <w:r w:rsidRPr="00BE1324">
        <w:rPr>
          <w:rStyle w:val="FootnoteReference"/>
        </w:rPr>
        <w:footnoteReference w:id="1"/>
      </w:r>
      <w:r w:rsidRPr="00BE1324">
        <w:t>, ktorá nadobudla platnosť 1. mája 2010,</w:t>
      </w:r>
    </w:p>
    <w:p w14:paraId="1C9DBCB9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žiadosť Čiernej Hory o členstvo v Európskej únii z 15. decembra 2008,</w:t>
      </w:r>
    </w:p>
    <w:p w14:paraId="6A5DB409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stanovisko Komisie z 9. novembra 2010 k žiadosti Čiernej Hory o členstvo v Európskej únii (</w:t>
      </w:r>
      <w:r w:rsidR="00E16AE2" w:rsidRPr="00714A5C">
        <w:t>COM(2010)0670</w:t>
      </w:r>
      <w:r w:rsidRPr="00BE1324">
        <w:t>), na rozhodnutie Európskej rady zo 16. – 17. decembra 2010 udeliť Čiernej Hore štatút kandidátskej krajiny a na rozhodnutie Európskej rady z 29. júna 2012 začať prístupové rokovania EÚ s Čiernou Horou,</w:t>
      </w:r>
    </w:p>
    <w:p w14:paraId="27D0AB44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nariadenie Európskeho parlamentu a Rady (EÚ) 2021/1529 z 15. septembra 2021, ktorým sa zriaďuje nástroj predvstupovej pomoci (IPA III)</w:t>
      </w:r>
      <w:r w:rsidRPr="00BE1324">
        <w:rPr>
          <w:rStyle w:val="FootnoteReference"/>
        </w:rPr>
        <w:footnoteReference w:id="2"/>
      </w:r>
      <w:r w:rsidRPr="00BE1324">
        <w:t>,</w:t>
      </w:r>
    </w:p>
    <w:p w14:paraId="0B471C0F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nariadenie Európskeho parlamentu a Rady (EÚ) 2024/1449 zo 14. mája 2024 o zriadení Nástroja na podporu reforiem a rastu pre západný Balkán</w:t>
      </w:r>
      <w:r w:rsidRPr="00BE1324">
        <w:rPr>
          <w:rStyle w:val="FootnoteReference"/>
        </w:rPr>
        <w:footnoteReference w:id="3"/>
      </w:r>
      <w:r w:rsidRPr="00BE1324">
        <w:t>,</w:t>
      </w:r>
    </w:p>
    <w:p w14:paraId="420C2272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závery predsedníctva zo zasadnutia Európskej rady v Solúne, ktoré sa konalo 19. – 20. júna 2003,</w:t>
      </w:r>
    </w:p>
    <w:p w14:paraId="669255B0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vyhlásenie zo Sofie zo samitu EÚ – západný Balkán zo 17. mája 2018 a agendu priorít zo Sofie, ktorá je jeho prílohou,</w:t>
      </w:r>
    </w:p>
    <w:p w14:paraId="16EE3ED2" w14:textId="77777777" w:rsidR="00DB5B28" w:rsidRPr="00BE1324" w:rsidRDefault="00DB5B28" w:rsidP="00DB5B28">
      <w:pPr>
        <w:pStyle w:val="NormalHanging12a"/>
      </w:pPr>
      <w:r w:rsidRPr="00BE1324">
        <w:lastRenderedPageBreak/>
        <w:t>–</w:t>
      </w:r>
      <w:r w:rsidRPr="00BE1324">
        <w:tab/>
        <w:t>so zreteľom na vyhlásenia zo samitov EÚ – západný Balkán z 13. decembra 2023 v Bruseli a z 18. decembra 2024 v Bruseli,</w:t>
      </w:r>
    </w:p>
    <w:p w14:paraId="4CECB7C2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berlínsky proces, ktorý sa začal 28. augusta 2014,</w:t>
      </w:r>
    </w:p>
    <w:p w14:paraId="30527388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oznámenie Komisie zo 6. októbra 2020 s názvom Hospodársky a investičný plán pre západný Balkán (</w:t>
      </w:r>
      <w:r w:rsidR="00E16AE2" w:rsidRPr="00714A5C">
        <w:t>COM(2020)0641</w:t>
      </w:r>
      <w:r w:rsidRPr="00BE1324">
        <w:t>),</w:t>
      </w:r>
    </w:p>
    <w:p w14:paraId="6626EB04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oznámenie Komisie z 8. novembra 2023 s názvom Oznámenie z roku 2023 o politike rozširovania EÚ (</w:t>
      </w:r>
      <w:r w:rsidR="00E16AE2" w:rsidRPr="00714A5C">
        <w:t>COM(2023)0690</w:t>
      </w:r>
      <w:r w:rsidRPr="00BE1324">
        <w:t>) a na sprievodný pracovný dokument útvarov Komisie s názvom Správa o Čiernej Hore za rok 2023 (</w:t>
      </w:r>
      <w:r w:rsidR="00E16AE2" w:rsidRPr="00714A5C">
        <w:t>SWD(2023)0694</w:t>
      </w:r>
      <w:r w:rsidRPr="00BE1324">
        <w:t>),</w:t>
      </w:r>
    </w:p>
    <w:p w14:paraId="7E12E4A5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oznámenie Komisie z 8. novembra 2023 s názvom Nový plán rastu pre západný Balkán (</w:t>
      </w:r>
      <w:r w:rsidR="00E16AE2" w:rsidRPr="00714A5C">
        <w:t>COM(2023)0691</w:t>
      </w:r>
      <w:r w:rsidRPr="00BE1324">
        <w:t>),</w:t>
      </w:r>
    </w:p>
    <w:p w14:paraId="35DA993C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oznámenie Komisie z 20. marca 2024 o reformách pred rozšírením a o preskúmaní politík (</w:t>
      </w:r>
      <w:r w:rsidR="00E16AE2" w:rsidRPr="00714A5C">
        <w:t>COM(2024)0146</w:t>
      </w:r>
      <w:r w:rsidRPr="00BE1324">
        <w:t>),</w:t>
      </w:r>
    </w:p>
    <w:p w14:paraId="1E35600D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oznámenie Komisie z 24. júla 2024 s názvom Správa o právnom štáte 2024 (</w:t>
      </w:r>
      <w:r w:rsidR="00E16AE2" w:rsidRPr="00714A5C">
        <w:t>COM(2024)0800</w:t>
      </w:r>
      <w:r w:rsidRPr="00BE1324">
        <w:t>) a na sprievodný pracovný dokument útvarov Komisie s názvom Správa o právnom štáte 2024 – Situácia v oblasti právneho štátu v Európskej únii. Kapitola o situácii v oblasti právneho štátu v Čiernej Hore (</w:t>
      </w:r>
      <w:r w:rsidR="00E16AE2" w:rsidRPr="00714A5C">
        <w:t>SWD(2024)0829</w:t>
      </w:r>
      <w:r w:rsidRPr="00BE1324">
        <w:t>),</w:t>
      </w:r>
    </w:p>
    <w:p w14:paraId="00B2909E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oznámenie Komisie z 30. októbra 2024 s názvom Oznámenie z roku 2024 o politike rozširovania EÚ (</w:t>
      </w:r>
      <w:r w:rsidR="00E16AE2" w:rsidRPr="00714A5C">
        <w:t>COM(2024)0690</w:t>
      </w:r>
      <w:r w:rsidRPr="00BE1324">
        <w:t>) a na sprievodný pracovný dokument útvarov Komisie s názvom Správa o Čiernej Hore za rok 2024 (</w:t>
      </w:r>
      <w:r w:rsidR="00E16AE2" w:rsidRPr="00714A5C">
        <w:t>SWD(2024)0694</w:t>
      </w:r>
      <w:r w:rsidRPr="00BE1324">
        <w:t>),</w:t>
      </w:r>
    </w:p>
    <w:p w14:paraId="5D62B239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prehľad a hodnotenia krajiny zamerané na program hospodárskych reforiem Čiernej Hory, ktoré Komisia uverejnila 31. mája 2023 a 13. júna 2024, a na spoločné závery z dialógu o hospodárskych a finančných otázkach medzi EÚ a partnermi zo západného Balkánu a Tureckom, ktoré Rada prijala 16. mája 2023, a na spoločné závery z dialógu o hospodárskych a finančných otázkach medzi EÚ a partnermi zo západného Balkánu a Tureckom, Gruzínskom, Moldavskou republikou a Ukrajinou, ktoré Rada prijala 14. mája 2024,</w:t>
      </w:r>
    </w:p>
    <w:p w14:paraId="2E5C10B9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medzivládne konferencie o pristúpení EÚ – Čierna Hora konané 22. júna 2021, 13. decembra 2021, 29. januára 2024, 26. júna 2024 a 16. decembra 2024,</w:t>
      </w:r>
    </w:p>
    <w:p w14:paraId="1CFA4A3F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jedenáste zasadnutie rady pre stabilizáciu a pridruženie EÚ – Čierna Hora konané 14. júla 2022,</w:t>
      </w:r>
    </w:p>
    <w:p w14:paraId="48FF1FD6" w14:textId="590DD7FA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vyhlásenie a odporúčania prijaté na 22. schôdzi Parlamentného výboru pre stabilizáciu a pridruženie EÚ – Čierna Hora konanej, ktorá sa konala 31. októbra a 1. novembra 2024,</w:t>
      </w:r>
    </w:p>
    <w:p w14:paraId="7E75437C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pristúpenie Čiernej Hory k NATO 5. júna 2017,</w:t>
      </w:r>
    </w:p>
    <w:p w14:paraId="73AAD7B7" w14:textId="48BFD173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 xml:space="preserve">so zreteľom na osobitnú správu Európskeho dvora audítorov </w:t>
      </w:r>
      <w:r w:rsidR="004B485C">
        <w:t xml:space="preserve">č. </w:t>
      </w:r>
      <w:r w:rsidRPr="00BE1324">
        <w:t>01/2022 z 10. januára 2022 s názvom Podpora EÚ pre právny štát na západnom Balkáne: napriek úsiliu zásadné problémy pretrvávajú,</w:t>
      </w:r>
    </w:p>
    <w:p w14:paraId="7C22886E" w14:textId="77777777" w:rsidR="00DB5B28" w:rsidRPr="00BE1324" w:rsidRDefault="00DB5B28" w:rsidP="00DB5B28">
      <w:pPr>
        <w:pStyle w:val="NormalHanging12a"/>
      </w:pPr>
      <w:r w:rsidRPr="00BE1324">
        <w:lastRenderedPageBreak/>
        <w:t>–</w:t>
      </w:r>
      <w:r w:rsidRPr="00BE1324">
        <w:tab/>
        <w:t>so zreteľom na Dohovor Rady Európy o predchádzaní násiliu na ženách a domácemu násiliu a o boji proti nemu (Istanbulský dohovor), ktorý Čierna Hora ratifikovala v roku 2013, a na odporúčania Komisie týkajúce sa rodovej rovnosti a boja proti rodovo motivovanému násiliu,</w:t>
      </w:r>
    </w:p>
    <w:p w14:paraId="53D8D507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správu o svetovom rebríčku slobody tlače, ktorú každoročne uverejňuje organizácia Reportéri bez hraníc,</w:t>
      </w:r>
    </w:p>
    <w:p w14:paraId="40714B21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údaje Úradu Vysokého komisára OSN pre utečencov (UNHCR) o situácii utečencov z Ukrajiny k aprílu 2025,</w:t>
      </w:r>
    </w:p>
    <w:p w14:paraId="555C05CE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svoje odporúčanie z 23. novembra 2022 Rade, Komisii a podpredsedovi Komisie/vysokému predstaviteľovi Únie pre zahraničné veci a bezpečnostnú politiku k novej stratégii Únie pre rozširovanie</w:t>
      </w:r>
      <w:r w:rsidRPr="00BE1324">
        <w:rPr>
          <w:rStyle w:val="FootnoteReference"/>
        </w:rPr>
        <w:footnoteReference w:id="4"/>
      </w:r>
      <w:r w:rsidRPr="00BE1324">
        <w:t>,</w:t>
      </w:r>
    </w:p>
    <w:p w14:paraId="4657A15A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svoje predchádzajúce uznesenia o Čiernej Hore,</w:t>
      </w:r>
    </w:p>
    <w:p w14:paraId="2AD5DAA7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svoje uznesenie z 29. februára 2024 o prehĺbení integrácie EÚ s ohľadom na budúce rozšírenie</w:t>
      </w:r>
      <w:r w:rsidRPr="00BE1324">
        <w:rPr>
          <w:vertAlign w:val="superscript"/>
        </w:rPr>
        <w:footnoteReference w:id="5"/>
      </w:r>
      <w:r w:rsidRPr="00BE1324">
        <w:t>,</w:t>
      </w:r>
    </w:p>
    <w:p w14:paraId="69321427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zo zreteľom na článok 55 rokovacieho poriadku,</w:t>
      </w:r>
    </w:p>
    <w:p w14:paraId="413C140E" w14:textId="77777777" w:rsidR="00DB5B28" w:rsidRPr="00BE1324" w:rsidRDefault="00DB5B28" w:rsidP="00DB5B28">
      <w:pPr>
        <w:pStyle w:val="NormalHanging12a"/>
      </w:pPr>
      <w:r w:rsidRPr="00BE1324">
        <w:t>–</w:t>
      </w:r>
      <w:r w:rsidRPr="00BE1324">
        <w:tab/>
        <w:t>so zreteľom na správu Výboru pre zahraničné veci (A10-0093/2025),</w:t>
      </w:r>
    </w:p>
    <w:p w14:paraId="38DA288A" w14:textId="77777777" w:rsidR="00DB5B28" w:rsidRPr="00BE1324" w:rsidRDefault="00DB5B28" w:rsidP="00DB5B28">
      <w:pPr>
        <w:pStyle w:val="NormalHanging12a"/>
      </w:pPr>
      <w:r w:rsidRPr="00BE1324">
        <w:t>A.</w:t>
      </w:r>
      <w:r w:rsidRPr="00BE1324">
        <w:tab/>
        <w:t>keďže rozširovanie je kľúčovým nástrojom zahraničnej politiky EÚ a strategickou geopolitickou investíciou do mieru, stability, bezpečnosti a prosperity;</w:t>
      </w:r>
    </w:p>
    <w:p w14:paraId="24520C9A" w14:textId="77777777" w:rsidR="00DB5B28" w:rsidRPr="00BE1324" w:rsidRDefault="00DB5B28" w:rsidP="00DB5B28">
      <w:pPr>
        <w:pStyle w:val="NormalHanging12a"/>
      </w:pPr>
      <w:r w:rsidRPr="00BE1324">
        <w:t>B.</w:t>
      </w:r>
      <w:r w:rsidRPr="00BE1324">
        <w:tab/>
        <w:t>keďže nová dynamika rozširovania, ktorú vyvolala meniaca sa geopolitická realita a žiadosti viacerých krajín Východného partnerstva o členstvo v EÚ, podnietili EÚ k urýchleniu úsilia o splnenie svojich dlho očakávaných záväzkov voči západnému Balkánu; keďže budúcnosť krajín západného Balkánu je v EÚ;</w:t>
      </w:r>
    </w:p>
    <w:p w14:paraId="7ABA3AF2" w14:textId="77777777" w:rsidR="00DB5B28" w:rsidRPr="00BE1324" w:rsidRDefault="00DB5B28" w:rsidP="00DB5B28">
      <w:pPr>
        <w:pStyle w:val="NormalHanging12a"/>
      </w:pPr>
      <w:r w:rsidRPr="00BE1324">
        <w:t>C.</w:t>
      </w:r>
      <w:r w:rsidRPr="00BE1324">
        <w:tab/>
        <w:t>keďže každá krajina sa posudzuje na základe vlastných zásluh pri plnení kodanských kritérií vrátane úplného dodržiavania demokracie, právneho štátu, dobrej správy vecí verejných, základných hodnôt EÚ a zosúladenia s zahraničnou a bezpečnostnou politikou EÚ; keďže vykonávanie potrebných reforiem v oblasti základných hodnôt určuje harmonogram a pokrok v prístupovom procese;</w:t>
      </w:r>
    </w:p>
    <w:p w14:paraId="55744F4C" w14:textId="77777777" w:rsidR="00DB5B28" w:rsidRPr="00BE1324" w:rsidRDefault="00DB5B28" w:rsidP="00DB5B28">
      <w:pPr>
        <w:pStyle w:val="NormalHanging12a"/>
      </w:pPr>
      <w:r w:rsidRPr="00BE1324">
        <w:t>D.</w:t>
      </w:r>
      <w:r w:rsidRPr="00BE1324">
        <w:tab/>
        <w:t xml:space="preserve">keďže Čierna Hora dosiahla najväčší pokrok v procese pristúpenia, keď otvorila všetkých 33 kapitol </w:t>
      </w:r>
      <w:proofErr w:type="spellStart"/>
      <w:r w:rsidRPr="00BE1324">
        <w:rPr>
          <w:i/>
          <w:iCs/>
        </w:rPr>
        <w:t>acquis</w:t>
      </w:r>
      <w:proofErr w:type="spellEnd"/>
      <w:r w:rsidRPr="00BE1324">
        <w:rPr>
          <w:i/>
          <w:iCs/>
        </w:rPr>
        <w:t xml:space="preserve"> EÚ</w:t>
      </w:r>
      <w:r w:rsidRPr="00BE1324">
        <w:t xml:space="preserve"> a šesť kapitol predbežne uzavrela, a má v tejto oblasti významnú podporu verejnosti;</w:t>
      </w:r>
    </w:p>
    <w:p w14:paraId="6A12FA56" w14:textId="77777777" w:rsidR="00DB5B28" w:rsidRPr="00BE1324" w:rsidRDefault="00DB5B28" w:rsidP="00DB5B28">
      <w:pPr>
        <w:pStyle w:val="NormalHanging12a"/>
      </w:pPr>
      <w:r w:rsidRPr="00BE1324">
        <w:t>E.</w:t>
      </w:r>
      <w:r w:rsidRPr="00BE1324">
        <w:tab/>
        <w:t xml:space="preserve">keďže EÚ je najväčším obchodným partnerom, investorom a poskytovateľom finančnej pomoci Čiernej Hore; </w:t>
      </w:r>
    </w:p>
    <w:p w14:paraId="751AAC60" w14:textId="77777777" w:rsidR="00DB5B28" w:rsidRPr="00BE1324" w:rsidRDefault="00DB5B28" w:rsidP="00DB5B28">
      <w:pPr>
        <w:pStyle w:val="NormalHanging12a"/>
      </w:pPr>
      <w:r w:rsidRPr="00BE1324">
        <w:t>F.</w:t>
      </w:r>
      <w:r w:rsidRPr="00BE1324">
        <w:tab/>
        <w:t xml:space="preserve">keďže Čierna Hora je vystavená škodlivému zahraničnému vplyvu, dezinformačným kampaniam a iným formám vplyvu vrátane zasahovania do volieb, stratégií hybridnej vojny a nepriaznivých investícií zo strany aktérov z krajín mimo EÚ, najmä Ruska a Číny, ktoré sa snažia ovplyvniť politickú, hospodársku a strategickú trajektóriu Čiernej </w:t>
      </w:r>
      <w:r w:rsidRPr="00BE1324">
        <w:lastRenderedPageBreak/>
        <w:t>Hory a ohrozujú demokratické procesy a integritu médií, čo ohrozuje vyhliadky krajiny na pristúpenie k EÚ;</w:t>
      </w:r>
    </w:p>
    <w:p w14:paraId="1B53D7BD" w14:textId="77777777" w:rsidR="00DB5B28" w:rsidRPr="00BE1324" w:rsidRDefault="00DB5B28" w:rsidP="00DB5B28">
      <w:pPr>
        <w:pStyle w:val="NormalHanging12a"/>
      </w:pPr>
      <w:r w:rsidRPr="00BE1324">
        <w:t>G.</w:t>
      </w:r>
      <w:r w:rsidRPr="00BE1324">
        <w:tab/>
        <w:t xml:space="preserve">keďže 8. júna 2024 sa v Belehrade konalo </w:t>
      </w:r>
      <w:proofErr w:type="spellStart"/>
      <w:r w:rsidRPr="00BE1324">
        <w:t>Celosrbské</w:t>
      </w:r>
      <w:proofErr w:type="spellEnd"/>
      <w:r w:rsidRPr="00BE1324">
        <w:t xml:space="preserve"> zhromaždenie za účasti vysokopostavených poslancov parlamentu pod heslom „Jeden národ, jedno zhromaždenie“;</w:t>
      </w:r>
    </w:p>
    <w:p w14:paraId="7A8820AF" w14:textId="77777777" w:rsidR="00DB5B28" w:rsidRPr="00BE1324" w:rsidRDefault="00DB5B28" w:rsidP="00DB5B28">
      <w:pPr>
        <w:pStyle w:val="Normal12a24b"/>
      </w:pPr>
      <w:r w:rsidRPr="00BE1324">
        <w:rPr>
          <w:rStyle w:val="BoldItalic"/>
        </w:rPr>
        <w:t>Záväzok v súvislosti s pristúpením k EÚ</w:t>
      </w:r>
    </w:p>
    <w:p w14:paraId="535ACE29" w14:textId="77777777" w:rsidR="00DB5B28" w:rsidRPr="00BE1324" w:rsidRDefault="00DB5B28" w:rsidP="00DB5B28">
      <w:pPr>
        <w:pStyle w:val="NormalHanging12a"/>
      </w:pPr>
      <w:r w:rsidRPr="00BE1324">
        <w:t>1.</w:t>
      </w:r>
      <w:r w:rsidRPr="00BE1324">
        <w:tab/>
        <w:t>uznáva pevný záväzok Čiernej Hory týkajúci sa pristúpenia k EÚ a opätovne potvrdzuje, že plne podporuje budúce členstvo krajiny v EÚ; víta vedúcu pozíciu Čiernej Hory v procese pristúpenia k EÚ, ako aj obrovskú podporu občanov Čiernej Hory a väčšiny politických aktérov pre vstup do EÚ v roku 2028;</w:t>
      </w:r>
    </w:p>
    <w:p w14:paraId="5DA3ED02" w14:textId="77777777" w:rsidR="00DB5B28" w:rsidRPr="00BE1324" w:rsidRDefault="00DB5B28" w:rsidP="00DB5B28">
      <w:pPr>
        <w:pStyle w:val="NormalHanging12a"/>
      </w:pPr>
      <w:r w:rsidRPr="00BE1324">
        <w:t>2.</w:t>
      </w:r>
      <w:r w:rsidRPr="00BE1324">
        <w:tab/>
        <w:t>víta pozitívny pokrok Čiernej Hory pri prijímaní reforiem a opatrení súvisiacich s EÚ, ktorý sa opiera o ambiciózny harmonogram, a vyzýva na spoločné úsilie politických aktérov, občianskej spoločnosti a občanov; vyjadruje Čiernej Hore uznanie za splnenie predbežných kritérií pre kapitoly 23 a 24, ktoré naďalej určujú celkové tempo rokovaní, a za to, že dostala pozitívnu hodnotiacu správu o predbežných kritériách; víta uzavretie ďalších troch rokovacích kapitol, čím sa celkový počet zvýšil na šesť;</w:t>
      </w:r>
    </w:p>
    <w:p w14:paraId="74C85810" w14:textId="77777777" w:rsidR="00DB5B28" w:rsidRPr="00BE1324" w:rsidRDefault="00DB5B28" w:rsidP="00DB5B28">
      <w:pPr>
        <w:pStyle w:val="NormalHanging12a"/>
      </w:pPr>
      <w:r w:rsidRPr="00BE1324">
        <w:t>3.</w:t>
      </w:r>
      <w:r w:rsidRPr="00BE1324">
        <w:tab/>
        <w:t>nabáda všetkých politických aktérov, aby sa naďalej zameriavali na integráciu do EÚ a potrebné reformy; zdôrazňuje potrebu politickej stability, záväzku a konštruktívnej angažovanosti pri dosahovaní konsenzu naprieč straníckymi líniami, aby sa rýchlo a účinnejšie pokročilo k uzavretiu ďalších kapitol v roku 2025, čím sa dosiahne ambiciózny harmonogram krajiny; zdôrazňuje, že prijaté reformy sa musia účinne a dôsledne vykonávať, aby sa zabezpečil skutočný pokrok a úplné zosúladenie s právnymi predpismi EÚ;  vyzýva na posilnenie fungovania štátnych inštitúcií a koordinácie medzi nimi s cieľom dosiahnuť politickú stabilitu a pokročiť v podstatnom napredovaní krajiny pri vykonávaní kľúčových reforiem súvisiacich s EÚ, najmä volebných reforiem a reforiem súdnictva v boji proti organizovanej trestnej činnosti a korupcii;</w:t>
      </w:r>
    </w:p>
    <w:p w14:paraId="44E7650F" w14:textId="77777777" w:rsidR="00DB5B28" w:rsidRPr="00BE1324" w:rsidRDefault="00DB5B28" w:rsidP="00DB5B28">
      <w:pPr>
        <w:pStyle w:val="NormalHanging12a"/>
      </w:pPr>
      <w:r w:rsidRPr="00BE1324">
        <w:t>4.</w:t>
      </w:r>
      <w:r w:rsidRPr="00BE1324">
        <w:tab/>
        <w:t>zdôrazňuje, že dôveryhodnosť EÚ, vrátane jej politiky rozširovania ako celku, by bola ohrozená, ak by hmatateľný pokrok dosiahnutý niektorými krajinami západného Balkánu neviedol k jasnému pokroku na ceste k pristúpeniu k EÚ;</w:t>
      </w:r>
    </w:p>
    <w:p w14:paraId="7C1CC50A" w14:textId="77777777" w:rsidR="00DB5B28" w:rsidRPr="00BE1324" w:rsidRDefault="00DB5B28" w:rsidP="00DB5B28">
      <w:pPr>
        <w:pStyle w:val="NormalHanging12a"/>
      </w:pPr>
      <w:r w:rsidRPr="00BE1324">
        <w:t>5.</w:t>
      </w:r>
      <w:r w:rsidRPr="00BE1324">
        <w:tab/>
        <w:t xml:space="preserve">víta, že Čierna Hora je trvalo úplne zosúladená so spoločnou zahraničnou a bezpečnostnou politikou EÚ (SZBP) vrátane reštriktívnych opatrení EÚ okrem iného tých, ktoré súvisia s útočnou vojnou Ruska proti Ukrajine a tých, ktoré sú zamerané proti kybernetickým útokom, ako aj jej podporu medzinárodného poriadku založeného na pravidlách na úrovni OSN; nabáda Čiernu Horu, aby posilnila presadzovanie reštriktívnych opatrení a zabránila ich obchádzaniu a aby zmrazila majetok osôb, na ktoré sa vzťahujú sankcie; vyzýva všetkých predstaviteľov vlády, aby rešpektovali a podporovali zosúlaďovanie SZBP a hodnoty EÚ a zdržali sa akýchkoľvek činností, ktoré by mohli ohroziť strategickú cestu Čiernej Hory k členstvu v EÚ a jej zvrchovanosť; v tejto súvislosti je veľmi znepokojený vyhláseniami vysokopostavených verejných činiteľov na podporu prezidenta Republiky srbskej </w:t>
      </w:r>
      <w:proofErr w:type="spellStart"/>
      <w:r w:rsidRPr="00BE1324">
        <w:t>Milorada</w:t>
      </w:r>
      <w:proofErr w:type="spellEnd"/>
      <w:r w:rsidRPr="00BE1324">
        <w:t xml:space="preserve"> </w:t>
      </w:r>
      <w:proofErr w:type="spellStart"/>
      <w:r w:rsidRPr="00BE1324">
        <w:t>Dodika</w:t>
      </w:r>
      <w:proofErr w:type="spellEnd"/>
      <w:r w:rsidRPr="00BE1324">
        <w:t xml:space="preserve">, ktorý podkopáva zvrchovanosť a územnú celistvosť Bosny a Hercegoviny; vyjadruje poľutovanie nad účasťou vysokopostavených poslancov parlamentu Čiernej Hory na </w:t>
      </w:r>
      <w:proofErr w:type="spellStart"/>
      <w:r w:rsidRPr="00BE1324">
        <w:t>Všesrbskom</w:t>
      </w:r>
      <w:proofErr w:type="spellEnd"/>
      <w:r w:rsidRPr="00BE1324">
        <w:t xml:space="preserve"> zhromaždení v Belehrade a nad ich podporou vyhlásenia prijatého pri tejto </w:t>
      </w:r>
      <w:r w:rsidRPr="00BE1324">
        <w:lastRenderedPageBreak/>
        <w:t>príležitosti, ktoré podkopáva zvrchovanosť Čiernej Hory, Bosny a Hercegoviny a Kosova;</w:t>
      </w:r>
    </w:p>
    <w:p w14:paraId="76C0139B" w14:textId="77777777" w:rsidR="00DB5B28" w:rsidRPr="00BE1324" w:rsidRDefault="00DB5B28" w:rsidP="00DB5B28">
      <w:pPr>
        <w:pStyle w:val="NormalHanging12a"/>
      </w:pPr>
      <w:r w:rsidRPr="00BE1324">
        <w:t>6.</w:t>
      </w:r>
      <w:r w:rsidRPr="00BE1324">
        <w:tab/>
        <w:t xml:space="preserve">zdôrazňuje strategický význam členstva Čiernej Hory v NATO a víta jej aktívnu účasť na misiách a operáciách v rámci spoločnej bezpečnostnej a obrannej politiky EÚ, ako je operácia námorných síl EÚ </w:t>
      </w:r>
      <w:proofErr w:type="spellStart"/>
      <w:r w:rsidRPr="00BE1324">
        <w:t>Atalanta</w:t>
      </w:r>
      <w:proofErr w:type="spellEnd"/>
      <w:r w:rsidRPr="00BE1324">
        <w:t>, a na misiách NATO a iných medzinárodných a multilaterálnych misiách; víta rozhodnutie Rady pre obranu a bezpečnosť Čiernej Hory schváliť účasť ozbrojených síl na vojenskej pomocnej misii EÚ na podporu Ukrajiny a na bezpečnostnej pomoci a výcviku NATO pre Ukrajinu a vyzýva čiernohorský parlament, aby prijal tieto rozhodnutia, čím sa posilní záväzok krajiny ku kolektívnej bezpečnosti;</w:t>
      </w:r>
    </w:p>
    <w:p w14:paraId="41BD0EA1" w14:textId="77777777" w:rsidR="00DB5B28" w:rsidRPr="00BE1324" w:rsidRDefault="00DB5B28" w:rsidP="00DB5B28">
      <w:pPr>
        <w:pStyle w:val="NormalHanging12a"/>
      </w:pPr>
      <w:r w:rsidRPr="00BE1324">
        <w:t>7.</w:t>
      </w:r>
      <w:r w:rsidRPr="00BE1324">
        <w:tab/>
        <w:t>vyjadruje uznanie Čiernej Hore za humanitárnu a materiálnu podporu Ukrajine a za predĺženie mechanizmu dočasnej ochrany, ktorý poskytuje osobám utekajúcim z Ukrajiny právo zdržiavať sa v Čiernej Hore jeden rok; pripomína, že Čierna Hora patrí medzi krajiny západného Balkánu, ktoré prijali najväčší počet ukrajinských utečencov, pričom podľa štatistík UNHCR bolo k 31. januáru 2025 v Čiernej Hore zaregistrovaných viac ako 18 800 utečencov z Ukrajiny;</w:t>
      </w:r>
    </w:p>
    <w:p w14:paraId="0CE710EE" w14:textId="77777777" w:rsidR="00DB5B28" w:rsidRPr="00BE1324" w:rsidRDefault="00DB5B28" w:rsidP="00DB5B28">
      <w:pPr>
        <w:pStyle w:val="NormalHanging12a"/>
      </w:pPr>
      <w:r w:rsidRPr="00BE1324">
        <w:t>8.</w:t>
      </w:r>
      <w:r w:rsidRPr="00BE1324">
        <w:tab/>
        <w:t>je naďalej vážne znepokojený škodlivým zasahovaním zo zahraničia, úsilím o destabilizáciu, kybernetickými útokmi, hybridnými hrozbami a dezinformačnými kampaňami vrátane pokusov o ovplyvňovanie politických procesov a verejnej mienky zo strany aktérov z tretích krajín, ktoré diskreditujú EÚ a oslabujú pokrok Čiernej Hory na ceste k pristúpeniu; naliehavo vyzýva Čiernu Horu, aby prijala protiopatrenia v intenzívnejšej spolupráci s EÚ a NATO a prostredníctvom posilnenej regionálnej spolupráce medzi krajinami západného Balkánu; konštatuje, že náboženské inštitúcie sa môžu využívať ako nástroj vonkajšieho vplyvu, a v tejto súvislosti odsudzuje akékoľvek neprimerané zasahovanie srbskej pravoslávnej cirkvi; opätovne zdôrazňuje význam budovania odolnosti voči manipulácii s informáciami a zasahovaniu zo zahraničia, a to aj prostredníctvom väčšieho dohľadu nad mediálnym prostredím, kampaní na zvyšovanie povedomia verejnosti a programov mediálnej gramotnosti; odporúča Čiernej Hore, aby zriadila osobitnú pracovnú skupinu pre hybridné hrozby;</w:t>
      </w:r>
    </w:p>
    <w:p w14:paraId="17813728" w14:textId="77777777" w:rsidR="00DB5B28" w:rsidRPr="00BE1324" w:rsidRDefault="00DB5B28" w:rsidP="00DB5B28">
      <w:pPr>
        <w:pStyle w:val="NormalHanging12a"/>
      </w:pPr>
      <w:r w:rsidRPr="00BE1324">
        <w:t>9.</w:t>
      </w:r>
      <w:r w:rsidRPr="00BE1324">
        <w:tab/>
        <w:t xml:space="preserve">naliehavo vyzýva Komisiu, Európsku službu pre vonkajšiu činnosť (ESVČ), delegáciu EÚ v Čiernej Hore a čiernohorské orgány, aby posilnili strategickú komunikáciu s čiernohorskými občanmi o výhodách procesu rozširovania a členstva v EÚ, ako aj o konkrétnych kritériách pristúpenia, ktoré Čierna Hora ešte musí splniť, aby dosiahla súlad s požiadavkami EÚ; okrem toho ich naliehavo vyzýva, aby zlepšili viditeľnosť EÚ v krajine, a to aj pokiaľ ide o projekty financované EÚ; vyzýva na rozšírenie monitorovania pracovnej skupiny </w:t>
      </w:r>
      <w:proofErr w:type="spellStart"/>
      <w:r w:rsidRPr="00BE1324">
        <w:t>StratCom</w:t>
      </w:r>
      <w:proofErr w:type="spellEnd"/>
      <w:r w:rsidRPr="00BE1324">
        <w:t xml:space="preserve"> s cieľom zamerať sa na cezhraničné dezinformačné hrozby v krajinách západného Balkánu a ich susedných krajinách; vyzýva Komisiu, aby naďalej podporovala úsilie ESVČ a pracovnej skupiny pre západný Balkán o rozšírenie osvetových činností zvýšením viditeľnosti v miestnych médiách, zverejňovaním častých správ o overovaní faktov a nadväzovaním partnerstiev s organizáciami občianskej spoločnosti s cieľom účinnejšie bojovať proti nepravdivým </w:t>
      </w:r>
      <w:proofErr w:type="spellStart"/>
      <w:r w:rsidRPr="00BE1324">
        <w:t>naratívom</w:t>
      </w:r>
      <w:proofErr w:type="spellEnd"/>
      <w:r w:rsidRPr="00BE1324">
        <w:t>;</w:t>
      </w:r>
    </w:p>
    <w:p w14:paraId="532DB1F4" w14:textId="77777777" w:rsidR="00DB5B28" w:rsidRPr="00BE1324" w:rsidRDefault="00DB5B28" w:rsidP="00DB5B28">
      <w:pPr>
        <w:pStyle w:val="NormalHanging12a"/>
      </w:pPr>
      <w:r w:rsidRPr="00BE1324">
        <w:t>10.</w:t>
      </w:r>
      <w:r w:rsidRPr="00BE1324">
        <w:tab/>
        <w:t>víta obnovenú angažovanosť čiernohorského parlamentu v Parlamentnom výbore pre stabilizáciu a pridruženie;</w:t>
      </w:r>
    </w:p>
    <w:p w14:paraId="1B10AEDE" w14:textId="77777777" w:rsidR="00DB5B28" w:rsidRPr="00BE1324" w:rsidRDefault="00DB5B28" w:rsidP="00DB5B28">
      <w:pPr>
        <w:pStyle w:val="Normal12a24b"/>
      </w:pPr>
      <w:r w:rsidRPr="00BE1324">
        <w:rPr>
          <w:rStyle w:val="BoldItalic"/>
        </w:rPr>
        <w:t>Demokracia a právny štát</w:t>
      </w:r>
    </w:p>
    <w:p w14:paraId="6A112A3A" w14:textId="77777777" w:rsidR="00DB5B28" w:rsidRPr="00BE1324" w:rsidRDefault="00DB5B28" w:rsidP="00DB5B28">
      <w:pPr>
        <w:pStyle w:val="NormalHanging12a"/>
      </w:pPr>
      <w:r w:rsidRPr="00BE1324">
        <w:lastRenderedPageBreak/>
        <w:t>11.</w:t>
      </w:r>
      <w:r w:rsidRPr="00BE1324">
        <w:tab/>
        <w:t xml:space="preserve">uznáva kľúčovú úlohu čiernohorského parlamentu v prístupovom procese, najmä pokiaľ ide o prijímanie právnych predpisov súvisiacich s pristúpením, a v tejto súvislosti zdôrazňuje význam parlamentnej spolupráce; opakuje, že Európsky parlament je pripravený využiť svoje politické a technické zdroje na dosiahnutie pokroku v reformnom programe súvisiacom s EÚ, a to aj prostredníctvom činností na podporu demokracie; so znepokojením berie na vedomie opätovné napätie a etnickú polarizáciu, ktoré spomaľujú reformný proces; vyzýva na konštruktívny dialóg a budovanie konsenzu v celom politickom spektre, pričom uprednostňuje kvalitu legislatívy, a dôrazne žiada, aby sa riešenia hľadali v rámci parlamentného dialógu; vyzýva, aby sa zabránilo tomu, aby politika identity odvádzala pozornosť od programu EÚ alebo vytvárala napätie vo vzťahoch so susednými krajinami, a aby sa zabezpečilo, že Čierna Hora zostane pevne na ceste k EÚ; víta dohodu medzi čiernohorským predsedom vlády a vedúcimi predstaviteľmi opozície, že požiadajú Benátsku komisiu o stanovisko k ukončeniu mandátu sudkyne ústavného súdu </w:t>
      </w:r>
      <w:proofErr w:type="spellStart"/>
      <w:r w:rsidRPr="00BE1324">
        <w:t>Dragany</w:t>
      </w:r>
      <w:proofErr w:type="spellEnd"/>
      <w:r w:rsidRPr="00BE1324">
        <w:t xml:space="preserve"> </w:t>
      </w:r>
      <w:proofErr w:type="spellStart"/>
      <w:r w:rsidRPr="00BE1324">
        <w:t>Djuranovicovej</w:t>
      </w:r>
      <w:proofErr w:type="spellEnd"/>
      <w:r w:rsidRPr="00BE1324">
        <w:t xml:space="preserve"> a že opozícia sa vráti do parlamentu;</w:t>
      </w:r>
    </w:p>
    <w:p w14:paraId="2F8DDA06" w14:textId="77777777" w:rsidR="00DB5B28" w:rsidRPr="00BE1324" w:rsidRDefault="00DB5B28" w:rsidP="00DB5B28">
      <w:pPr>
        <w:pStyle w:val="NormalHanging12a"/>
      </w:pPr>
      <w:r w:rsidRPr="00BE1324">
        <w:t>12.</w:t>
      </w:r>
      <w:r w:rsidRPr="00BE1324">
        <w:tab/>
        <w:t>vyjadruje znepokojenie nad pokusmi o zmenu zákona o čiernohorskom občianstve v čiernohorskom parlamente, čo by mohlo mať vážne a dlhodobé dôsledky na rozhodovacie procesy a identitu krajiny, pričom zdôrazňuje, že akékoľvek diskusie o politike identity sa musia viesť s maximálnou citlivosťou, aby sa zabránilo ďalšej polarizácii, a mali by smerovať k dosiahnutiu širokého spoločenského konsenzu; vyzýva čiernohorské orgány, aby konzultovali a koordinovali s EÚ akékoľvek možné zmeny zákona o občianstve, a zdôrazňuje, že je dôležité dosiahnuť konsenzus vo všetkých otázkach týkajúcich sa tejto témy, ktorá má zásadný význam pre identitu a nezávislosť Čiernej Hory;</w:t>
      </w:r>
    </w:p>
    <w:p w14:paraId="6FF1E1AF" w14:textId="77777777" w:rsidR="00DB5B28" w:rsidRPr="00BE1324" w:rsidRDefault="00DB5B28" w:rsidP="00DB5B28">
      <w:pPr>
        <w:pStyle w:val="NormalHanging12a"/>
      </w:pPr>
      <w:r w:rsidRPr="00BE1324">
        <w:t>13.</w:t>
      </w:r>
      <w:r w:rsidRPr="00BE1324">
        <w:tab/>
        <w:t>dôrazne nabáda čiernohorský parlament na inkluzívne a transparentné verejné konzultácie a pravidelné a zmysluplné zapojenie občianskej spoločnosti do rozhodovania od počiatočného štádia legislatívneho procesu, najmä pokiaľ ide o kľúčové právne predpisy v reformnom procese EÚ; vyzýva čiernohorský parlamentný klub žien, aby zohrával aktívnejšiu úlohu;</w:t>
      </w:r>
    </w:p>
    <w:p w14:paraId="2D6BD7AF" w14:textId="77777777" w:rsidR="00DB5B28" w:rsidRPr="00BE1324" w:rsidRDefault="00DB5B28" w:rsidP="00DB5B28">
      <w:pPr>
        <w:pStyle w:val="NormalHanging12a"/>
      </w:pPr>
      <w:r w:rsidRPr="00BE1324">
        <w:t>14.</w:t>
      </w:r>
      <w:r w:rsidRPr="00BE1324">
        <w:tab/>
        <w:t>vyzýva Čiernu Horu, aby plne zosúladila svoj volebný právny rámec s normami EÚ, najmä pokiaľ ide o harmonizáciu volebných právnych predpisov, obmedzenia práva voliť a byť volený, transparentnosť, mechanizmy riešenia sporov, dohľad nad volebnou kampaňou a médiami a financovanie politických strán a volebných kampaní, a aby vykonala odporúčania Úradu pre demokratické inštitúcie a ľudské práva Organizácie pre bezpečnosť a spoluprácu v Európe</w:t>
      </w:r>
      <w:r w:rsidRPr="00BE1324">
        <w:rPr>
          <w:rStyle w:val="FootnoteReference"/>
        </w:rPr>
        <w:footnoteReference w:id="6"/>
      </w:r>
      <w:r w:rsidRPr="00BE1324">
        <w:t>; naliehavo vyzýva Čiernu Horu, aby zvýšila transparentnosť a kontrolu výdavkov politických strán a zabránila zneužívaniu štátnych zdrojov zosúladením príslušných právnych predpisov s normami EÚ, ako aj posilnením presadzovania pravidiel financovania tretími stranami a sprísnením sankcií za porušovanie týchto pravidiel; v tejto súvislosti zdôrazňuje úlohu Agentúry na predchádzanie korupcii (APC) a vyzýva na intenzívnejšiu spoluprácu medzi APC a orgánmi finančného spravodajstva s cieľom odhaľovať zahraničný vplyv v politických kampaniach a predchádzať mu; ďalej vyzýva Čiernu Horu, aby vykonala odporúčania Výboru OSN pre odstránenie diskriminácie žien (CEDAW) týkajúce sa rodovej rovnosti na volebných zoznamoch;</w:t>
      </w:r>
    </w:p>
    <w:p w14:paraId="1D3E17A3" w14:textId="77777777" w:rsidR="00DB5B28" w:rsidRPr="00BE1324" w:rsidRDefault="00DB5B28" w:rsidP="00DB5B28">
      <w:pPr>
        <w:pStyle w:val="NormalHanging12a"/>
      </w:pPr>
      <w:r w:rsidRPr="00BE1324">
        <w:lastRenderedPageBreak/>
        <w:t>15.</w:t>
      </w:r>
      <w:r w:rsidRPr="00BE1324">
        <w:tab/>
        <w:t xml:space="preserve">opätovne vyzýva čiernohorské orgány, aby v súlade so zákonom o miestnej samospráve zaviedli jednotný celonárodný deň komunálnych volieb s cieľom zvýšiť efektívnosť riadenia, znížiť politické napätie a posilniť stabilitu a účinnosť obecných a štátnych inštitúcií; pripomína, že budúce vyplácanie finančných prostriedkov v rámci Nástroja na podporu reforiem a rastu je podmienené uskutočnením tejto reformy v súlade so záväzkami Čiernej Hory v jej programe reforiem a malo by sa realizovať prioritne; víta skutočnosť, že v roku 2022 sa voľby v 14 obciach konali v ten istý deň; v tejto súvislosti požaduje spoľahlivý legislatívny rámec; je znepokojený nesprávnym priebehom volebného procesu v obci </w:t>
      </w:r>
      <w:proofErr w:type="spellStart"/>
      <w:r w:rsidRPr="00BE1324">
        <w:t>Šavnik</w:t>
      </w:r>
      <w:proofErr w:type="spellEnd"/>
      <w:r w:rsidRPr="00BE1324">
        <w:t>;</w:t>
      </w:r>
    </w:p>
    <w:p w14:paraId="721D917E" w14:textId="77777777" w:rsidR="00DB5B28" w:rsidRPr="00BE1324" w:rsidRDefault="00DB5B28" w:rsidP="00DB5B28">
      <w:pPr>
        <w:pStyle w:val="NormalHanging12a"/>
      </w:pPr>
      <w:r w:rsidRPr="00BE1324">
        <w:t>16.</w:t>
      </w:r>
      <w:r w:rsidRPr="00BE1324">
        <w:tab/>
        <w:t>vyzýva čiernohorské orgány, aby prijali zákon o vláde, ktorý by mal umožniť lepší rámec riadenia a optimalizáciu verejnej správy;</w:t>
      </w:r>
    </w:p>
    <w:p w14:paraId="73638156" w14:textId="77777777" w:rsidR="00DB5B28" w:rsidRPr="00BE1324" w:rsidRDefault="00DB5B28" w:rsidP="00DB5B28">
      <w:pPr>
        <w:pStyle w:val="NormalHanging12a"/>
      </w:pPr>
      <w:r w:rsidRPr="00BE1324">
        <w:t>17.</w:t>
      </w:r>
      <w:r w:rsidRPr="00BE1324">
        <w:tab/>
        <w:t>zdôrazňuje význam profesionálnej, na zásluhách založenej, transparentnej a odpolitizovanej verejnej správy; vyzýva Čiernu Horu, aby zmenila a vykonávala príslušné právne predpisy s cieľom poskytnúť rámec pre profesionalizáciu, optimalizáciu a racionalizáciu štátnej správy vrátane procesných záruk proti politicky motivovaným rozhodnutiam o vymenovaní a prepúšťaní, ako aj vysoké normy pre riadiace pozície; vyjadruje poľutovanie nad tým, že nedošlo k významnému pokroku pri prijímaní a účinnom vykonávaní takýchto právnych predpisov, a zdôrazňuje, že tento stav umožňuje, aby prijímanie zamestnancov do verejnej služby naďalej podliehalo politickému vplyvu;</w:t>
      </w:r>
    </w:p>
    <w:p w14:paraId="4B65B61B" w14:textId="77777777" w:rsidR="00DB5B28" w:rsidRPr="00BE1324" w:rsidRDefault="00DB5B28" w:rsidP="00DB5B28">
      <w:pPr>
        <w:pStyle w:val="NormalHanging12a"/>
      </w:pPr>
      <w:r w:rsidRPr="00BE1324">
        <w:t>18.</w:t>
      </w:r>
      <w:r w:rsidRPr="00BE1324">
        <w:tab/>
        <w:t>víta skutočnosť, že Čierna Hora bola zahrnutá do správy Komisie o právnom štáte 2024; so znepokojením berie na vedomie zistené nedostatky, a to aj pokiaľ ide o vymenúvanie sudcov a nezávislosť prokuratúry;</w:t>
      </w:r>
    </w:p>
    <w:p w14:paraId="1807F903" w14:textId="77777777" w:rsidR="00DB5B28" w:rsidRPr="00BE1324" w:rsidRDefault="00DB5B28" w:rsidP="00DB5B28">
      <w:pPr>
        <w:pStyle w:val="NormalHanging12a"/>
      </w:pPr>
      <w:r w:rsidRPr="00BE1324">
        <w:t>19.</w:t>
      </w:r>
      <w:r w:rsidRPr="00BE1324">
        <w:tab/>
        <w:t>víta pokrok dosiahnutý pri vykonávaní kľúčových reforiem súdnictva, pri prijatí nového strategického rámca a pri dokončení dlhodobo nevyriešených menovaní sudcov; vyzýva Čiernu Horu, aby obsadila zostávajúce vysoké sudcovské pozície;</w:t>
      </w:r>
    </w:p>
    <w:p w14:paraId="04E89B58" w14:textId="77777777" w:rsidR="00DB5B28" w:rsidRPr="00BE1324" w:rsidRDefault="00DB5B28" w:rsidP="00DB5B28">
      <w:pPr>
        <w:pStyle w:val="NormalHanging12a"/>
      </w:pPr>
      <w:r w:rsidRPr="00BE1324">
        <w:t>20.</w:t>
      </w:r>
      <w:r w:rsidRPr="00BE1324">
        <w:tab/>
        <w:t>naliehavo vyzýva Čiernu Horu, aby ďalej zosúlaďovala svoj právny rámec vrátane ústavy, najmä pokiaľ ide o zloženie a rozhodovací proces Súdnej rady, s právnymi predpismi a normami EÚ v oblasti nezávislosti, zodpovednosti, nestrannosti, integrity a profesionality súdnictva vrátane ďalšieho odpolitizovania vymenovaní na posilnenie nezávislosti, vykonávala zostávajúce medzinárodné odporúčania a stanovila kritériá odchodu sudcov a prokurátorov do dôchodku v súlade s európskymi normami a v plnom súlade s ústavou; vyjadruje poľutovanie nad nedoriešenými prípadmi a vyzýva Čiernu Horu, aby prijala opatrenia na skrátenie trvania súdnych konaní, najmä v prípadoch závažnej a organizovanej trestnej činnosti, najmä v oblasti prania špinavých peňazí; odporúča Čiernej Hore, aby prijala zmeny ústavy v záverečnej fáze rokovaní o pristúpení krajiny k EÚ;</w:t>
      </w:r>
    </w:p>
    <w:p w14:paraId="6A9C3BBC" w14:textId="77777777" w:rsidR="00DB5B28" w:rsidRPr="00BE1324" w:rsidRDefault="00DB5B28" w:rsidP="00DB5B28">
      <w:pPr>
        <w:pStyle w:val="NormalHanging12a"/>
      </w:pPr>
      <w:r w:rsidRPr="00BE1324">
        <w:t>21.</w:t>
      </w:r>
      <w:r w:rsidRPr="00BE1324">
        <w:tab/>
        <w:t>berie na vedomie kroky prijaté v boji proti korupcii vrátane nových zákonov a ustanovení o ochrane oznamovateľov, vytvorenia novej Národnej rady pre boj proti korupcii a novej protikorupčnej stratégie na roky 2024 – 2028; nabáda Čiernu Horu, aby sa ďalej zosúlaďovala svoje predpisy s </w:t>
      </w:r>
      <w:proofErr w:type="spellStart"/>
      <w:r w:rsidRPr="00BE1324">
        <w:rPr>
          <w:rStyle w:val="Italic"/>
        </w:rPr>
        <w:t>acquis</w:t>
      </w:r>
      <w:proofErr w:type="spellEnd"/>
      <w:r w:rsidRPr="00BE1324">
        <w:t xml:space="preserve"> EÚ a normami EÚ a zaoberala sa odporúčaniami Komisie, Benátskej komisie a Skupiny štátov proti korupcii (GRECO); nabáda čiernohorské orgány, aby pokračovali v náprave existujúcich nedostatkov pri riešení prípadov organizovanej trestnej činnosti a pri zaisťovaní a konfiškácii majetku pochádzajúceho z trestnej činnosti;</w:t>
      </w:r>
    </w:p>
    <w:p w14:paraId="06AC810E" w14:textId="77777777" w:rsidR="00DB5B28" w:rsidRPr="00BE1324" w:rsidRDefault="00DB5B28" w:rsidP="00DB5B28">
      <w:pPr>
        <w:pStyle w:val="NormalHanging12a"/>
      </w:pPr>
      <w:r w:rsidRPr="00BE1324">
        <w:lastRenderedPageBreak/>
        <w:t>22.</w:t>
      </w:r>
      <w:r w:rsidRPr="00BE1324">
        <w:tab/>
        <w:t>naliehavo žiada Čiernu Horu, aby zintenzívnila reakciu trestného súdnictva na korupciu na vysokej úrovni, a to aj prostredníctvom posilnenia účinného vynucovania existujúcich trestnoprávnych predpisov a ukladania účinných a odradzujúcich sankcií, a aby vytvorila podmienky na to, aby súdne inštitúcie a nezávislé orgány zaoberajúce sa korupciou účinne fungovali bez politického vplyvu;</w:t>
      </w:r>
    </w:p>
    <w:p w14:paraId="22DF9CD3" w14:textId="77777777" w:rsidR="00DB5B28" w:rsidRPr="00BE1324" w:rsidRDefault="00DB5B28" w:rsidP="00DB5B28">
      <w:pPr>
        <w:pStyle w:val="NormalHanging12a"/>
      </w:pPr>
      <w:r w:rsidRPr="00BE1324">
        <w:t>23.</w:t>
      </w:r>
      <w:r w:rsidRPr="00BE1324">
        <w:tab/>
        <w:t>berie na vedomie prácu Agentúry na predchádzanie korupcii a žiada, aby jej boli poskytnuté dostatočné finančné prostriedky a aby bola odpolitizovaná; očakáva, že agentúra dosiahne hmatateľné výsledky a bude konať neselektívne s cieľom posilniť svoju integritu a autoritu pri účinnom vykonávaní svojich právomocí; požaduje silnejší rámec na predchádzanie korupcii;</w:t>
      </w:r>
    </w:p>
    <w:p w14:paraId="779020F7" w14:textId="77777777" w:rsidR="00DB5B28" w:rsidRPr="00BE1324" w:rsidRDefault="00DB5B28" w:rsidP="00DB5B28">
      <w:pPr>
        <w:pStyle w:val="NormalHanging12a"/>
      </w:pPr>
      <w:r w:rsidRPr="00BE1324">
        <w:t>24.</w:t>
      </w:r>
      <w:r w:rsidRPr="00BE1324">
        <w:tab/>
        <w:t>naliehavo vyzýva Čiernu Horu, aby zosúladila svoje právne predpisy v oblasti zbraní s právom EÚ a medzinárodnými normami, najmä pokiaľ ide o technické normy pre označovanie strelných zbraní, postupy deaktivácie a predpisy týkajúce sa poplašných a signálnych zbraní, a aby zaviedla štandardizovaný a účinný systém zberu a nahlasovania údajov o strelných zbraniach; je zhrozený tragickou masovou streľbou v </w:t>
      </w:r>
      <w:proofErr w:type="spellStart"/>
      <w:r w:rsidRPr="00BE1324">
        <w:t>Cetinje</w:t>
      </w:r>
      <w:proofErr w:type="spellEnd"/>
      <w:r w:rsidRPr="00BE1324">
        <w:t xml:space="preserve"> a vyjadruje sústrasť rodinám obetí; vyjadruje znepokojenie nad zneužívaním tejto tragédie na šírenie dezinformácií a etnickú polarizáciu; naliehavo žiada Čiernu Horu, aby posilnila krízovú komunikáciu s cieľom bojovať proti dezinformáciám a zabezpečiť zodpovedné mediálne spravodajstvo po násilných incidentoch; požaduje systematické opatrenia v oblasti bezpečnosti, duševného zdravia a inštitucionálnej transparentnosti, ako aj v oblasti občianskej výchovy a informovanosti verejnosti, osvetových a vzdelávacích iniciatív zameraných na nebezpečenstvá a riziká strelných zbraní, v súlade s očakávaniami občanov a spoločenskými potrebami;</w:t>
      </w:r>
    </w:p>
    <w:p w14:paraId="6F4DAD85" w14:textId="77777777" w:rsidR="00DB5B28" w:rsidRPr="00BE1324" w:rsidRDefault="00DB5B28" w:rsidP="00DB5B28">
      <w:pPr>
        <w:pStyle w:val="NormalHanging12a"/>
      </w:pPr>
      <w:r w:rsidRPr="00BE1324">
        <w:t>25.</w:t>
      </w:r>
      <w:r w:rsidRPr="00BE1324">
        <w:tab/>
        <w:t>vyzýva Čiernu Horu, aby urýchlene a plne zosúladila svoju vízovú politiku s vízovou politikou EÚ, najmä pokiaľ ide o krajiny, ktoré predstavujú pre EÚ riziko v oblasti nelegálneho prisťahovalectva alebo bezpečnosti; vyjadruje znepokojenie nad tým, že v rozpore s očakávaniami boli do bezvízového režimu pridané dve ďalšie krajiny a že držitelia ruských a bieloruských pasov naďalej využívajú bezvízový režim; konštatuje, že harmonizácia vízovej politiky je stanovená aj v programe reforiem Čiernej Hory v rámci Nástroja na podporu reforiem a rastu;</w:t>
      </w:r>
    </w:p>
    <w:p w14:paraId="1206C905" w14:textId="77777777" w:rsidR="00DB5B28" w:rsidRPr="00BE1324" w:rsidRDefault="00DB5B28" w:rsidP="00DB5B28">
      <w:pPr>
        <w:pStyle w:val="NormalHanging12a"/>
      </w:pPr>
      <w:r w:rsidRPr="00BE1324">
        <w:t>26.</w:t>
      </w:r>
      <w:r w:rsidRPr="00BE1324">
        <w:tab/>
        <w:t>víta prebiehajúcu spoluprácu medzi Čiernou Horou a Európskou agentúrou pre pohraničnú a pobrežnú stráž (</w:t>
      </w:r>
      <w:proofErr w:type="spellStart"/>
      <w:r w:rsidRPr="00BE1324">
        <w:t>Frontex</w:t>
      </w:r>
      <w:proofErr w:type="spellEnd"/>
      <w:r w:rsidRPr="00BE1324">
        <w:t xml:space="preserve">), </w:t>
      </w:r>
      <w:proofErr w:type="spellStart"/>
      <w:r w:rsidRPr="00BE1324">
        <w:t>Europolom</w:t>
      </w:r>
      <w:proofErr w:type="spellEnd"/>
      <w:r w:rsidRPr="00BE1324">
        <w:t xml:space="preserve">, </w:t>
      </w:r>
      <w:proofErr w:type="spellStart"/>
      <w:r w:rsidRPr="00BE1324">
        <w:t>Eurojustom</w:t>
      </w:r>
      <w:proofErr w:type="spellEnd"/>
      <w:r w:rsidRPr="00BE1324">
        <w:t xml:space="preserve"> a Agentúrou Európskej únie pre odbornú prípravu v oblasti presadzovania práva (CEPOL) a poukazuje na význam tejto spolupráce v boji proti cezhraničnej trestnej činnosti vrátane obchodovania so zbraňami, drogami a ľuďmi, ako aj v boji proti terorizmu a extrémizmu; víta nadobudnutie platnosti aktualizovanej dohody o operačnej spolupráci pri riadení hraníc s agentúrou </w:t>
      </w:r>
      <w:proofErr w:type="spellStart"/>
      <w:r w:rsidRPr="00BE1324">
        <w:t>Frontex</w:t>
      </w:r>
      <w:proofErr w:type="spellEnd"/>
      <w:r w:rsidRPr="00BE1324">
        <w:t xml:space="preserve"> 1. júla 2023 a nabáda na ďalšiu spoluprácu medzi Čiernou Horou a agentúrou </w:t>
      </w:r>
      <w:proofErr w:type="spellStart"/>
      <w:r w:rsidRPr="00BE1324">
        <w:t>Frontex</w:t>
      </w:r>
      <w:proofErr w:type="spellEnd"/>
      <w:r w:rsidRPr="00BE1324">
        <w:t xml:space="preserve"> s cieľom posilniť riadenie hraníc, podporiť azylové konania, bojovať proti </w:t>
      </w:r>
      <w:proofErr w:type="spellStart"/>
      <w:r w:rsidRPr="00BE1324">
        <w:t>prevádzačstvu</w:t>
      </w:r>
      <w:proofErr w:type="spellEnd"/>
      <w:r w:rsidRPr="00BE1324">
        <w:t xml:space="preserve"> a posilniť readmisiu;</w:t>
      </w:r>
    </w:p>
    <w:p w14:paraId="295A887A" w14:textId="77777777" w:rsidR="00DB5B28" w:rsidRPr="00BE1324" w:rsidRDefault="00DB5B28" w:rsidP="00DB5B28">
      <w:pPr>
        <w:pStyle w:val="Normal12a24b"/>
      </w:pPr>
      <w:r w:rsidRPr="00BE1324">
        <w:rPr>
          <w:rStyle w:val="BoldItalic"/>
        </w:rPr>
        <w:t>Základné slobody a ľudské práva</w:t>
      </w:r>
    </w:p>
    <w:p w14:paraId="11328AFD" w14:textId="77777777" w:rsidR="00DB5B28" w:rsidRPr="00BE1324" w:rsidRDefault="00DB5B28" w:rsidP="00DB5B28">
      <w:pPr>
        <w:pStyle w:val="NormalHanging12a"/>
      </w:pPr>
      <w:r w:rsidRPr="00BE1324">
        <w:t>27.</w:t>
      </w:r>
      <w:r w:rsidRPr="00BE1324">
        <w:tab/>
        <w:t xml:space="preserve">vyjadruje poľutovanie nad tým, že najzraniteľnejšie skupiny v spoločnosti sú naďalej vystavené diskriminácii; vyzýva Čiernu Horu, aby prijala nový antidiskriminačný zákon a príslušné stratégie prostredníctvom inkluzívneho, transparentného a zmysluplného procesu, ktorý bude aktívne zahŕňať tých najviac dotknutých, s cieľom zlepšiť prístup zraniteľných skupín k právam; zdôrazňuje, že dodržiavanie práv všetkých </w:t>
      </w:r>
      <w:r w:rsidRPr="00BE1324">
        <w:lastRenderedPageBreak/>
        <w:t xml:space="preserve">národnostných menšín je neoddeliteľnou súčasťou </w:t>
      </w:r>
      <w:proofErr w:type="spellStart"/>
      <w:r w:rsidRPr="00BE1324">
        <w:rPr>
          <w:rStyle w:val="Italic"/>
        </w:rPr>
        <w:t>acquis</w:t>
      </w:r>
      <w:proofErr w:type="spellEnd"/>
      <w:r w:rsidRPr="00BE1324">
        <w:t xml:space="preserve"> EÚ; vyzýva na dôslednejšie vykonávanie s cieľom zabezpečiť rovnaké zaobchádzanie so všetkými etnickými, náboženskými, národnými a sociálnymi skupinami, aby im boli zaručené rovnaké práva a príležitosti a aby sa mohli plne zúčastňovať na spoločenskom, politickom a hospodárskom živote;</w:t>
      </w:r>
    </w:p>
    <w:p w14:paraId="5B0AB724" w14:textId="77777777" w:rsidR="00DB5B28" w:rsidRPr="00BE1324" w:rsidRDefault="00DB5B28" w:rsidP="00DB5B28">
      <w:pPr>
        <w:pStyle w:val="NormalHanging12a"/>
      </w:pPr>
      <w:r w:rsidRPr="00BE1324">
        <w:t>28.</w:t>
      </w:r>
      <w:r w:rsidRPr="00BE1324">
        <w:tab/>
        <w:t>víta multietnickú identitu Čiernej Hory a vyzýva na väčšiu podporu a rešpektovanie všetkých jazykov, kultúrneho dedičstva a tradícií miestnych komunít a národnostných menšín, keďže to úzko súvisí s európskou perspektívou Čiernej Hory;</w:t>
      </w:r>
    </w:p>
    <w:p w14:paraId="4520D8DD" w14:textId="77777777" w:rsidR="00DB5B28" w:rsidRPr="00BE1324" w:rsidRDefault="00DB5B28" w:rsidP="00DB5B28">
      <w:pPr>
        <w:pStyle w:val="NormalHanging12a"/>
      </w:pPr>
      <w:r w:rsidRPr="00BE1324">
        <w:t>29.</w:t>
      </w:r>
      <w:r w:rsidRPr="00BE1324">
        <w:tab/>
        <w:t xml:space="preserve">zdôrazňuje multietnickú identitu </w:t>
      </w:r>
      <w:proofErr w:type="spellStart"/>
      <w:r w:rsidRPr="00BE1324">
        <w:t>Kotorskej</w:t>
      </w:r>
      <w:proofErr w:type="spellEnd"/>
      <w:r w:rsidRPr="00BE1324">
        <w:t xml:space="preserve"> boky; zdôrazňuje, že európska perspektíva Čiernej Hory je úzko prepojená s ochranou menšín a ich kultúrneho dedičstva; vyzýva čiernohorské orgány, aby rozvíjali multietnickú povahu štátu vrátane tradícií a kultúrneho dedičstva chorvátskej komunity v </w:t>
      </w:r>
      <w:proofErr w:type="spellStart"/>
      <w:r w:rsidRPr="00BE1324">
        <w:t>Kotorskej</w:t>
      </w:r>
      <w:proofErr w:type="spellEnd"/>
      <w:r w:rsidRPr="00BE1324">
        <w:t xml:space="preserve"> boke;</w:t>
      </w:r>
    </w:p>
    <w:p w14:paraId="182C68A2" w14:textId="77777777" w:rsidR="00DB5B28" w:rsidRPr="00BE1324" w:rsidRDefault="00DB5B28" w:rsidP="00DB5B28">
      <w:pPr>
        <w:pStyle w:val="NormalHanging12a"/>
      </w:pPr>
      <w:r w:rsidRPr="00BE1324">
        <w:t>30.</w:t>
      </w:r>
      <w:r w:rsidRPr="00BE1324">
        <w:tab/>
        <w:t xml:space="preserve">vyjadruje vážne znepokojenie nad ohrozenými lokalitami kultúrneho dedičstva v Čiernej Hore, ako sú </w:t>
      </w:r>
      <w:proofErr w:type="spellStart"/>
      <w:r w:rsidRPr="00BE1324">
        <w:t>Kotorská</w:t>
      </w:r>
      <w:proofErr w:type="spellEnd"/>
      <w:r w:rsidRPr="00BE1324">
        <w:t xml:space="preserve"> boka a </w:t>
      </w:r>
      <w:proofErr w:type="spellStart"/>
      <w:r w:rsidRPr="00BE1324">
        <w:t>Sveti</w:t>
      </w:r>
      <w:proofErr w:type="spellEnd"/>
      <w:r w:rsidRPr="00BE1324">
        <w:t xml:space="preserve"> </w:t>
      </w:r>
      <w:proofErr w:type="spellStart"/>
      <w:r w:rsidRPr="00BE1324">
        <w:t>Stefan</w:t>
      </w:r>
      <w:proofErr w:type="spellEnd"/>
      <w:r w:rsidRPr="00BE1324">
        <w:t xml:space="preserve">; zdôrazňuje, že </w:t>
      </w:r>
      <w:proofErr w:type="spellStart"/>
      <w:r w:rsidRPr="00BE1324">
        <w:t>Sveti</w:t>
      </w:r>
      <w:proofErr w:type="spellEnd"/>
      <w:r w:rsidRPr="00BE1324">
        <w:t xml:space="preserve"> </w:t>
      </w:r>
      <w:proofErr w:type="spellStart"/>
      <w:r w:rsidRPr="00BE1324">
        <w:t>Stefan</w:t>
      </w:r>
      <w:proofErr w:type="spellEnd"/>
      <w:r w:rsidRPr="00BE1324">
        <w:t xml:space="preserve"> spolu s parkom </w:t>
      </w:r>
      <w:proofErr w:type="spellStart"/>
      <w:r w:rsidRPr="00BE1324">
        <w:t>Miločer</w:t>
      </w:r>
      <w:proofErr w:type="spellEnd"/>
      <w:r w:rsidRPr="00BE1324">
        <w:t xml:space="preserve"> bol zaradený medzi „7 najviac ohrozených lokalít kultúrneho dedičstva v Európe“ na rok 2023;</w:t>
      </w:r>
    </w:p>
    <w:p w14:paraId="7AB6DA3A" w14:textId="77777777" w:rsidR="00DB5B28" w:rsidRPr="00BE1324" w:rsidRDefault="00DB5B28" w:rsidP="00DB5B28">
      <w:pPr>
        <w:pStyle w:val="NormalHanging12a"/>
      </w:pPr>
      <w:r w:rsidRPr="00BE1324">
        <w:t>31.</w:t>
      </w:r>
      <w:r w:rsidRPr="00BE1324">
        <w:tab/>
        <w:t xml:space="preserve">vyzýva čiernohorské orgány, aby sa zaoberali zložitými životnými podmienkami Rómov v Čiernej Hore a diskrimináciu, ktorej čelia, a vyzýva na prijatie ďalších opatrení na podporu </w:t>
      </w:r>
      <w:proofErr w:type="spellStart"/>
      <w:r w:rsidRPr="00BE1324">
        <w:t>medzikultúrneho</w:t>
      </w:r>
      <w:proofErr w:type="spellEnd"/>
      <w:r w:rsidRPr="00BE1324">
        <w:t xml:space="preserve"> porozumenia v školách; vyzýva čiernohorské orgány, aby prijali aj opatrenia na zlepšenie prostredia pre začlenenie osôb LGBTI do spoločnosti;</w:t>
      </w:r>
    </w:p>
    <w:p w14:paraId="53DED8EE" w14:textId="77777777" w:rsidR="00DB5B28" w:rsidRPr="00BE1324" w:rsidRDefault="00DB5B28" w:rsidP="00DB5B28">
      <w:pPr>
        <w:pStyle w:val="NormalHanging12a"/>
      </w:pPr>
      <w:r w:rsidRPr="00BE1324">
        <w:t>32.</w:t>
      </w:r>
      <w:r w:rsidRPr="00BE1324">
        <w:tab/>
        <w:t xml:space="preserve">víta, že Čierna Hora zosúladila svoj legislatívny a inštitucionálny rámec s </w:t>
      </w:r>
      <w:proofErr w:type="spellStart"/>
      <w:r w:rsidRPr="00BE1324">
        <w:rPr>
          <w:i/>
          <w:iCs/>
        </w:rPr>
        <w:t>acquis</w:t>
      </w:r>
      <w:proofErr w:type="spellEnd"/>
      <w:r w:rsidRPr="00BE1324">
        <w:t xml:space="preserve"> EÚ a medzinárodnými normami v oblasti ľudských práv, pokiaľ ide o dodržiavanie Dohovoru OSN o právach dieťaťa a jeho opčných protokolov; naliehavo vyzýva príslušné orgány, aby odstránili nedostatky vo vykonávaní, najmä pokiaľ ide o zodpovednosť a monitorovanie;</w:t>
      </w:r>
    </w:p>
    <w:p w14:paraId="27351806" w14:textId="77777777" w:rsidR="00DB5B28" w:rsidRPr="00BE1324" w:rsidRDefault="00DB5B28" w:rsidP="00DB5B28">
      <w:pPr>
        <w:pStyle w:val="NormalHanging12a"/>
      </w:pPr>
      <w:r w:rsidRPr="00BE1324">
        <w:t>33.</w:t>
      </w:r>
      <w:r w:rsidRPr="00BE1324">
        <w:tab/>
        <w:t>vyzýva na účinné vykonávanie stratégií na dodržiavanie práv osôb so zdravotným postihnutím vo všetkých odvetviach a politikách;</w:t>
      </w:r>
    </w:p>
    <w:p w14:paraId="3AE777CB" w14:textId="77777777" w:rsidR="00DB5B28" w:rsidRPr="00BE1324" w:rsidRDefault="00DB5B28" w:rsidP="00DB5B28">
      <w:pPr>
        <w:pStyle w:val="NormalHanging12a"/>
      </w:pPr>
      <w:r w:rsidRPr="00BE1324">
        <w:t>34.</w:t>
      </w:r>
      <w:r w:rsidRPr="00BE1324">
        <w:tab/>
        <w:t xml:space="preserve">odsudzuje všetky nenávistné prejavy vrátane nenávistných prejavov na internete a rodovo motivovaných nenávistných prejavov a trestné činy z nenávisti; víta </w:t>
      </w:r>
      <w:proofErr w:type="spellStart"/>
      <w:r w:rsidRPr="00BE1324">
        <w:t>kriminalizáciu</w:t>
      </w:r>
      <w:proofErr w:type="spellEnd"/>
      <w:r w:rsidRPr="00BE1324">
        <w:t xml:space="preserve"> rasizmu a nenávistných prejavov;</w:t>
      </w:r>
    </w:p>
    <w:p w14:paraId="5CEB89E0" w14:textId="77777777" w:rsidR="00DB5B28" w:rsidRPr="00BE1324" w:rsidRDefault="00DB5B28" w:rsidP="00DB5B28">
      <w:pPr>
        <w:pStyle w:val="NormalHanging12a"/>
      </w:pPr>
      <w:r w:rsidRPr="00BE1324">
        <w:t>35.</w:t>
      </w:r>
      <w:r w:rsidRPr="00BE1324">
        <w:tab/>
        <w:t xml:space="preserve">zdôrazňuje potrebu posilniť inštitucionálne mechanizmy na zabezpečenie rodovej rovnosti a vyzýva čiernohorské orgány, aby riešili rozdiely v odmeňovaní žien a mužov, zlepšili účasť žien na rozhodovacom procese, a to vo verejnej sfére, najmä vo verejnej správe, v oblasti súdnictva a bezpečnosti, ako aj v podnikaní, aby zabezpečili väčšiu účasť žien na politickom živote, zaviedli rodovo </w:t>
      </w:r>
      <w:proofErr w:type="spellStart"/>
      <w:r w:rsidRPr="00BE1324">
        <w:t>responzívne</w:t>
      </w:r>
      <w:proofErr w:type="spellEnd"/>
      <w:r w:rsidRPr="00BE1324">
        <w:t xml:space="preserve"> rozpočtovanie a bojovali proti rodovým stereotypom a posilnili úsilie v boji proti diskriminácii žien, najmä vo vidieckych oblastiach; víta nedávne úsilie zamerané na posilnenie zastúpenia žien v oblasti vedy, techniky, inžinierstva a matematiky (STEM) a podporuje ďalšie úsilie v technologických odvetviach;</w:t>
      </w:r>
    </w:p>
    <w:p w14:paraId="53153C20" w14:textId="77777777" w:rsidR="00DB5B28" w:rsidRPr="00BE1324" w:rsidRDefault="00DB5B28" w:rsidP="00DB5B28">
      <w:pPr>
        <w:pStyle w:val="NormalHanging12a"/>
      </w:pPr>
      <w:r w:rsidRPr="00BE1324">
        <w:t>36.</w:t>
      </w:r>
      <w:r w:rsidRPr="00BE1324">
        <w:tab/>
        <w:t xml:space="preserve">je hlboko znepokojený vysokou mierou rodovo motivovaného násilia vrátane domáceho násilia a </w:t>
      </w:r>
      <w:proofErr w:type="spellStart"/>
      <w:r w:rsidRPr="00BE1324">
        <w:t>femicíd</w:t>
      </w:r>
      <w:proofErr w:type="spellEnd"/>
      <w:r w:rsidRPr="00BE1324">
        <w:t xml:space="preserve">; vyzýva Čiernu Horu, aby plne zosúladila vymedzenia rodovo </w:t>
      </w:r>
      <w:r w:rsidRPr="00BE1324">
        <w:lastRenderedPageBreak/>
        <w:t>motivovaného násilia a domáceho násilia s Istanbulským dohovorom a s odporúčaniami medzinárodných orgánov, aby zriadila účinné mechanizmy ochrany a prevencie a podporné centrá a aby zabezpečila účinné následné opatrenia na justičnej úrovni pre obete domáceho a sexuálneho násilia, ako aj prísnejšiu trestnú politiku voči páchateľom; vyzýva na zber rozčlenených údajov o rodovo motivovanom násilí a rodových rozdieloch s cieľom zlepšiť politické reakcie;</w:t>
      </w:r>
    </w:p>
    <w:p w14:paraId="70B08B16" w14:textId="77777777" w:rsidR="00DB5B28" w:rsidRPr="00BE1324" w:rsidRDefault="00DB5B28" w:rsidP="00DB5B28">
      <w:pPr>
        <w:pStyle w:val="NormalHanging12a"/>
      </w:pPr>
      <w:r w:rsidRPr="00BE1324">
        <w:t>37.</w:t>
      </w:r>
      <w:r w:rsidRPr="00BE1324">
        <w:tab/>
        <w:t>vyjadruje poľutovanie nad tým, že návrh zákona o právnom uznaní rodu nebol v roku 2024 prijatý napriek tomu, že ide o opatrenie v rámci programu pristúpenia Čiernej Hory k EÚ; naliehavo vyzýva Čiernu Horu, aby tento zákon bezodkladne prijala;</w:t>
      </w:r>
    </w:p>
    <w:p w14:paraId="3FD4C7AC" w14:textId="77777777" w:rsidR="00DB5B28" w:rsidRPr="00BE1324" w:rsidRDefault="00DB5B28" w:rsidP="00DB5B28">
      <w:pPr>
        <w:pStyle w:val="NormalHanging12a"/>
      </w:pPr>
      <w:r w:rsidRPr="00BE1324">
        <w:t>38.</w:t>
      </w:r>
      <w:r w:rsidRPr="00BE1324">
        <w:tab/>
        <w:t>víta nové zákony Čiernej Hory týkajúce sa médií a jej stratégiu mediálnej politiky zameranú na posilnenie právneho rámca na účinnú ochranu novinárov a iných pracovníkov médií; trvá na politike nulovej tolerancie, pokiaľ ide o tlak na novinárov, ich obťažovanie alebo násilie voči nim, a to najmä zo strany verejných činiteľov; zdôrazňuje potrebu účinného vyšetrovania, stíhania všetkých prípadov nenávistných prejavov, očierňujúcich kampaní a strategických žalôb proti novinárom a účinných následných opatrení; zdôrazňuje, že je potrebné zabezpečiť právo novinárov na prístup k informáciám a zachovanie kritického postoja; berie na vedomie výrazné zlepšenie slobody tlače v Čiernej Hore, o čom svedčí jej pokrok vo svetovom rebríčku slobody tlače;</w:t>
      </w:r>
    </w:p>
    <w:p w14:paraId="60FCF4EA" w14:textId="77777777" w:rsidR="00DB5B28" w:rsidRPr="00BE1324" w:rsidRDefault="00DB5B28" w:rsidP="00DB5B28">
      <w:pPr>
        <w:pStyle w:val="NormalHanging12a"/>
      </w:pPr>
      <w:r w:rsidRPr="00BE1324">
        <w:t>39.</w:t>
      </w:r>
      <w:r w:rsidRPr="00BE1324">
        <w:tab/>
        <w:t>vyjadruje znepokojenie nad prípadmi, keď novinári, akademici a organizácie občianskej spoločnosti čelili tlaku za uplatnenie slobody slova vrátane prípadov, keď polícia proti nim začala priestupkové konanie; je znepokojeným použitím strategických žalôb proti verejnej účasti (SLAPP) na novinárov;</w:t>
      </w:r>
    </w:p>
    <w:p w14:paraId="634C9045" w14:textId="77777777" w:rsidR="00DB5B28" w:rsidRPr="00BE1324" w:rsidRDefault="00DB5B28" w:rsidP="00DB5B28">
      <w:pPr>
        <w:pStyle w:val="NormalHanging12a"/>
      </w:pPr>
      <w:r w:rsidRPr="00BE1324">
        <w:t>40.</w:t>
      </w:r>
      <w:r w:rsidRPr="00BE1324">
        <w:tab/>
        <w:t xml:space="preserve">vyjadruje poľutovanie nad prevládajúcou vysokou mierou polarizácie v médiách a ich zraniteľnosťou voči politickému a zahraničnému vplyvu, ako aj nad zahraničnými a domácimi dezinformačnými kampaňami, ktoré šíria </w:t>
      </w:r>
      <w:proofErr w:type="spellStart"/>
      <w:r w:rsidRPr="00BE1324">
        <w:t>naratívy</w:t>
      </w:r>
      <w:proofErr w:type="spellEnd"/>
      <w:r w:rsidRPr="00BE1324">
        <w:t>, ktoré negatívne ovplyvňujú demokratické procesy v krajine a ohrozujú európsku perspektívu Čiernej Hory; vyzýva Čiernu Horu, aby ďalej rozvíjala zlepšené programy mediálnej gramotnosti a zaradila ich ako základný predmet do vzdelávania; vyzýva čiernohorské orgány, aby zabezpečili redakčnú, inštitucionálnu a finančnú nezávislosť verejnoprávneho vysielateľa RTCG, ako aj zákonnosť vymenovania jeho vedenia a plné rešpektovanie súdnych rozhodnutí týkajúcich sa RTCG; pripomína, že musí byť v súlade s právnymi predpismi a najvyššími normami zodpovednosti a integrity; vyjadruje poľutovanie nad tým, že nezávislosť verejnoprávnych médií je oslabovaná a podkopávaná; vyzýva všetky mediálne subjekty, aby dodržiavali právne požiadavky na transparentnosť verejného financovania;</w:t>
      </w:r>
    </w:p>
    <w:p w14:paraId="0B478A0D" w14:textId="77777777" w:rsidR="00DB5B28" w:rsidRPr="00BE1324" w:rsidRDefault="00DB5B28" w:rsidP="00DB5B28">
      <w:pPr>
        <w:pStyle w:val="NormalHanging12a"/>
      </w:pPr>
      <w:r w:rsidRPr="00BE1324">
        <w:t>41.</w:t>
      </w:r>
      <w:r w:rsidRPr="00BE1324">
        <w:tab/>
        <w:t>víta zverejnenie výsledkov sčítania obyvateľov v roku 2023; vyzýva orgány, aby sa vyhli akejkoľvek politizácii tohto procesu; nabáda zainteresované strany, aby tieto výsledky využívali nediskriminačným spôsobom;</w:t>
      </w:r>
    </w:p>
    <w:p w14:paraId="5287C62D" w14:textId="77777777" w:rsidR="00DB5B28" w:rsidRPr="00BE1324" w:rsidRDefault="00DB5B28" w:rsidP="00DB5B28">
      <w:pPr>
        <w:pStyle w:val="NormalHanging12a"/>
      </w:pPr>
      <w:r w:rsidRPr="00BE1324">
        <w:t>42.</w:t>
      </w:r>
      <w:r w:rsidRPr="00BE1324">
        <w:tab/>
        <w:t xml:space="preserve">víta živú a konštruktívnu občiansku spoločnosť v Čiernej Hore a zdôrazňuje jej význam pri podpore demokracie a pluralizmu a pri presadzovaní dobrej správy vecí verejných a spoločenského pokroku; vyjadruje znepokojenie nad zmenšujúcim sa priestorom pre organizácie občianskej spoločnosti s kritickým postojom a odsudzuje všetky očierňujúce kampane, zastrašovanie a útoky proti organizáciám občianskej spoločnosti, najmä zo strany politických predstaviteľov v súvislosti s návrhmi zákona o </w:t>
      </w:r>
      <w:r w:rsidRPr="00BE1324">
        <w:lastRenderedPageBreak/>
        <w:t>zahraničných agentoch; konštatuje, že takéto zákony majú potenciál oslabiť základné slobody a fungovanie občianskej spoločnosti a sú v rozpore s hodnotami a normami EÚ; vyzýva na vytvorenie podporného právneho rámca a jasných a spravodlivých výberových kritérií v súvislosti s verejným financovaním; vyzýva Radu pre spoluprácu medzi vládou a mimovládnymi organizáciami, aby obnovila svoju činnosť; zdôrazňuje význam budovania spolupráce a skutočných konzultácií s občianskou spoločnosťou o návrhoch právnych predpisov už v počiatočnej fáze;</w:t>
      </w:r>
    </w:p>
    <w:p w14:paraId="3DCA81B1" w14:textId="77777777" w:rsidR="00DB5B28" w:rsidRPr="00BE1324" w:rsidRDefault="00DB5B28" w:rsidP="00DB5B28">
      <w:pPr>
        <w:pStyle w:val="Normal12a24b"/>
      </w:pPr>
      <w:r w:rsidRPr="00BE1324">
        <w:rPr>
          <w:rStyle w:val="BoldItalic"/>
        </w:rPr>
        <w:t>Zmierenie, dobré susedské vzťahy a regionálna spolupráca</w:t>
      </w:r>
    </w:p>
    <w:p w14:paraId="1CDE38DF" w14:textId="77777777" w:rsidR="00DB5B28" w:rsidRPr="00BE1324" w:rsidRDefault="00DB5B28" w:rsidP="00DB5B28">
      <w:pPr>
        <w:pStyle w:val="NormalHanging12a"/>
      </w:pPr>
      <w:r w:rsidRPr="00BE1324">
        <w:t>43.</w:t>
      </w:r>
      <w:r w:rsidRPr="00BE1324">
        <w:tab/>
        <w:t>pripomína, že základnými prvkami procesu rozširovania sú dobré susedské vzťahy a regionálna spolupráca; oceňuje aktívne zapojenie Čiernej Hory do iniciatív regionálnej spolupráce; pripomína, že dobré susedské vzťahy sú kľúčom k pokroku v prístupovom procese;</w:t>
      </w:r>
    </w:p>
    <w:p w14:paraId="14388720" w14:textId="77777777" w:rsidR="00DB5B28" w:rsidRPr="00BE1324" w:rsidRDefault="00DB5B28" w:rsidP="00DB5B28">
      <w:pPr>
        <w:pStyle w:val="NormalHanging12a"/>
      </w:pPr>
      <w:r w:rsidRPr="00BE1324">
        <w:t>44.</w:t>
      </w:r>
      <w:r w:rsidRPr="00BE1324">
        <w:tab/>
        <w:t>vyjadruje poľutovanie nad tým, že v decembri 2024 nebolo možné uzavrieť kapitolu 31; vyzýva všetky zúčastnené strany, aby konštruktívnym a pokojným spôsobom našli riešenia otvorených dvojstranných otázok a uprednostňovali budúce záujmy občanov na západnom Balkáne; pripomína, že by sa malo zabrániť využívaniu nevyriešených dvojstranných a regionálnych sporov na blokovanie prístupového procesu kandidátskych krajín; víta dvojstranné konzultácie medzi Chorvátskou republikou a Čiernou Horou o stave nevyriešených bilaterálnych otázok; nabáda orgány, aby pokračovali v presadzovaní opatrení na budovanie dôvery;</w:t>
      </w:r>
    </w:p>
    <w:p w14:paraId="57A48E5F" w14:textId="77777777" w:rsidR="00DB5B28" w:rsidRPr="00BE1324" w:rsidRDefault="00DB5B28" w:rsidP="00DB5B28">
      <w:pPr>
        <w:pStyle w:val="NormalHanging12a"/>
      </w:pPr>
      <w:r w:rsidRPr="00BE1324">
        <w:t>45.</w:t>
      </w:r>
      <w:r w:rsidRPr="00BE1324">
        <w:tab/>
        <w:t>berie na vedomie zmeny trestného poriadku Čiernej Hory s cieľom odstrániť právne a praktické prekážky účinného vyšetrovania, stíhania, súdneho konania a trestania vojnových zločinov v súlade s príslušnými odporúčaniami; vyzýva Čiernu Horu, aby uplatňovala proaktívny prístup k riešeniu prípadov vojnových zločinov v súlade s medzinárodným právom a normami s cieľom identifikovať, stíhať a trestať páchateľov a glorifikáciu vojnových zločinov a zabezpečiť prístup k spravodlivosti, náprave a odškodneniu obetí a ich vykonávanie a objasniť osud nezvestných osôb; vyzýva Čiernu Horu, aby vyčlenila dostatočné zdroje na špecializovaných prokurátorov a súdy a proaktívne vyšetrovala všetky obvinenia z vojnových zločinov a nastolila otázky zodpovednosti velenia, ako aj aby preskúmala prípady z minulosti, ktoré neboli stíhané v súlade s medzinárodným alebo vnútroštátnym právom; vyzýva na regionálnu spoluprácu pri vyšetrovaní a stíhaní osôb obvinených z vojnových zločinov; uznáva, že riešenie týchto otázok a ochrana súdom podložených skutočností sú dôležitým základom pre dôveru, demokratické hodnoty, zmierenie a posilnenie bilaterálnych vzťahov so susednými krajinami, a povzbudzuje Čiernu Horu, aby tieto úsilie zintenzívnila;</w:t>
      </w:r>
    </w:p>
    <w:p w14:paraId="5EF6B1BE" w14:textId="77777777" w:rsidR="00DB5B28" w:rsidRPr="00BE1324" w:rsidRDefault="00DB5B28" w:rsidP="00DB5B28">
      <w:pPr>
        <w:pStyle w:val="NormalHanging12a"/>
      </w:pPr>
      <w:r w:rsidRPr="00BE1324">
        <w:t>46.</w:t>
      </w:r>
      <w:r w:rsidRPr="00BE1324">
        <w:tab/>
        <w:t xml:space="preserve">varuje pred nebezpečenstvom politického revizionizmu, ktorý skresľuje historické fakty na politické účely, oslabuje zodpovednosť a prehlbuje spoločenské rozdiely; dôrazne odsudzuje glorifikáciu vojnových zločincov a rozsiahle verejné popieranie medzinárodných rozsudkov za vojnové zločiny, a to aj zo strany čiernohorských orgánov; domnieva sa, že vyhlásenie prezidenta Jakova </w:t>
      </w:r>
      <w:proofErr w:type="spellStart"/>
      <w:r w:rsidRPr="00BE1324">
        <w:t>Milatovića</w:t>
      </w:r>
      <w:proofErr w:type="spellEnd"/>
      <w:r w:rsidRPr="00BE1324">
        <w:t>, v ktorom vyjadril ľútosť nad účasťou čiernohorských síl na bombardovaní mesta Dubrovník, bolo cenným príspevkom k regionálnemu mieru a zmiereniu;</w:t>
      </w:r>
    </w:p>
    <w:p w14:paraId="390DC10E" w14:textId="77777777" w:rsidR="00DB5B28" w:rsidRPr="00BE1324" w:rsidRDefault="00DB5B28" w:rsidP="00DB5B28">
      <w:pPr>
        <w:pStyle w:val="NormalHanging12a"/>
      </w:pPr>
      <w:r w:rsidRPr="00BE1324">
        <w:lastRenderedPageBreak/>
        <w:t>47.</w:t>
      </w:r>
      <w:r w:rsidRPr="00BE1324">
        <w:tab/>
        <w:t>opätovne vyjadruje podporu iniciatíve na zriadenie regionálnej komisie pre zistenie faktov o vojnových zločinoch a iných prípadoch závažného porušovania ľudských práv spáchaných na území bývalej Juhoslávie (RECOM);</w:t>
      </w:r>
    </w:p>
    <w:p w14:paraId="5FB419AA" w14:textId="77777777" w:rsidR="00DB5B28" w:rsidRPr="00BE1324" w:rsidRDefault="00DB5B28" w:rsidP="00DB5B28">
      <w:pPr>
        <w:pStyle w:val="NormalHanging12a"/>
      </w:pPr>
      <w:r w:rsidRPr="00BE1324">
        <w:t>48.</w:t>
      </w:r>
      <w:r w:rsidRPr="00BE1324">
        <w:tab/>
        <w:t>opakuje svoju výzvu na otvorenie archívov, ktoré sa týkajú bývalej Juhoslávie, a na sprístupnenie spisov tajnej služby bývalej Juhoslávie a kontrarozviedky Juhoslovanskej ľudovej armády, aby sa mohli podrobne preskúmať a prešetriť zločiny z komunistických čias;</w:t>
      </w:r>
    </w:p>
    <w:p w14:paraId="1B4977F6" w14:textId="77777777" w:rsidR="00DB5B28" w:rsidRPr="00BE1324" w:rsidRDefault="00DB5B28" w:rsidP="00DB5B28">
      <w:pPr>
        <w:pStyle w:val="Normal12a24b"/>
      </w:pPr>
      <w:r w:rsidRPr="00BE1324">
        <w:rPr>
          <w:rStyle w:val="BoldItalic"/>
        </w:rPr>
        <w:t>Sociálno-ekonomické reformy</w:t>
      </w:r>
    </w:p>
    <w:p w14:paraId="6C8BCCBD" w14:textId="77777777" w:rsidR="00DB5B28" w:rsidRPr="00BE1324" w:rsidRDefault="00DB5B28" w:rsidP="00DB5B28">
      <w:pPr>
        <w:pStyle w:val="NormalHanging12a"/>
      </w:pPr>
      <w:r w:rsidRPr="00BE1324">
        <w:t>49.</w:t>
      </w:r>
      <w:r w:rsidRPr="00BE1324">
        <w:tab/>
        <w:t>víta začlenenie Čiernej Hory do systémov úhrad SEPA, čím sa občanom a podnikom znižujú náklady; zdôrazňuje, že sa tým otvárajú príležitosti na rozširovanie podnikania, posilnenie konkurencieschopnosti a inovácií a zlepšenie prístupu k priamym zahraničným investíciám;</w:t>
      </w:r>
    </w:p>
    <w:p w14:paraId="4A3A6D97" w14:textId="77777777" w:rsidR="00DB5B28" w:rsidRPr="00BE1324" w:rsidRDefault="00DB5B28" w:rsidP="00DB5B28">
      <w:pPr>
        <w:pStyle w:val="NormalHanging12a"/>
      </w:pPr>
      <w:r w:rsidRPr="00BE1324">
        <w:t>50.</w:t>
      </w:r>
      <w:r w:rsidRPr="00BE1324">
        <w:tab/>
        <w:t>víta Nový plán rastu pre západný Balkán, ktorého cieľom je začleniť tento región do jednotného trhu EÚ, podporiť regionálnu hospodársku spoluprácu a prehĺbiť reformy súvisiace s EÚ a ktorý zahŕňa Nástroj na podporu reforiem a rastu pre západný Balkán vo výške 6 miliárd EUR; víta, že Čierna Hora prijala program reforiem, a nabáda na jeho úplné vykonávanie; konštatuje, že vykonávanie reformných opatrení stanovených v programe reforiem Čiernej Hory v rámci plánu rastu by poskytlo prístup k viac ako 380 miliónom EUR vo forme grantov a výhodných úverov v závislosti od úspešnej realizácie; zdôrazňuje význam inkluzívnych konzultácií so zainteresovanými stranami vrátane miestnych a regionálnych orgánov, sociálnych partnerov a občianskej spoločnosti vo fázach navrhovania, vykonávania, monitorovania a hodnotenia;</w:t>
      </w:r>
    </w:p>
    <w:p w14:paraId="3E8B084E" w14:textId="77777777" w:rsidR="00DB5B28" w:rsidRPr="00BE1324" w:rsidRDefault="00DB5B28" w:rsidP="00DB5B28">
      <w:pPr>
        <w:pStyle w:val="NormalHanging12a"/>
      </w:pPr>
      <w:r w:rsidRPr="00BE1324">
        <w:t>51.</w:t>
      </w:r>
      <w:r w:rsidRPr="00BE1324">
        <w:tab/>
        <w:t>nabáda Čiernu Horu, aby čo najlepšie využívala všetky finančné prostriedky EÚ dostupné v rámci predvstupového nástroja (IPA III), hospodárskeho a investičného plánu pre západný Balkán, programu IPARD a Nástroja na podporu reforiem a rastu pre západný Balkán s cieľom urýchliť sociálno-ekonomickú konvergenciu s EÚ a ďalej zosúlaďovať svoje právne predpisy s EÚ v oblasti predchádzania podvodom; pripomína podmienenosť financovania EÚ, ktoré možno upraviť alebo pozastaviť v prípade výraznej regresie alebo pretrvávajúceho nedostatočného pokroku v základných otázkach;</w:t>
      </w:r>
    </w:p>
    <w:p w14:paraId="76CA78FE" w14:textId="77777777" w:rsidR="00DB5B28" w:rsidRPr="00BE1324" w:rsidRDefault="00DB5B28" w:rsidP="00DB5B28">
      <w:pPr>
        <w:pStyle w:val="NormalHanging12a"/>
      </w:pPr>
      <w:r w:rsidRPr="00BE1324">
        <w:t>52.</w:t>
      </w:r>
      <w:r w:rsidRPr="00BE1324">
        <w:tab/>
        <w:t>žiada EÚ a krajiny západného Balkánu, aby vytvorili rámec pre účinnú spoluprácu medzi Európskou prokuratúrou (EPPO) a pristupujúcimi krajinami s cieľom uľahčiť úzku spoluprácu a stíhanie zneužívania finančných prostriedkov EÚ, a to aj prostredníctvom vysielania národných styčných úradníkov do EPPO; nabáda Čiernu Horu, aby v plnej miere vykonávala dohody o spolupráci s Európskou prokuratúrou; vyzýva EÚ, aby prijala potrebné právne a politické opatrenia na rozšírenie právomoci EPPO na finančné prostriedky EÚ určené Čiernej Hore ako kandidátskej krajine;</w:t>
      </w:r>
    </w:p>
    <w:p w14:paraId="50908E40" w14:textId="77777777" w:rsidR="00DB5B28" w:rsidRPr="00BE1324" w:rsidRDefault="00DB5B28" w:rsidP="00DB5B28">
      <w:pPr>
        <w:pStyle w:val="NormalHanging12a"/>
      </w:pPr>
      <w:r w:rsidRPr="00BE1324">
        <w:t>53.</w:t>
      </w:r>
      <w:r w:rsidRPr="00BE1324">
        <w:tab/>
        <w:t>pozitívne hodnotí hospodársky rast Čiernej Hory; požaduje ďalšie kroky na zníženie rozpočtového deficitu a verejného dlhu a na ďalšie odstránenie oslobodení od nepriamych daní, ktoré nie sú v súlade s </w:t>
      </w:r>
      <w:proofErr w:type="spellStart"/>
      <w:r w:rsidRPr="00BE1324">
        <w:rPr>
          <w:i/>
          <w:iCs/>
        </w:rPr>
        <w:t>acquis</w:t>
      </w:r>
      <w:proofErr w:type="spellEnd"/>
      <w:r w:rsidRPr="00BE1324">
        <w:t xml:space="preserve"> EÚ; víta úsilie vynaložené na zníženie tejto fiškálnej zraniteľnosti; opätovne zdôrazňuje potrebu zvýšiť verejné investície do vzdelávacieho systému v záujme udržateľného sociálneho a hospodárskeho rozvoja;</w:t>
      </w:r>
    </w:p>
    <w:p w14:paraId="54AE0F55" w14:textId="77777777" w:rsidR="00DB5B28" w:rsidRPr="00BE1324" w:rsidRDefault="00DB5B28" w:rsidP="00DB5B28">
      <w:pPr>
        <w:pStyle w:val="NormalHanging12a"/>
      </w:pPr>
      <w:r w:rsidRPr="00BE1324">
        <w:lastRenderedPageBreak/>
        <w:t>54.</w:t>
      </w:r>
      <w:r w:rsidRPr="00BE1324">
        <w:tab/>
        <w:t xml:space="preserve">berie na vedomie verejný dlh Čiernej Hory voči zahraničným finančným inštitúciám a spoločnostiam, ktorý môže byť použitý ako nástroj na ovplyvňovanie jej politických rozhodnutí, najmä v súvislosti s Čínou a Ruskom; víta úsilie o zníženie týchto zraniteľných miest a vyzýva orgány, aby ďalej znižovali hospodársku závislosť od Číny a naďalej využívali hospodársky a investičný plán pre západný Balkán, iniciatívu EÚ </w:t>
      </w:r>
      <w:proofErr w:type="spellStart"/>
      <w:r w:rsidRPr="00BE1324">
        <w:t>Global</w:t>
      </w:r>
      <w:proofErr w:type="spellEnd"/>
      <w:r w:rsidRPr="00BE1324">
        <w:t xml:space="preserve"> </w:t>
      </w:r>
      <w:proofErr w:type="spellStart"/>
      <w:r w:rsidRPr="00BE1324">
        <w:t>Gateway</w:t>
      </w:r>
      <w:proofErr w:type="spellEnd"/>
      <w:r w:rsidRPr="00BE1324">
        <w:t xml:space="preserve"> a Nástroj na podporu reforiem a rastu s cieľom nájsť ekologickejšie a transparentnejšie alternatívy financovania projektov infraštruktúry; vyzýva Čiernu Horu, aby zvýšila transparentnosť budúcich projektov v oblasti infraštruktúry, zabezpečila súťažné ponukové konania a zabránila nadmernej dlhovej závislosti od zahraničných veriteľov;</w:t>
      </w:r>
    </w:p>
    <w:p w14:paraId="348F00CD" w14:textId="77777777" w:rsidR="00DB5B28" w:rsidRPr="00BE1324" w:rsidRDefault="00DB5B28" w:rsidP="00DB5B28">
      <w:pPr>
        <w:pStyle w:val="NormalHanging12a"/>
      </w:pPr>
      <w:r w:rsidRPr="00BE1324">
        <w:t>55.</w:t>
      </w:r>
      <w:r w:rsidRPr="00BE1324">
        <w:tab/>
        <w:t>vyzýva čiernohorské orgány, aby prijali opatrenia na boj proti vyľudňovaniu a emigrácii, najmä prostredníctvom investícií do vzdelávania a zdravotnej starostlivosti, najmä na severe krajiny, ako aj prostredníctvom decentralizácie investovaním do stredne veľkých miest;</w:t>
      </w:r>
    </w:p>
    <w:p w14:paraId="6D1E98E7" w14:textId="77777777" w:rsidR="00DB5B28" w:rsidRPr="00BE1324" w:rsidRDefault="00DB5B28" w:rsidP="00DB5B28">
      <w:pPr>
        <w:pStyle w:val="NormalHanging12a"/>
      </w:pPr>
      <w:r w:rsidRPr="00BE1324">
        <w:t>56.</w:t>
      </w:r>
      <w:r w:rsidRPr="00BE1324">
        <w:tab/>
        <w:t>nabáda čiernohorské orgány, aby podporili digitálnu transformáciu a uplatňovali politiky trhu práce založené na dôkazoch s cieľom riešiť pretrvávajúcu vysokú mieru nezamestnanosti, najmä medzi ženami a mladými ľuďmi, a zároveň posilniť inštitucionálne kapacity a posilniť základný rámec digitálnej politiky, a aby účinne vykonávali záruku pre mladých ľudí a novú stratégiu pre mládež; vyzýva príslušné orgány, aby sa naliehavo zaoberali únikom mozgov; podnecuje rozvoj cielených preventívnych opatrení a stimulov na legalizáciu neformálnych podnikov a zamestnancov, pretože veľký neformálny sektor naďalej brzdí hospodársky a sociálny rozvoj v Čiernej Hore;</w:t>
      </w:r>
    </w:p>
    <w:p w14:paraId="49DCCD5A" w14:textId="77777777" w:rsidR="00DB5B28" w:rsidRPr="00BE1324" w:rsidRDefault="00DB5B28" w:rsidP="00DB5B28">
      <w:pPr>
        <w:pStyle w:val="NormalHanging12a"/>
      </w:pPr>
      <w:r w:rsidRPr="00BE1324">
        <w:t>57.</w:t>
      </w:r>
      <w:r w:rsidRPr="00BE1324">
        <w:tab/>
        <w:t>víta výzvy na urýchlenú integráciu všetkých krajín západného Balkánu do jednotného digitálneho trhu EÚ pred ich skutočným členstvom v EÚ, čo by zásadne prispelo k vytvoreniu digitálne bezpečného prostredia;</w:t>
      </w:r>
    </w:p>
    <w:p w14:paraId="36BEE437" w14:textId="77777777" w:rsidR="00DB5B28" w:rsidRPr="00BE1324" w:rsidRDefault="00DB5B28" w:rsidP="00DB5B28">
      <w:pPr>
        <w:pStyle w:val="NormalHanging12a"/>
      </w:pPr>
      <w:r w:rsidRPr="00BE1324">
        <w:t>58.</w:t>
      </w:r>
      <w:r w:rsidRPr="00BE1324">
        <w:tab/>
        <w:t xml:space="preserve">požaduje väčšiu transparentnosť pri verejnom obstarávaní, najmä pokiaľ ide o postupy prostredníctvom medzivládnych dohôd, a úplný súlad s pravidlami a zásadami EÚ; vyzýva Čiernu Horu, aby znížila počet postupov verejného obstarávania bez oznámení; vyjadruje znepokojenie nad finančným bremenom a nedostatočnou transparentnosťou v súvislosti s výstavbou diaľnice Bar – </w:t>
      </w:r>
      <w:proofErr w:type="spellStart"/>
      <w:r w:rsidRPr="00BE1324">
        <w:t>Boljare</w:t>
      </w:r>
      <w:proofErr w:type="spellEnd"/>
      <w:r w:rsidRPr="00BE1324">
        <w:t xml:space="preserve"> financovanej z čínskeho úveru; zdôrazňuje, že tajnosti okolo úverových a stavebných zmlúv vyvolávajú obavy, čo sa týka zodpovednosti;</w:t>
      </w:r>
    </w:p>
    <w:p w14:paraId="5445E8BF" w14:textId="77777777" w:rsidR="00DB5B28" w:rsidRPr="00BE1324" w:rsidRDefault="00DB5B28" w:rsidP="00DB5B28">
      <w:pPr>
        <w:pStyle w:val="NormalHanging12a"/>
      </w:pPr>
      <w:r w:rsidRPr="00BE1324">
        <w:t>59.</w:t>
      </w:r>
      <w:r w:rsidRPr="00BE1324">
        <w:tab/>
        <w:t>vyjadruje znepokojenie nad akýmikoľvek dohodami alebo projektmi, ktoré obchádzajú pravidlá verejného obstarávania, povinnosti týkajúce sa transparentnosti a požiadavky na verejné konzultácie, ako sa stanovuje vo vnútroštátnych právnych predpisoch a normách EÚ; vyzýva vládu Čiernej Hory, aby zabezpečila úplné dodržiavanie zásad transparentnosti, zodpovednosti, inkluzívneho rozhodovania a právneho štátu vo všetkých iniciatívach v oblasti verejnej infraštruktúry a rozvoja;</w:t>
      </w:r>
    </w:p>
    <w:p w14:paraId="18FECE44" w14:textId="77777777" w:rsidR="00DB5B28" w:rsidRPr="00BE1324" w:rsidRDefault="00DB5B28" w:rsidP="00DB5B28">
      <w:pPr>
        <w:pStyle w:val="Normal12a24b"/>
      </w:pPr>
      <w:r w:rsidRPr="00BE1324">
        <w:rPr>
          <w:rStyle w:val="BoldItalic"/>
        </w:rPr>
        <w:t>Energetika, životné prostredie, biodiverzita a prepojenosť</w:t>
      </w:r>
    </w:p>
    <w:p w14:paraId="023BC93E" w14:textId="77777777" w:rsidR="00DB5B28" w:rsidRPr="00BE1324" w:rsidRDefault="00DB5B28" w:rsidP="00DB5B28">
      <w:pPr>
        <w:pStyle w:val="NormalHanging12a"/>
      </w:pPr>
      <w:r w:rsidRPr="00BE1324">
        <w:t>60.</w:t>
      </w:r>
      <w:r w:rsidRPr="00BE1324">
        <w:tab/>
        <w:t xml:space="preserve">naliehavo vyzýva Čiernu Horu, aby s podporou financovania EÚ pokročila v zelenej transformácii, zlepšila svoj inštitucionálny a regulačný rámec a zvýšila energetickú odolnosť konečným prijatím a vykonávaním dlho odkladaného národného energetického a klimatického plánu, prijatím právnych predpisov v oblasti energetickej </w:t>
      </w:r>
      <w:r w:rsidRPr="00BE1324">
        <w:lastRenderedPageBreak/>
        <w:t>efektívnosti a ďalšou integráciou do trhov EÚ s energiou; žiada, aby sa všetky nové projekty zelenej transformácie vykonávali v súlade s normami EÚ v oblasti životného prostredia, štátnej pomoci a koncesií;</w:t>
      </w:r>
    </w:p>
    <w:p w14:paraId="4AA40E63" w14:textId="77777777" w:rsidR="00DB5B28" w:rsidRPr="00BE1324" w:rsidRDefault="00DB5B28" w:rsidP="00DB5B28">
      <w:pPr>
        <w:pStyle w:val="NormalHanging12a"/>
      </w:pPr>
      <w:r w:rsidRPr="00BE1324">
        <w:t>61.</w:t>
      </w:r>
      <w:r w:rsidRPr="00BE1324">
        <w:tab/>
        <w:t xml:space="preserve">vyjadruje poľutovanie nad nedostatočným pokrokom v kľúčových sektorových reformách v oblasti dopravnej politiky; vyzýva čiernohorské orgány, aby zosúladili rozvoj dopravy v krajine so stratégiou pre udržateľnú a inteligentnú mobilitu pre západný Balkán so zameraním na železnice, </w:t>
      </w:r>
      <w:proofErr w:type="spellStart"/>
      <w:r w:rsidRPr="00BE1324">
        <w:t>multimodalitu</w:t>
      </w:r>
      <w:proofErr w:type="spellEnd"/>
      <w:r w:rsidRPr="00BE1324">
        <w:t xml:space="preserve"> a znižovanie emisií CO</w:t>
      </w:r>
      <w:r w:rsidRPr="00BE1324">
        <w:rPr>
          <w:vertAlign w:val="subscript"/>
        </w:rPr>
        <w:t>2</w:t>
      </w:r>
      <w:r w:rsidRPr="00BE1324">
        <w:t xml:space="preserve"> a iných vplyvov na životné prostredie a aby ďalej vykonávali svoju stratégiu rozvoja dopravy a posilňovali administratívne kapacity na realizáciu </w:t>
      </w:r>
      <w:proofErr w:type="spellStart"/>
      <w:r w:rsidRPr="00BE1324">
        <w:t>transeurópskych</w:t>
      </w:r>
      <w:proofErr w:type="spellEnd"/>
      <w:r w:rsidRPr="00BE1324">
        <w:t xml:space="preserve"> dopravných sietí; </w:t>
      </w:r>
    </w:p>
    <w:p w14:paraId="12C8D505" w14:textId="77777777" w:rsidR="00DB5B28" w:rsidRPr="00BE1324" w:rsidRDefault="00DB5B28" w:rsidP="00DB5B28">
      <w:pPr>
        <w:pStyle w:val="NormalHanging12a"/>
      </w:pPr>
      <w:r w:rsidRPr="00BE1324">
        <w:t>62.</w:t>
      </w:r>
      <w:r w:rsidRPr="00BE1324">
        <w:tab/>
        <w:t>víta zníženie poplatkov za dátový roaming medzi EÚ a krajinami západného Balkánu a vyzýva orgány, súkromné subjekty a všetky zainteresované strany, aby podnikli všetky potrebné kroky na dosiahnutie cieľa priblížiť ceny dátového roamingu domácim cenám do roku 2028; víta nadobudnutie účinnosti prvej fázy realizácie plánu pre roaming medzi západným Balkánom a EÚ;</w:t>
      </w:r>
    </w:p>
    <w:p w14:paraId="3DA0DE42" w14:textId="77777777" w:rsidR="00DB5B28" w:rsidRDefault="00DB5B28" w:rsidP="00DB5B28">
      <w:pPr>
        <w:pStyle w:val="NormalHanging12a"/>
      </w:pPr>
      <w:r w:rsidRPr="00BE1324">
        <w:t>63.</w:t>
      </w:r>
      <w:r w:rsidRPr="00BE1324">
        <w:tab/>
        <w:t>nabáda na prijatie odvetvových stratégií pre odpadové hospodárstvo, kvalitu ovzdušia a vody, ochranu prírody a zmenu klímy, čím sa zabezpečí strategické plánovanie investícií; berie na vedomie nedostatočný pokrok a rastúce súvisiace náklady, pokiaľ ide o výstavbu základných čistiarní odpadových vôd s cieľom zabrániť znečisťovaniu riek a mora splaškami v siedmich obciach;</w:t>
      </w:r>
    </w:p>
    <w:p w14:paraId="5F7B61B7" w14:textId="77777777" w:rsidR="0008658E" w:rsidRDefault="0008658E" w:rsidP="0008658E">
      <w:pPr>
        <w:pStyle w:val="NormalHanging12a"/>
        <w:ind w:left="0" w:firstLine="0"/>
        <w:jc w:val="center"/>
      </w:pPr>
      <w:r>
        <w:t>°</w:t>
      </w:r>
    </w:p>
    <w:p w14:paraId="1B609E39" w14:textId="77777777" w:rsidR="0008658E" w:rsidRDefault="0008658E" w:rsidP="0008658E">
      <w:pPr>
        <w:pStyle w:val="NormalHanging12a"/>
        <w:ind w:left="0" w:firstLine="0"/>
        <w:jc w:val="center"/>
      </w:pPr>
      <w:r>
        <w:t>°     °</w:t>
      </w:r>
    </w:p>
    <w:p w14:paraId="64A2A408" w14:textId="77777777" w:rsidR="00E365E1" w:rsidRPr="00BE1324" w:rsidRDefault="00DB5B28" w:rsidP="0008658E">
      <w:pPr>
        <w:pStyle w:val="NormalHanging12a"/>
      </w:pPr>
      <w:r w:rsidRPr="00BE1324">
        <w:t>64.</w:t>
      </w:r>
      <w:r w:rsidRPr="00BE1324">
        <w:tab/>
        <w:t xml:space="preserve">poveruje svoju predsedníčku, aby postúpila toto uznesenie Rade, Komisii, podpredsedníčke Komisie/vysokej predstaviteľke Únie pre zahraničné veci a bezpečnostnú politiku, komisárke pre rozširovanie, komisárke pre Stredozemie, vládam a parlamentom členských štátov a prezidentovi, vláde a parlamentu Čiernej Hory a aby zabezpečila jeho preklad a uverejnenie v </w:t>
      </w:r>
      <w:proofErr w:type="spellStart"/>
      <w:r w:rsidRPr="00BE1324">
        <w:t>čiernohorčine</w:t>
      </w:r>
      <w:proofErr w:type="spellEnd"/>
      <w:r w:rsidRPr="00BE1324">
        <w:t>.</w:t>
      </w:r>
    </w:p>
    <w:sectPr w:rsidR="00E365E1" w:rsidRPr="00BE1324" w:rsidSect="00BE13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D7100" w14:textId="77777777" w:rsidR="00EE425D" w:rsidRPr="00BE1324" w:rsidRDefault="00EE425D">
      <w:r w:rsidRPr="00BE1324">
        <w:separator/>
      </w:r>
    </w:p>
  </w:endnote>
  <w:endnote w:type="continuationSeparator" w:id="0">
    <w:p w14:paraId="45285D9D" w14:textId="77777777" w:rsidR="00EE425D" w:rsidRPr="00BE1324" w:rsidRDefault="00EE425D">
      <w:r w:rsidRPr="00BE13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2B3A4" w14:textId="77777777" w:rsidR="00064002" w:rsidRPr="00BE132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2CCD3" w14:textId="77777777" w:rsidR="00064002" w:rsidRPr="00BE132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41E3F" w14:textId="77777777" w:rsidR="00064002" w:rsidRPr="00BE132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9937B" w14:textId="77777777" w:rsidR="00EE425D" w:rsidRPr="00BE1324" w:rsidRDefault="00EE425D">
      <w:r w:rsidRPr="00BE1324">
        <w:separator/>
      </w:r>
    </w:p>
  </w:footnote>
  <w:footnote w:type="continuationSeparator" w:id="0">
    <w:p w14:paraId="4BE9944F" w14:textId="77777777" w:rsidR="00EE425D" w:rsidRPr="00BE1324" w:rsidRDefault="00EE425D">
      <w:r w:rsidRPr="00BE1324">
        <w:continuationSeparator/>
      </w:r>
    </w:p>
  </w:footnote>
  <w:footnote w:id="1">
    <w:p w14:paraId="0C0A3E06" w14:textId="77777777" w:rsidR="00DB5B28" w:rsidRPr="00140C10" w:rsidRDefault="00DB5B28" w:rsidP="00BE1324">
      <w:pPr>
        <w:pStyle w:val="FootnoteText"/>
        <w:ind w:left="567" w:hanging="567"/>
        <w:rPr>
          <w:sz w:val="24"/>
          <w:szCs w:val="24"/>
          <w:lang w:val="sk-SK"/>
        </w:rPr>
      </w:pPr>
      <w:r w:rsidRPr="00140C10">
        <w:rPr>
          <w:rStyle w:val="FootnoteReference"/>
          <w:sz w:val="24"/>
          <w:szCs w:val="24"/>
          <w:lang w:val="sk-SK"/>
        </w:rPr>
        <w:footnoteRef/>
      </w:r>
      <w:r w:rsidR="00BE1324" w:rsidRPr="00140C10">
        <w:rPr>
          <w:sz w:val="24"/>
          <w:szCs w:val="24"/>
          <w:lang w:val="sk-SK"/>
        </w:rPr>
        <w:t xml:space="preserve"> </w:t>
      </w:r>
      <w:r w:rsidR="00BE1324" w:rsidRPr="00140C10">
        <w:rPr>
          <w:sz w:val="24"/>
          <w:szCs w:val="24"/>
          <w:lang w:val="sk-SK"/>
        </w:rPr>
        <w:tab/>
      </w:r>
      <w:r w:rsidRPr="00140C10">
        <w:rPr>
          <w:sz w:val="24"/>
          <w:szCs w:val="24"/>
          <w:lang w:val="sk-SK"/>
        </w:rPr>
        <w:t xml:space="preserve">Ú. v. EÚ L 108, 29.4.2010, s. 3, ELI: </w:t>
      </w:r>
      <w:hyperlink r:id="rId1" w:history="1">
        <w:r w:rsidRPr="00140C10">
          <w:rPr>
            <w:rStyle w:val="Hyperlink"/>
            <w:sz w:val="24"/>
            <w:szCs w:val="24"/>
            <w:lang w:val="sk-SK"/>
          </w:rPr>
          <w:t>http://data.europa.eu/eli/agree_internation/2010/224/oj</w:t>
        </w:r>
      </w:hyperlink>
      <w:r w:rsidRPr="00140C10">
        <w:rPr>
          <w:sz w:val="24"/>
          <w:szCs w:val="24"/>
          <w:lang w:val="sk-SK"/>
        </w:rPr>
        <w:t xml:space="preserve">. </w:t>
      </w:r>
    </w:p>
  </w:footnote>
  <w:footnote w:id="2">
    <w:p w14:paraId="7FFA220D" w14:textId="77777777" w:rsidR="00DB5B28" w:rsidRPr="00140C10" w:rsidRDefault="00DB5B28" w:rsidP="00BE1324">
      <w:pPr>
        <w:pStyle w:val="FootnoteText"/>
        <w:ind w:left="567" w:hanging="567"/>
        <w:rPr>
          <w:sz w:val="24"/>
          <w:szCs w:val="24"/>
          <w:lang w:val="sk-SK"/>
        </w:rPr>
      </w:pPr>
      <w:r w:rsidRPr="00140C10">
        <w:rPr>
          <w:rStyle w:val="FootnoteReference"/>
          <w:sz w:val="24"/>
          <w:szCs w:val="24"/>
          <w:lang w:val="sk-SK"/>
        </w:rPr>
        <w:footnoteRef/>
      </w:r>
      <w:r w:rsidR="00BE1324" w:rsidRPr="00140C10">
        <w:rPr>
          <w:sz w:val="24"/>
          <w:szCs w:val="24"/>
          <w:lang w:val="sk-SK"/>
        </w:rPr>
        <w:t xml:space="preserve"> </w:t>
      </w:r>
      <w:r w:rsidR="00BE1324" w:rsidRPr="00140C10">
        <w:rPr>
          <w:sz w:val="24"/>
          <w:szCs w:val="24"/>
          <w:lang w:val="sk-SK"/>
        </w:rPr>
        <w:tab/>
      </w:r>
      <w:r w:rsidRPr="00140C10">
        <w:rPr>
          <w:sz w:val="24"/>
          <w:szCs w:val="24"/>
          <w:lang w:val="sk-SK"/>
        </w:rPr>
        <w:t xml:space="preserve">Ú. v. EÚ L 330, 20.9.2021, s. 1, ELI: </w:t>
      </w:r>
      <w:r w:rsidR="00384041">
        <w:fldChar w:fldCharType="begin"/>
      </w:r>
      <w:r w:rsidR="00384041" w:rsidRPr="004B485C">
        <w:rPr>
          <w:lang w:val="fi-FI"/>
        </w:rPr>
        <w:instrText>HYPERLINK "http://data.europa.eu/eli/reg/2021/1529/oj"</w:instrText>
      </w:r>
      <w:r w:rsidR="00384041">
        <w:fldChar w:fldCharType="separate"/>
      </w:r>
      <w:r w:rsidRPr="00140C10">
        <w:rPr>
          <w:rStyle w:val="Hyperlink"/>
          <w:sz w:val="24"/>
          <w:szCs w:val="24"/>
          <w:lang w:val="sk-SK"/>
        </w:rPr>
        <w:t>http://data.europa.eu/eli/reg/2021/1529/oj</w:t>
      </w:r>
      <w:r w:rsidR="00384041">
        <w:rPr>
          <w:rStyle w:val="Hyperlink"/>
          <w:sz w:val="24"/>
          <w:szCs w:val="24"/>
          <w:lang w:val="sk-SK"/>
        </w:rPr>
        <w:fldChar w:fldCharType="end"/>
      </w:r>
      <w:r w:rsidRPr="00140C10">
        <w:rPr>
          <w:sz w:val="24"/>
          <w:szCs w:val="24"/>
          <w:lang w:val="sk-SK"/>
        </w:rPr>
        <w:t xml:space="preserve">. </w:t>
      </w:r>
    </w:p>
  </w:footnote>
  <w:footnote w:id="3">
    <w:p w14:paraId="39F93D91" w14:textId="77777777" w:rsidR="00DB5B28" w:rsidRPr="00140C10" w:rsidRDefault="00DB5B28" w:rsidP="00BE1324">
      <w:pPr>
        <w:pStyle w:val="FootnoteText"/>
        <w:ind w:left="567" w:hanging="567"/>
        <w:rPr>
          <w:sz w:val="24"/>
          <w:szCs w:val="24"/>
          <w:lang w:val="sk-SK"/>
        </w:rPr>
      </w:pPr>
      <w:r w:rsidRPr="00140C10">
        <w:rPr>
          <w:rStyle w:val="FootnoteReference"/>
          <w:sz w:val="24"/>
          <w:szCs w:val="24"/>
          <w:lang w:val="sk-SK"/>
        </w:rPr>
        <w:footnoteRef/>
      </w:r>
      <w:r w:rsidR="00BE1324" w:rsidRPr="00140C10">
        <w:rPr>
          <w:sz w:val="24"/>
          <w:szCs w:val="24"/>
          <w:lang w:val="sk-SK"/>
        </w:rPr>
        <w:t xml:space="preserve"> </w:t>
      </w:r>
      <w:r w:rsidR="00BE1324" w:rsidRPr="00140C10">
        <w:rPr>
          <w:sz w:val="24"/>
          <w:szCs w:val="24"/>
          <w:lang w:val="sk-SK"/>
        </w:rPr>
        <w:tab/>
      </w:r>
      <w:r w:rsidRPr="00140C10">
        <w:rPr>
          <w:sz w:val="24"/>
          <w:szCs w:val="24"/>
          <w:lang w:val="sk-SK"/>
        </w:rPr>
        <w:t xml:space="preserve">Ú. v. EÚ L, 2024/1449, 24.5.2024, ELI: </w:t>
      </w:r>
      <w:r w:rsidR="00384041">
        <w:fldChar w:fldCharType="begin"/>
      </w:r>
      <w:r w:rsidR="00384041" w:rsidRPr="004B485C">
        <w:rPr>
          <w:lang w:val="fi-FI"/>
        </w:rPr>
        <w:instrText>HYPERLINK "http://data.europa.eu/eli/reg/2024/1449/oj"</w:instrText>
      </w:r>
      <w:r w:rsidR="00384041">
        <w:fldChar w:fldCharType="separate"/>
      </w:r>
      <w:r w:rsidRPr="00140C10">
        <w:rPr>
          <w:rStyle w:val="Hyperlink"/>
          <w:sz w:val="24"/>
          <w:szCs w:val="24"/>
          <w:lang w:val="sk-SK"/>
        </w:rPr>
        <w:t>http://data.europa.eu/eli/reg/2024/1449/oj</w:t>
      </w:r>
      <w:r w:rsidR="00384041">
        <w:rPr>
          <w:rStyle w:val="Hyperlink"/>
          <w:sz w:val="24"/>
          <w:szCs w:val="24"/>
          <w:lang w:val="sk-SK"/>
        </w:rPr>
        <w:fldChar w:fldCharType="end"/>
      </w:r>
      <w:r w:rsidRPr="00140C10">
        <w:rPr>
          <w:sz w:val="24"/>
          <w:szCs w:val="24"/>
          <w:lang w:val="sk-SK"/>
        </w:rPr>
        <w:t xml:space="preserve">. </w:t>
      </w:r>
    </w:p>
  </w:footnote>
  <w:footnote w:id="4">
    <w:p w14:paraId="29BBAC6F" w14:textId="77777777" w:rsidR="00DB5B28" w:rsidRPr="00140C10" w:rsidRDefault="00DB5B28" w:rsidP="00BE1324">
      <w:pPr>
        <w:pStyle w:val="FootnoteText"/>
        <w:ind w:left="567" w:hanging="567"/>
        <w:rPr>
          <w:sz w:val="24"/>
          <w:szCs w:val="24"/>
          <w:lang w:val="sk-SK"/>
        </w:rPr>
      </w:pPr>
      <w:r w:rsidRPr="00140C10">
        <w:rPr>
          <w:rStyle w:val="FootnoteReference"/>
          <w:sz w:val="24"/>
          <w:szCs w:val="24"/>
          <w:lang w:val="sk-SK"/>
        </w:rPr>
        <w:footnoteRef/>
      </w:r>
      <w:r w:rsidR="00BE1324" w:rsidRPr="00140C10">
        <w:rPr>
          <w:sz w:val="24"/>
          <w:szCs w:val="24"/>
          <w:lang w:val="sk-SK"/>
        </w:rPr>
        <w:t xml:space="preserve"> </w:t>
      </w:r>
      <w:r w:rsidR="00BE1324" w:rsidRPr="00140C10">
        <w:rPr>
          <w:sz w:val="24"/>
          <w:szCs w:val="24"/>
          <w:lang w:val="sk-SK"/>
        </w:rPr>
        <w:tab/>
      </w:r>
      <w:r w:rsidRPr="00140C10">
        <w:rPr>
          <w:sz w:val="24"/>
          <w:szCs w:val="24"/>
          <w:lang w:val="sk-SK"/>
        </w:rPr>
        <w:t>Ú. v. EÚ C 167, 11.5.2023, s. 105.</w:t>
      </w:r>
    </w:p>
  </w:footnote>
  <w:footnote w:id="5">
    <w:p w14:paraId="1FD2E01D" w14:textId="77777777" w:rsidR="00DB5B28" w:rsidRPr="00140C10" w:rsidRDefault="00DB5B28" w:rsidP="00BE1324">
      <w:pPr>
        <w:pStyle w:val="FootnoteText"/>
        <w:ind w:left="567" w:hanging="567"/>
        <w:rPr>
          <w:sz w:val="24"/>
          <w:szCs w:val="24"/>
          <w:lang w:val="sk-SK"/>
        </w:rPr>
      </w:pPr>
      <w:r w:rsidRPr="00140C10">
        <w:rPr>
          <w:rStyle w:val="FootnoteReference"/>
          <w:sz w:val="24"/>
          <w:szCs w:val="24"/>
          <w:lang w:val="sk-SK"/>
        </w:rPr>
        <w:footnoteRef/>
      </w:r>
      <w:r w:rsidR="00BE1324" w:rsidRPr="00140C10">
        <w:rPr>
          <w:sz w:val="24"/>
          <w:szCs w:val="24"/>
          <w:lang w:val="sk-SK"/>
        </w:rPr>
        <w:t xml:space="preserve"> </w:t>
      </w:r>
      <w:r w:rsidR="00BE1324" w:rsidRPr="00140C10">
        <w:rPr>
          <w:sz w:val="24"/>
          <w:szCs w:val="24"/>
          <w:lang w:val="sk-SK"/>
        </w:rPr>
        <w:tab/>
      </w:r>
      <w:r w:rsidRPr="00140C10">
        <w:rPr>
          <w:sz w:val="24"/>
          <w:szCs w:val="24"/>
          <w:lang w:val="sk-SK"/>
        </w:rPr>
        <w:t xml:space="preserve">Ú. v. EÚ C, C/2024/6746, 26.11.2024, ELI: </w:t>
      </w:r>
      <w:r w:rsidR="00384041">
        <w:fldChar w:fldCharType="begin"/>
      </w:r>
      <w:r w:rsidR="00384041" w:rsidRPr="004B485C">
        <w:rPr>
          <w:lang w:val="fi-FI"/>
        </w:rPr>
        <w:instrText>HYPERLINK "http://data.europa.eu/eli/C/2024/6746/oj"</w:instrText>
      </w:r>
      <w:r w:rsidR="00384041">
        <w:fldChar w:fldCharType="separate"/>
      </w:r>
      <w:r w:rsidRPr="00140C10">
        <w:rPr>
          <w:rStyle w:val="Hyperlink"/>
          <w:sz w:val="24"/>
          <w:szCs w:val="24"/>
          <w:lang w:val="sk-SK"/>
        </w:rPr>
        <w:t>http://data.europa.eu/eli/C/2024/6746/oj</w:t>
      </w:r>
      <w:r w:rsidR="00384041">
        <w:rPr>
          <w:rStyle w:val="Hyperlink"/>
          <w:sz w:val="24"/>
          <w:szCs w:val="24"/>
          <w:lang w:val="sk-SK"/>
        </w:rPr>
        <w:fldChar w:fldCharType="end"/>
      </w:r>
      <w:r w:rsidRPr="00140C10">
        <w:rPr>
          <w:sz w:val="24"/>
          <w:szCs w:val="24"/>
          <w:lang w:val="sk-SK"/>
        </w:rPr>
        <w:t xml:space="preserve">. </w:t>
      </w:r>
    </w:p>
  </w:footnote>
  <w:footnote w:id="6">
    <w:p w14:paraId="77EC7E71" w14:textId="77777777" w:rsidR="00DB5B28" w:rsidRPr="00140C10" w:rsidRDefault="00DB5B28" w:rsidP="00BE1324">
      <w:pPr>
        <w:pStyle w:val="FootnoteText"/>
        <w:ind w:left="567" w:hanging="567"/>
        <w:rPr>
          <w:sz w:val="24"/>
          <w:szCs w:val="24"/>
          <w:lang w:val="sk-SK"/>
        </w:rPr>
      </w:pPr>
      <w:r w:rsidRPr="00140C10">
        <w:rPr>
          <w:rStyle w:val="FootnoteReference"/>
          <w:sz w:val="24"/>
          <w:szCs w:val="24"/>
          <w:lang w:val="sk-SK"/>
        </w:rPr>
        <w:footnoteRef/>
      </w:r>
      <w:r w:rsidR="00BE1324" w:rsidRPr="00140C10">
        <w:rPr>
          <w:sz w:val="24"/>
          <w:szCs w:val="24"/>
          <w:lang w:val="sk-SK"/>
        </w:rPr>
        <w:t xml:space="preserve"> </w:t>
      </w:r>
      <w:r w:rsidR="00BE1324" w:rsidRPr="00140C10">
        <w:rPr>
          <w:sz w:val="24"/>
          <w:szCs w:val="24"/>
          <w:lang w:val="sk-SK"/>
        </w:rPr>
        <w:tab/>
      </w:r>
      <w:r w:rsidR="00384041">
        <w:fldChar w:fldCharType="begin"/>
      </w:r>
      <w:r w:rsidR="00384041" w:rsidRPr="004B485C">
        <w:rPr>
          <w:lang w:val="sk-SK"/>
        </w:rPr>
        <w:instrText>HYPERLINK "https://www.osce.org/odihr/elections/montenegro"</w:instrText>
      </w:r>
      <w:r w:rsidR="00384041">
        <w:fldChar w:fldCharType="separate"/>
      </w:r>
      <w:r w:rsidRPr="00140C10">
        <w:rPr>
          <w:rStyle w:val="Hyperlink"/>
          <w:sz w:val="24"/>
          <w:szCs w:val="24"/>
          <w:lang w:val="sk-SK"/>
        </w:rPr>
        <w:t>https://www.osce.org/odihr/elections/montenegro</w:t>
      </w:r>
      <w:r w:rsidR="00384041">
        <w:rPr>
          <w:rStyle w:val="Hyperlink"/>
          <w:sz w:val="24"/>
          <w:szCs w:val="24"/>
          <w:lang w:val="sk-SK"/>
        </w:rPr>
        <w:fldChar w:fldCharType="end"/>
      </w:r>
      <w:r w:rsidRPr="00140C10">
        <w:rPr>
          <w:color w:val="0000FF"/>
          <w:sz w:val="24"/>
          <w:szCs w:val="24"/>
          <w:u w:val="single" w:color="0000FF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9884E" w14:textId="77777777" w:rsidR="00064002" w:rsidRPr="00BE132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86C91" w14:textId="77777777" w:rsidR="00064002" w:rsidRPr="00BE132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50578" w14:textId="77777777" w:rsidR="00064002" w:rsidRPr="00BE132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9267761">
    <w:abstractNumId w:val="9"/>
  </w:num>
  <w:num w:numId="2" w16cid:durableId="311371112">
    <w:abstractNumId w:val="9"/>
  </w:num>
  <w:num w:numId="3" w16cid:durableId="716975701">
    <w:abstractNumId w:val="7"/>
  </w:num>
  <w:num w:numId="4" w16cid:durableId="252857567">
    <w:abstractNumId w:val="7"/>
  </w:num>
  <w:num w:numId="5" w16cid:durableId="220753246">
    <w:abstractNumId w:val="6"/>
  </w:num>
  <w:num w:numId="6" w16cid:durableId="1253660518">
    <w:abstractNumId w:val="6"/>
  </w:num>
  <w:num w:numId="7" w16cid:durableId="1961908821">
    <w:abstractNumId w:val="5"/>
  </w:num>
  <w:num w:numId="8" w16cid:durableId="97873499">
    <w:abstractNumId w:val="5"/>
  </w:num>
  <w:num w:numId="9" w16cid:durableId="1055474294">
    <w:abstractNumId w:val="4"/>
  </w:num>
  <w:num w:numId="10" w16cid:durableId="1868835683">
    <w:abstractNumId w:val="4"/>
  </w:num>
  <w:num w:numId="11" w16cid:durableId="1475179797">
    <w:abstractNumId w:val="8"/>
  </w:num>
  <w:num w:numId="12" w16cid:durableId="325016932">
    <w:abstractNumId w:val="8"/>
  </w:num>
  <w:num w:numId="13" w16cid:durableId="1174415221">
    <w:abstractNumId w:val="3"/>
  </w:num>
  <w:num w:numId="14" w16cid:durableId="319625984">
    <w:abstractNumId w:val="3"/>
  </w:num>
  <w:num w:numId="15" w16cid:durableId="304746004">
    <w:abstractNumId w:val="2"/>
  </w:num>
  <w:num w:numId="16" w16cid:durableId="1800492240">
    <w:abstractNumId w:val="2"/>
  </w:num>
  <w:num w:numId="17" w16cid:durableId="1304240314">
    <w:abstractNumId w:val="1"/>
  </w:num>
  <w:num w:numId="18" w16cid:durableId="1779835090">
    <w:abstractNumId w:val="1"/>
  </w:num>
  <w:num w:numId="19" w16cid:durableId="1753350938">
    <w:abstractNumId w:val="0"/>
  </w:num>
  <w:num w:numId="20" w16cid:durableId="4986705">
    <w:abstractNumId w:val="0"/>
  </w:num>
  <w:num w:numId="21" w16cid:durableId="875241477">
    <w:abstractNumId w:val="9"/>
  </w:num>
  <w:num w:numId="22" w16cid:durableId="1900440746">
    <w:abstractNumId w:val="7"/>
  </w:num>
  <w:num w:numId="23" w16cid:durableId="1877885620">
    <w:abstractNumId w:val="6"/>
  </w:num>
  <w:num w:numId="24" w16cid:durableId="1829400606">
    <w:abstractNumId w:val="5"/>
  </w:num>
  <w:num w:numId="25" w16cid:durableId="311253914">
    <w:abstractNumId w:val="4"/>
  </w:num>
  <w:num w:numId="26" w16cid:durableId="1586761227">
    <w:abstractNumId w:val="8"/>
  </w:num>
  <w:num w:numId="27" w16cid:durableId="1091775339">
    <w:abstractNumId w:val="3"/>
  </w:num>
  <w:num w:numId="28" w16cid:durableId="1688016249">
    <w:abstractNumId w:val="2"/>
  </w:num>
  <w:num w:numId="29" w16cid:durableId="267130060">
    <w:abstractNumId w:val="1"/>
  </w:num>
  <w:num w:numId="30" w16cid:durableId="1167860392">
    <w:abstractNumId w:val="0"/>
  </w:num>
  <w:num w:numId="31" w16cid:durableId="82846461">
    <w:abstractNumId w:val="9"/>
  </w:num>
  <w:num w:numId="32" w16cid:durableId="1514029655">
    <w:abstractNumId w:val="7"/>
  </w:num>
  <w:num w:numId="33" w16cid:durableId="1962958483">
    <w:abstractNumId w:val="6"/>
  </w:num>
  <w:num w:numId="34" w16cid:durableId="1821194417">
    <w:abstractNumId w:val="5"/>
  </w:num>
  <w:num w:numId="35" w16cid:durableId="757679660">
    <w:abstractNumId w:val="4"/>
  </w:num>
  <w:num w:numId="36" w16cid:durableId="509299683">
    <w:abstractNumId w:val="8"/>
  </w:num>
  <w:num w:numId="37" w16cid:durableId="1901359795">
    <w:abstractNumId w:val="3"/>
  </w:num>
  <w:num w:numId="38" w16cid:durableId="135805002">
    <w:abstractNumId w:val="2"/>
  </w:num>
  <w:num w:numId="39" w16cid:durableId="1768499920">
    <w:abstractNumId w:val="1"/>
  </w:num>
  <w:num w:numId="40" w16cid:durableId="581646221">
    <w:abstractNumId w:val="0"/>
  </w:num>
  <w:num w:numId="41" w16cid:durableId="389765452">
    <w:abstractNumId w:val="10"/>
  </w:num>
  <w:num w:numId="42" w16cid:durableId="678001673">
    <w:abstractNumId w:val="10"/>
  </w:num>
  <w:num w:numId="43" w16cid:durableId="1578857579">
    <w:abstractNumId w:val="10"/>
  </w:num>
  <w:num w:numId="44" w16cid:durableId="14159802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3/2025"/>
    <w:docVar w:name="dvlangue" w:val="SK"/>
    <w:docVar w:name="dvnumam" w:val="0"/>
    <w:docVar w:name="dvpe" w:val="769.896"/>
    <w:docVar w:name="dvrapporteur" w:val="Spravodajca: "/>
    <w:docVar w:name="dvtitre" w:val="Uznesenie Európskeho parlamentu z xx. júna 2025 o správach Komisie o Čiernej Hore za roky 2023 a 2024(2025/2020(INI))"/>
  </w:docVars>
  <w:rsids>
    <w:rsidRoot w:val="00EE425D"/>
    <w:rsid w:val="00002272"/>
    <w:rsid w:val="00064002"/>
    <w:rsid w:val="000677B9"/>
    <w:rsid w:val="000831BA"/>
    <w:rsid w:val="0008658E"/>
    <w:rsid w:val="000A42CC"/>
    <w:rsid w:val="000E7DD9"/>
    <w:rsid w:val="0010095E"/>
    <w:rsid w:val="00125B37"/>
    <w:rsid w:val="00140C10"/>
    <w:rsid w:val="00187494"/>
    <w:rsid w:val="001F32AE"/>
    <w:rsid w:val="002767FF"/>
    <w:rsid w:val="00290B4D"/>
    <w:rsid w:val="002B18FE"/>
    <w:rsid w:val="002B5493"/>
    <w:rsid w:val="00343214"/>
    <w:rsid w:val="00361C00"/>
    <w:rsid w:val="00384041"/>
    <w:rsid w:val="00395FA1"/>
    <w:rsid w:val="003E15D4"/>
    <w:rsid w:val="00411CCE"/>
    <w:rsid w:val="0041666E"/>
    <w:rsid w:val="00421060"/>
    <w:rsid w:val="00471C19"/>
    <w:rsid w:val="004867E3"/>
    <w:rsid w:val="00494A28"/>
    <w:rsid w:val="004B485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4A5C"/>
    <w:rsid w:val="00731ADD"/>
    <w:rsid w:val="00734777"/>
    <w:rsid w:val="00747932"/>
    <w:rsid w:val="00751A4A"/>
    <w:rsid w:val="00756632"/>
    <w:rsid w:val="00762C74"/>
    <w:rsid w:val="00786EC0"/>
    <w:rsid w:val="007D1690"/>
    <w:rsid w:val="007E21A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88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324"/>
    <w:rsid w:val="00BE6ADC"/>
    <w:rsid w:val="00C05BFE"/>
    <w:rsid w:val="00C23CD4"/>
    <w:rsid w:val="00C61C0C"/>
    <w:rsid w:val="00C941CB"/>
    <w:rsid w:val="00CB317A"/>
    <w:rsid w:val="00CC2357"/>
    <w:rsid w:val="00CF071A"/>
    <w:rsid w:val="00D058B8"/>
    <w:rsid w:val="00D56C11"/>
    <w:rsid w:val="00D834A0"/>
    <w:rsid w:val="00D872DF"/>
    <w:rsid w:val="00D91E21"/>
    <w:rsid w:val="00DA7FCD"/>
    <w:rsid w:val="00DB5B28"/>
    <w:rsid w:val="00E16AE2"/>
    <w:rsid w:val="00E365E1"/>
    <w:rsid w:val="00E820A4"/>
    <w:rsid w:val="00EB006A"/>
    <w:rsid w:val="00EB4772"/>
    <w:rsid w:val="00ED169E"/>
    <w:rsid w:val="00ED4235"/>
    <w:rsid w:val="00EE425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FBC18A"/>
  <w15:chartTrackingRefBased/>
  <w15:docId w15:val="{90104B75-A239-41FD-B16A-9B1A9D49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5B2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DB5B28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DB5B28"/>
    <w:pPr>
      <w:spacing w:after="240"/>
      <w:jc w:val="center"/>
    </w:pPr>
  </w:style>
  <w:style w:type="character" w:customStyle="1" w:styleId="BoldItalic">
    <w:name w:val="BoldItalic"/>
    <w:uiPriority w:val="1"/>
    <w:rsid w:val="00DB5B28"/>
    <w:rPr>
      <w:b/>
      <w:i/>
      <w:u w:val="none"/>
    </w:rPr>
  </w:style>
  <w:style w:type="character" w:customStyle="1" w:styleId="Italic">
    <w:name w:val="Italic"/>
    <w:uiPriority w:val="1"/>
    <w:rsid w:val="00DB5B28"/>
    <w:rPr>
      <w:i/>
    </w:rPr>
  </w:style>
  <w:style w:type="paragraph" w:customStyle="1" w:styleId="Normal12a24b">
    <w:name w:val="Normal12a24b"/>
    <w:basedOn w:val="Normal"/>
    <w:rsid w:val="00DB5B28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DB5B28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B5B28"/>
    <w:rPr>
      <w:snapToGrid w:val="0"/>
      <w:sz w:val="24"/>
      <w:lang w:val="sk-SK" w:eastAsia="en-US"/>
    </w:rPr>
  </w:style>
  <w:style w:type="paragraph" w:styleId="BalloonText">
    <w:name w:val="Balloon Text"/>
    <w:basedOn w:val="Normal"/>
    <w:link w:val="BalloonTextChar"/>
    <w:rsid w:val="00CB31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317A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0/2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C3E07-A875-4B6D-BB42-BFD6BE825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5722</Words>
  <Characters>35905</Characters>
  <Application>Microsoft Office Word</Application>
  <DocSecurity>0</DocSecurity>
  <Lines>299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2025-07-18T07:13:00Z</dcterms:created>
  <dcterms:modified xsi:type="dcterms:W3CDTF">2025-07-18T07:13:00Z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A10-0093/2025</vt:lpwstr>
  </property>
  <property fmtid="{D5CDD505-2E9C-101B-9397-08002B2CF9AE}" pid="4" name="&lt;Type&gt;">
    <vt:lpwstr>RR</vt:lpwstr>
  </property>
</Properties>
</file>