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3544" w14:paraId="560B72A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D953EA" w14:textId="77777777" w:rsidR="00751A4A" w:rsidRPr="000F3544" w:rsidRDefault="00871BCC" w:rsidP="0010095E">
            <w:pPr>
              <w:pStyle w:val="EPName"/>
            </w:pPr>
            <w:r w:rsidRPr="000F3544">
              <w:t>Evropský parlament</w:t>
            </w:r>
          </w:p>
          <w:p w14:paraId="3D750748" w14:textId="77777777" w:rsidR="00751A4A" w:rsidRPr="000F354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3544">
              <w:t>2024</w:t>
            </w:r>
            <w:r w:rsidR="00817416" w:rsidRPr="000F3544">
              <w:t>-202</w:t>
            </w:r>
            <w:r w:rsidRPr="000F3544">
              <w:t>9</w:t>
            </w:r>
          </w:p>
        </w:tc>
        <w:tc>
          <w:tcPr>
            <w:tcW w:w="2268" w:type="dxa"/>
            <w:shd w:val="clear" w:color="auto" w:fill="auto"/>
          </w:tcPr>
          <w:p w14:paraId="4DA535BD" w14:textId="77777777" w:rsidR="00751A4A" w:rsidRPr="000F3544" w:rsidRDefault="00187494" w:rsidP="0010095E">
            <w:pPr>
              <w:pStyle w:val="EPLogo"/>
            </w:pPr>
            <w:r w:rsidRPr="000F3544">
              <w:rPr>
                <w:noProof/>
                <w:lang w:eastAsia="cs-CZ"/>
              </w:rPr>
              <w:drawing>
                <wp:inline distT="0" distB="0" distL="0" distR="0" wp14:anchorId="00122001" wp14:editId="52626E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3AF040" w14:textId="77777777" w:rsidR="00D058B8" w:rsidRPr="000F3544" w:rsidRDefault="00D058B8" w:rsidP="004C5D52">
      <w:pPr>
        <w:pStyle w:val="LineTop"/>
      </w:pPr>
    </w:p>
    <w:p w14:paraId="401F90D4" w14:textId="77777777" w:rsidR="00680577" w:rsidRPr="000F3544" w:rsidRDefault="00871BCC" w:rsidP="00680577">
      <w:pPr>
        <w:pStyle w:val="EPBodyTA1"/>
      </w:pPr>
      <w:r w:rsidRPr="000F3544">
        <w:t>PŘIJATÉ TEXTY</w:t>
      </w:r>
    </w:p>
    <w:p w14:paraId="1603FD18" w14:textId="77777777" w:rsidR="00D058B8" w:rsidRPr="000F3544" w:rsidRDefault="00D058B8" w:rsidP="00D058B8">
      <w:pPr>
        <w:pStyle w:val="LineBottom"/>
      </w:pPr>
    </w:p>
    <w:p w14:paraId="321140A9" w14:textId="1D102E5A" w:rsidR="00871BCC" w:rsidRPr="000F3544" w:rsidRDefault="00871BCC" w:rsidP="00871BCC">
      <w:pPr>
        <w:pStyle w:val="ATHeading1"/>
      </w:pPr>
      <w:bookmarkStart w:id="0" w:name="TANumber"/>
      <w:r w:rsidRPr="000F3544">
        <w:t>P10_TA(2025)0</w:t>
      </w:r>
      <w:r w:rsidR="004E2EE1">
        <w:t>131</w:t>
      </w:r>
      <w:bookmarkEnd w:id="0"/>
    </w:p>
    <w:p w14:paraId="5AEA5D0C" w14:textId="77777777" w:rsidR="00871BCC" w:rsidRPr="000F3544" w:rsidRDefault="00871BCC" w:rsidP="00871BCC">
      <w:pPr>
        <w:pStyle w:val="ATHeading2"/>
      </w:pPr>
      <w:bookmarkStart w:id="1" w:name="title"/>
      <w:r w:rsidRPr="000F3544">
        <w:t>Zprávy o Moldavsku za roky 2023 a 2024</w:t>
      </w:r>
      <w:bookmarkEnd w:id="1"/>
    </w:p>
    <w:p w14:paraId="6C008467" w14:textId="77777777" w:rsidR="00871BCC" w:rsidRPr="000F3544" w:rsidRDefault="00871BCC" w:rsidP="00871BCC">
      <w:pPr>
        <w:rPr>
          <w:i/>
          <w:vanish/>
        </w:rPr>
      </w:pPr>
      <w:r w:rsidRPr="000F3544">
        <w:rPr>
          <w:i/>
        </w:rPr>
        <w:fldChar w:fldCharType="begin"/>
      </w:r>
      <w:r w:rsidRPr="000F3544">
        <w:rPr>
          <w:i/>
        </w:rPr>
        <w:instrText xml:space="preserve"> TC"(</w:instrText>
      </w:r>
      <w:bookmarkStart w:id="2" w:name="DocNumber"/>
      <w:r w:rsidRPr="000F3544">
        <w:rPr>
          <w:i/>
        </w:rPr>
        <w:instrText>A10-0096/2025</w:instrText>
      </w:r>
      <w:bookmarkEnd w:id="2"/>
      <w:r w:rsidRPr="000F3544">
        <w:rPr>
          <w:i/>
        </w:rPr>
        <w:instrText xml:space="preserve"> - Zpravodaj: Sven Mikser)"\l3 \n&gt; \* MERGEFORMAT </w:instrText>
      </w:r>
      <w:r w:rsidRPr="000F3544">
        <w:rPr>
          <w:i/>
        </w:rPr>
        <w:fldChar w:fldCharType="end"/>
      </w:r>
    </w:p>
    <w:p w14:paraId="6AE44499" w14:textId="77777777" w:rsidR="00871BCC" w:rsidRPr="000F3544" w:rsidRDefault="00871BCC" w:rsidP="00871BCC">
      <w:pPr>
        <w:rPr>
          <w:vanish/>
        </w:rPr>
      </w:pPr>
      <w:bookmarkStart w:id="3" w:name="Commission"/>
      <w:r w:rsidRPr="000F3544">
        <w:rPr>
          <w:vanish/>
        </w:rPr>
        <w:t>Výbor pro zahraniční věci</w:t>
      </w:r>
      <w:bookmarkEnd w:id="3"/>
    </w:p>
    <w:p w14:paraId="5228920C" w14:textId="77777777" w:rsidR="00871BCC" w:rsidRPr="000F3544" w:rsidRDefault="00871BCC" w:rsidP="00871BCC">
      <w:pPr>
        <w:rPr>
          <w:vanish/>
        </w:rPr>
      </w:pPr>
      <w:bookmarkStart w:id="4" w:name="PE"/>
      <w:r w:rsidRPr="000F3544">
        <w:rPr>
          <w:vanish/>
        </w:rPr>
        <w:t>PE768.179</w:t>
      </w:r>
      <w:bookmarkEnd w:id="4"/>
    </w:p>
    <w:p w14:paraId="7977C8EC" w14:textId="77777777" w:rsidR="00871BCC" w:rsidRPr="000F3544" w:rsidRDefault="00871BCC" w:rsidP="00871BCC">
      <w:pPr>
        <w:pStyle w:val="ATHeading3"/>
      </w:pPr>
      <w:bookmarkStart w:id="5" w:name="Sujet"/>
      <w:r w:rsidRPr="000F3544">
        <w:t>Usnesení Evropského parlamentu ze dne 18. června 2025 o zprávách Komise o Moldavsku za roky 2023 a 2024</w:t>
      </w:r>
      <w:bookmarkEnd w:id="5"/>
      <w:r w:rsidRPr="000F3544">
        <w:t xml:space="preserve"> </w:t>
      </w:r>
      <w:bookmarkStart w:id="6" w:name="References"/>
      <w:r w:rsidRPr="000F3544">
        <w:t>(2025/2025(INI))</w:t>
      </w:r>
      <w:bookmarkEnd w:id="6"/>
    </w:p>
    <w:p w14:paraId="303E423C" w14:textId="77777777" w:rsidR="00382249" w:rsidRPr="000F3544" w:rsidRDefault="00382249" w:rsidP="00382249">
      <w:pPr>
        <w:pStyle w:val="EPComma"/>
      </w:pPr>
      <w:r w:rsidRPr="000F3544">
        <w:rPr>
          <w:i/>
        </w:rPr>
        <w:t>Evropský parlament,</w:t>
      </w:r>
    </w:p>
    <w:p w14:paraId="5F7FD634" w14:textId="77777777" w:rsidR="00382249" w:rsidRPr="00EB62EF" w:rsidRDefault="00382249" w:rsidP="00EB62EF">
      <w:pPr>
        <w:pStyle w:val="NormalHanging12a"/>
        <w:rPr>
          <w:szCs w:val="24"/>
        </w:rPr>
      </w:pPr>
      <w:r w:rsidRPr="000F3544">
        <w:t>–</w:t>
      </w:r>
      <w:r w:rsidRPr="000F3544">
        <w:tab/>
        <w:t>s ohledem na sdělení Ko</w:t>
      </w:r>
      <w:r w:rsidRPr="00EB62EF">
        <w:rPr>
          <w:szCs w:val="24"/>
        </w:rPr>
        <w:t>mise ze dne 30. října 2024 nazvané „Sdělení o politice rozšíření EU pro rok 2024“ (</w:t>
      </w:r>
      <w:proofErr w:type="gramStart"/>
      <w:r w:rsidRPr="00EB62EF">
        <w:rPr>
          <w:szCs w:val="24"/>
        </w:rPr>
        <w:t>COM(</w:t>
      </w:r>
      <w:proofErr w:type="gramEnd"/>
      <w:r w:rsidRPr="00EB62EF">
        <w:rPr>
          <w:szCs w:val="24"/>
        </w:rPr>
        <w:t xml:space="preserve">2024)0690), které je doprovázeno pracovním dokumentem útvarů Komise nazvaným „Zpráva o Moldavské republice za rok 2024“ (SWD(2024)0698), </w:t>
      </w:r>
    </w:p>
    <w:p w14:paraId="464983FF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–</w:t>
      </w:r>
      <w:r w:rsidRPr="00EB62EF">
        <w:rPr>
          <w:szCs w:val="24"/>
        </w:rPr>
        <w:tab/>
        <w:t>s ohledem na stanovisko Komise ze dne 17. června 2022 k žádosti Moldavské republiky (dále jen Moldavsko) o členství v Evropské unii (</w:t>
      </w:r>
      <w:proofErr w:type="gramStart"/>
      <w:r w:rsidRPr="00EB62EF">
        <w:rPr>
          <w:szCs w:val="24"/>
        </w:rPr>
        <w:t>COM(</w:t>
      </w:r>
      <w:proofErr w:type="gramEnd"/>
      <w:r w:rsidRPr="00EB62EF">
        <w:rPr>
          <w:szCs w:val="24"/>
        </w:rPr>
        <w:t>2022)0406) a na společný pracovní dokument útvarů Komise ze dne 6. února 2023 nazvaný „Zpráva o provádění dohody o přidružení týkající se Moldavské republiky“ (SWD(2023)0041),</w:t>
      </w:r>
    </w:p>
    <w:p w14:paraId="0D59B830" w14:textId="77777777" w:rsidR="00382249" w:rsidRPr="00EB62EF" w:rsidRDefault="00382249" w:rsidP="00EB62EF">
      <w:pPr>
        <w:pStyle w:val="NormalHanging12a"/>
        <w:rPr>
          <w:i/>
          <w:szCs w:val="24"/>
        </w:rPr>
      </w:pPr>
      <w:r w:rsidRPr="00EB62EF">
        <w:rPr>
          <w:i/>
          <w:szCs w:val="24"/>
        </w:rPr>
        <w:t>–</w:t>
      </w:r>
      <w:r w:rsidRPr="00EB62EF">
        <w:rPr>
          <w:szCs w:val="24"/>
        </w:rPr>
        <w:tab/>
        <w:t>s ohledem na nařízení Evropského parlamentu a Rady (EU) 2025/535 ze dne 18. března 2025 o zřízení Nástroje pro reformy a růst pro Moldavskou republiku</w:t>
      </w:r>
      <w:r w:rsidRPr="00EB62EF">
        <w:rPr>
          <w:rStyle w:val="FootnoteReference"/>
          <w:szCs w:val="24"/>
        </w:rPr>
        <w:footnoteReference w:id="1"/>
      </w:r>
      <w:r w:rsidRPr="00EB62EF">
        <w:rPr>
          <w:szCs w:val="24"/>
        </w:rPr>
        <w:t>,</w:t>
      </w:r>
    </w:p>
    <w:p w14:paraId="45FBC827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–</w:t>
      </w:r>
      <w:r w:rsidRPr="00EB62EF">
        <w:rPr>
          <w:szCs w:val="24"/>
        </w:rPr>
        <w:tab/>
        <w:t>s ohledem na svá předchozí usnesení o Moldavsku,</w:t>
      </w:r>
    </w:p>
    <w:p w14:paraId="673A5B47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–</w:t>
      </w:r>
      <w:r w:rsidRPr="00EB62EF">
        <w:rPr>
          <w:szCs w:val="24"/>
        </w:rPr>
        <w:tab/>
        <w:t xml:space="preserve">s ohledem na analytickou zprávu Komise ze dne 1. února 2023 o sbližování právních předpisů Moldavska s </w:t>
      </w:r>
      <w:proofErr w:type="spellStart"/>
      <w:r w:rsidRPr="00CE6FC7">
        <w:rPr>
          <w:i/>
          <w:iCs/>
          <w:szCs w:val="24"/>
        </w:rPr>
        <w:t>acquis</w:t>
      </w:r>
      <w:proofErr w:type="spellEnd"/>
      <w:r w:rsidRPr="00EB62EF">
        <w:rPr>
          <w:szCs w:val="24"/>
        </w:rPr>
        <w:t xml:space="preserve"> EU (SWD(2023)0032),</w:t>
      </w:r>
    </w:p>
    <w:p w14:paraId="44CCAE33" w14:textId="4BF9B71B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–</w:t>
      </w:r>
      <w:r w:rsidRPr="00EB62EF">
        <w:rPr>
          <w:szCs w:val="24"/>
        </w:rPr>
        <w:tab/>
        <w:t>s ohledem na návrh nařízení Evropského parlamentu a Rady o zřízení Nástroje pro reformy a růst pro Moldavsko ze dne 9. října 2024 (</w:t>
      </w:r>
      <w:proofErr w:type="gramStart"/>
      <w:r w:rsidR="00833337" w:rsidRPr="00833337">
        <w:rPr>
          <w:szCs w:val="24"/>
        </w:rPr>
        <w:t>COM</w:t>
      </w:r>
      <w:r w:rsidR="0027182F">
        <w:rPr>
          <w:szCs w:val="24"/>
        </w:rPr>
        <w:t>(</w:t>
      </w:r>
      <w:proofErr w:type="gramEnd"/>
      <w:r w:rsidR="00833337" w:rsidRPr="00833337">
        <w:rPr>
          <w:szCs w:val="24"/>
        </w:rPr>
        <w:t>2024</w:t>
      </w:r>
      <w:r w:rsidR="0027182F">
        <w:rPr>
          <w:szCs w:val="24"/>
        </w:rPr>
        <w:t>)</w:t>
      </w:r>
      <w:r w:rsidR="00833337" w:rsidRPr="00833337">
        <w:rPr>
          <w:szCs w:val="24"/>
        </w:rPr>
        <w:t>0469</w:t>
      </w:r>
      <w:r w:rsidRPr="00EB62EF">
        <w:rPr>
          <w:szCs w:val="24"/>
        </w:rPr>
        <w:t>),</w:t>
      </w:r>
    </w:p>
    <w:p w14:paraId="7B43BA95" w14:textId="101A280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–</w:t>
      </w:r>
      <w:r w:rsidRPr="00EB62EF">
        <w:rPr>
          <w:szCs w:val="24"/>
        </w:rPr>
        <w:tab/>
        <w:t>s ohledem na sdělení Komise ze dne 9. října 2024 nazvané „Sdělení o plánu růstu pro Moldavsko“ (</w:t>
      </w:r>
      <w:proofErr w:type="gramStart"/>
      <w:r w:rsidR="00833337">
        <w:rPr>
          <w:szCs w:val="24"/>
        </w:rPr>
        <w:t>COM</w:t>
      </w:r>
      <w:r w:rsidR="0027182F">
        <w:rPr>
          <w:szCs w:val="24"/>
        </w:rPr>
        <w:t>(</w:t>
      </w:r>
      <w:proofErr w:type="gramEnd"/>
      <w:r w:rsidR="00833337">
        <w:rPr>
          <w:szCs w:val="24"/>
        </w:rPr>
        <w:t>2024</w:t>
      </w:r>
      <w:r w:rsidR="0027182F">
        <w:rPr>
          <w:szCs w:val="24"/>
        </w:rPr>
        <w:t>)</w:t>
      </w:r>
      <w:r w:rsidR="00833337">
        <w:rPr>
          <w:szCs w:val="24"/>
        </w:rPr>
        <w:t>0470</w:t>
      </w:r>
      <w:r w:rsidRPr="00EB62EF">
        <w:rPr>
          <w:szCs w:val="24"/>
        </w:rPr>
        <w:t>),</w:t>
      </w:r>
    </w:p>
    <w:p w14:paraId="7059E115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–</w:t>
      </w:r>
      <w:r w:rsidRPr="00EB62EF">
        <w:rPr>
          <w:szCs w:val="24"/>
        </w:rPr>
        <w:tab/>
        <w:t>s ohledem na závěry Rady ze dne 17. prosince 2024 o rozšíření,</w:t>
      </w:r>
    </w:p>
    <w:p w14:paraId="431CE5AE" w14:textId="4F2D7B11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–</w:t>
      </w:r>
      <w:r w:rsidRPr="00EB62EF">
        <w:rPr>
          <w:szCs w:val="24"/>
        </w:rPr>
        <w:tab/>
        <w:t xml:space="preserve">s ohledem na návštěvu delegace Výboru pro zahraniční věci v Moldavsku ve dnech </w:t>
      </w:r>
      <w:r w:rsidRPr="00EB62EF">
        <w:rPr>
          <w:szCs w:val="24"/>
        </w:rPr>
        <w:lastRenderedPageBreak/>
        <w:t>25.</w:t>
      </w:r>
      <w:r w:rsidR="00202CBF" w:rsidRPr="00EB62EF">
        <w:rPr>
          <w:szCs w:val="24"/>
        </w:rPr>
        <w:t> </w:t>
      </w:r>
      <w:r w:rsidRPr="00EB62EF">
        <w:rPr>
          <w:szCs w:val="24"/>
        </w:rPr>
        <w:t>až 27. února 2025,</w:t>
      </w:r>
    </w:p>
    <w:p w14:paraId="46A41236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–</w:t>
      </w:r>
      <w:r w:rsidRPr="00EB62EF">
        <w:rPr>
          <w:szCs w:val="24"/>
        </w:rPr>
        <w:tab/>
        <w:t>s ohledem na článek 55 jednacího řádu,</w:t>
      </w:r>
    </w:p>
    <w:p w14:paraId="1F5B7ED5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–</w:t>
      </w:r>
      <w:r w:rsidRPr="00EB62EF">
        <w:rPr>
          <w:szCs w:val="24"/>
        </w:rPr>
        <w:tab/>
        <w:t>s ohledem na zprávu Výboru pro zahraniční věci (A10-0096/2025),</w:t>
      </w:r>
    </w:p>
    <w:p w14:paraId="141D635C" w14:textId="1ED707D4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A.</w:t>
      </w:r>
      <w:r w:rsidRPr="00EB62EF">
        <w:rPr>
          <w:szCs w:val="24"/>
        </w:rPr>
        <w:tab/>
        <w:t>vzhledem k tomu, že v návaznosti na žádost Moldavska o členství v EU ze dne 3.</w:t>
      </w:r>
      <w:r w:rsidR="004720F5" w:rsidRPr="00EB62EF">
        <w:rPr>
          <w:szCs w:val="24"/>
        </w:rPr>
        <w:t> </w:t>
      </w:r>
      <w:r w:rsidRPr="00EB62EF">
        <w:rPr>
          <w:szCs w:val="24"/>
        </w:rPr>
        <w:t>března 2022 mu Evropská rada udělila dne 23. června 2022 kandidátský status a následně se dne 14. prosince 2023 rozhodla zahájit s ním přístupová jednání;</w:t>
      </w:r>
    </w:p>
    <w:p w14:paraId="467979D1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B.</w:t>
      </w:r>
      <w:r w:rsidRPr="00EB62EF">
        <w:rPr>
          <w:szCs w:val="24"/>
        </w:rPr>
        <w:tab/>
        <w:t>vzhledem k tomu, že jednání o přistoupení Moldavska k EU byla zahájena v červnu 2024;</w:t>
      </w:r>
    </w:p>
    <w:p w14:paraId="3D432603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C.</w:t>
      </w:r>
      <w:r w:rsidRPr="00EB62EF">
        <w:rPr>
          <w:szCs w:val="24"/>
        </w:rPr>
        <w:tab/>
        <w:t>vzhledem k tomu, že v Moldavsku se 20. října 2024 konalo referendum, jehož výsledek potvrdil zakotvení přistoupení k Evropské unii v ústavě, a to navzdory různým formám manipulativního zasahování s cílem destabilizovat zemi, nezákonnému financování politických subjektů, dezinformačním kampaním a kybernetickým útokům;</w:t>
      </w:r>
    </w:p>
    <w:p w14:paraId="541607D2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D.</w:t>
      </w:r>
      <w:r w:rsidRPr="00EB62EF">
        <w:rPr>
          <w:szCs w:val="24"/>
        </w:rPr>
        <w:tab/>
        <w:t>vzhledem k tomu, že základem politického přidružení mezi EU a Moldavskem a jejich vzájemné hospodářské integrace zůstává dohoda o přidružení</w:t>
      </w:r>
      <w:r w:rsidRPr="00EB62EF">
        <w:rPr>
          <w:rStyle w:val="FootnoteReference"/>
          <w:color w:val="000000"/>
          <w:szCs w:val="24"/>
        </w:rPr>
        <w:footnoteReference w:id="2"/>
      </w:r>
      <w:r w:rsidRPr="00EB62EF">
        <w:rPr>
          <w:szCs w:val="24"/>
        </w:rPr>
        <w:t>, jejíž součástí je prohloubená a komplexní zóna volného obchodu, a že mezi oběma stranami probíhá pravidelný politický a hospodářský dialog;</w:t>
      </w:r>
    </w:p>
    <w:p w14:paraId="6C36EF1C" w14:textId="77777777" w:rsidR="00382249" w:rsidRPr="00EB62EF" w:rsidRDefault="00382249" w:rsidP="00CE6FC7">
      <w:pPr>
        <w:pStyle w:val="NormalHanging12a"/>
        <w:ind w:left="0" w:firstLine="0"/>
        <w:rPr>
          <w:b/>
          <w:szCs w:val="24"/>
        </w:rPr>
      </w:pPr>
      <w:r w:rsidRPr="00EB62EF">
        <w:rPr>
          <w:b/>
          <w:i/>
          <w:szCs w:val="24"/>
        </w:rPr>
        <w:t>Pokrok reforem souvisejících s přistoupením k EU, zejména v oblasti právního státu a správy věcí veřejných</w:t>
      </w:r>
    </w:p>
    <w:p w14:paraId="127FEDA0" w14:textId="77777777" w:rsidR="00382249" w:rsidRPr="00EB62EF" w:rsidRDefault="00382249" w:rsidP="00EB62EF">
      <w:pPr>
        <w:pStyle w:val="NormalHanging12a"/>
        <w:rPr>
          <w:szCs w:val="24"/>
          <w:shd w:val="clear" w:color="auto" w:fill="FFFFFF"/>
        </w:rPr>
      </w:pPr>
      <w:r w:rsidRPr="00EB62EF">
        <w:rPr>
          <w:szCs w:val="24"/>
        </w:rPr>
        <w:t>1.</w:t>
      </w:r>
      <w:r w:rsidRPr="00EB62EF">
        <w:rPr>
          <w:szCs w:val="24"/>
        </w:rPr>
        <w:tab/>
      </w:r>
      <w:r w:rsidRPr="00EB62EF">
        <w:rPr>
          <w:szCs w:val="24"/>
          <w:shd w:val="clear" w:color="auto" w:fill="FFFFFF"/>
        </w:rPr>
        <w:t>oceňuje příkladné odhodlání Moldavska a jeho vytrvalý pokrok v oblasti reforem souvisejících s přistoupením k EU navzdory významným vnitřním a vnějším výzvám, jako je plošná útočná válka proti Ukrajině, díky kterému bylo možné zahájit v červnu 2024 přístupová jednání, tedy půl roku po příslušném rozhodnutí Evropské rady ze dne 14. prosince 2023 a méně než dva roky po podání žádosti o členství v EU dne 3. března 2022;</w:t>
      </w:r>
    </w:p>
    <w:p w14:paraId="50CBCEB1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2.</w:t>
      </w:r>
      <w:r w:rsidRPr="00EB62EF">
        <w:rPr>
          <w:szCs w:val="24"/>
        </w:rPr>
        <w:tab/>
        <w:t xml:space="preserve">bere na vědomí, že vztahy mezi EU a Moldavskem vstoupily do nové fáze intenzivnější spolupráce, postupného sbližování ve všech oblastech politiky </w:t>
      </w:r>
      <w:proofErr w:type="spellStart"/>
      <w:r w:rsidRPr="00EB62EF">
        <w:rPr>
          <w:i/>
          <w:iCs/>
          <w:szCs w:val="24"/>
        </w:rPr>
        <w:t>acquis</w:t>
      </w:r>
      <w:proofErr w:type="spellEnd"/>
      <w:r w:rsidRPr="00EB62EF">
        <w:rPr>
          <w:szCs w:val="24"/>
        </w:rPr>
        <w:t xml:space="preserve"> EU a pokroku na cestě k integraci do EU; vítá pokrok, jehož bylo dosaženo v rámci dvoustranného procesu prověřování od jeho zahájení v červenci 2024, a nedávné ukončení prověřování tematického okruhu 1 (základní zásady) a </w:t>
      </w:r>
      <w:proofErr w:type="spellStart"/>
      <w:r w:rsidRPr="00EB62EF">
        <w:rPr>
          <w:szCs w:val="24"/>
        </w:rPr>
        <w:t>tématického</w:t>
      </w:r>
      <w:proofErr w:type="spellEnd"/>
      <w:r w:rsidRPr="00EB62EF">
        <w:rPr>
          <w:szCs w:val="24"/>
        </w:rPr>
        <w:t xml:space="preserve"> okruhu 2 (vnitřní trh); oceňuje a podporuje ambice moldavské vlády zahájit v nadcházejících měsících jednání o tematickém okruhu 1 (základní zásady), tematickém okruhu 2 (vnitřní trh) a tematickém okruhu 6 (vnější vztahy), jakož i dokončit proces prověřování do konce roku 2025 pro všechny okruhy; vyzývá Komisi, aby posílila svou podporu moldavské vlády s cílem zajistit úspěšné dosažení těchto klíčových cílů; vybízí Radu, aby ve svých rozhodnutích o procesu vyjednávání s Moldavskem zaujala přístup založený na zásluhách; odsuzuje bilateralizaci a účelové využívání procesu přistoupení k EU, jako je například odpor maďarské vlády k zahájení jednání o klastrech 1, 2 a 6, který vedl ke </w:t>
      </w:r>
      <w:r w:rsidRPr="00EB62EF">
        <w:rPr>
          <w:szCs w:val="24"/>
        </w:rPr>
        <w:lastRenderedPageBreak/>
        <w:t>zpoždění a slouží ruskému cíli bránit evropské integraci regionu;</w:t>
      </w:r>
    </w:p>
    <w:p w14:paraId="35C545A7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3.</w:t>
      </w:r>
      <w:r w:rsidRPr="00EB62EF">
        <w:rPr>
          <w:szCs w:val="24"/>
        </w:rPr>
        <w:tab/>
        <w:t>je toho názoru, že má-li Moldavsko upevnit svůj současný pokrok v oblasti reforem souvisejících s přistoupením k EU a udržet si ambiciózní tempo na cestě k členství v EU, bude potřebovat silnou a skutečnou podporu parlamentní většiny po volbách na podzim 2025;</w:t>
      </w:r>
    </w:p>
    <w:p w14:paraId="6C0DD9FA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4.</w:t>
      </w:r>
      <w:r w:rsidRPr="00EB62EF">
        <w:rPr>
          <w:szCs w:val="24"/>
        </w:rPr>
        <w:tab/>
        <w:t>bere na vědomí, že výsledky ústavního referenda o přistoupení k EU, které se uskutečnilo dne 20. října 2024, a prezidentských voleb konaných ve dnech 20. října a 3. listopadu 2024 potvrdily, že většina lidu Moldavska podporuje cíl této země stát se členem EU i nutné proevropské reformy; zdůrazňuje, že toto referendum a volby proběhly profesionálně a s mimořádným smyslem pro povinnost a odhodláním, a to navzdory masivní hybridní kampani Ruska a jeho zástupců, kteří využili různé nástroje, jako je strategické využívání sociálních médií, obsah generovaný umělou inteligencí, „úniky“ falešných dokumentů, zastrašování, které zahrnovalo různé formy manipulativního zasahování s cílem destabilizovat zemi, nelegální financování politických aktérů, kupování hlasů, včetně instrumentalizace části duchovenstva metropole Kišiněv a celého Moldavska ze strany Ruska, dezinformační kampaně a kybernetické útoky; připomíná, že tyto útoky měly čtyři klíčové strategie: rozdělit společnost, zbavit instituce legitimity, diskreditovat demokratické subjekty a podporovat ruský vliv; vítá výsledek moldavského ústavního referenda z roku 2024, které zakotvilo závazek vstoupit do EU v ústavě země; důrazně odsuzuje rostoucí pokusy Ruska, proruských oligarchů a ruskými silami podporovaných místních zástupců destabilizovat Moldavsko, zasévat rozkol v moldavské společnosti a zvrátit proevropské směřování země prostřednictvím hybridních útoků, zneužívání dodávek energie, dezinformačních, manipulačních a zastrašovacích kampaní namířených proti organizacím občanské společnosti a nezávislým sdělovacím prostředkům;</w:t>
      </w:r>
    </w:p>
    <w:p w14:paraId="6A704281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5.</w:t>
      </w:r>
      <w:r w:rsidRPr="00EB62EF">
        <w:rPr>
          <w:szCs w:val="24"/>
        </w:rPr>
        <w:tab/>
      </w:r>
      <w:r w:rsidRPr="00EB62EF">
        <w:rPr>
          <w:rStyle w:val="NormalHanging12aChar"/>
          <w:color w:val="000000"/>
          <w:szCs w:val="24"/>
        </w:rPr>
        <w:t xml:space="preserve">konstatuje, že nadcházející parlamentní volby dne 28. září 2025 budou mít zásadní význam pro další směřování Moldavska do EU; je znepokojen tím, že před těmito volbami pravděpodobně dojde k zintenzivnění zahraničního, zejména ruského, nepřátelského vměšování a hybridních útoků; vyzývá EU, aby zvýšila svou podporu moldavské vlády, včetně finananční a technické podpory, v jejím úsilí bojovat proti vměšování do demokratických procesů země, mimo jiné prostřednictvím dalších sankčních seznamů, prodloužení a upevnění mandátu partnerské mise EU v Moldavsku (EUPM) a jejích zdrojů, poskytnutí další podpory této misi a sdílení odborných znalostí v oblasti zahraniční manipulace s informacemi a vměšování, boje proti hybridním hrozbám a posilování odolnosti; </w:t>
      </w:r>
      <w:bookmarkStart w:id="7" w:name="_Hlk194942091"/>
      <w:r w:rsidRPr="00EB62EF">
        <w:rPr>
          <w:rStyle w:val="NormalHanging12aChar"/>
          <w:color w:val="000000"/>
          <w:szCs w:val="24"/>
        </w:rPr>
        <w:t>vyzývá rovněž k tomu, aby moldavské orgány a EU zvýšily úsilí na podporu nezávislých sdělovacích prostředků a prodemokratické občanské společnosti s cílem umožnit novinářům na vnitrostátní a regionální úrovni bojovat proti zahraniční manipulaci s informacemi a vměšování a posílit digitální gramotnost;</w:t>
      </w:r>
      <w:bookmarkEnd w:id="7"/>
    </w:p>
    <w:p w14:paraId="6FB44446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6.</w:t>
      </w:r>
      <w:r w:rsidRPr="00EB62EF">
        <w:rPr>
          <w:szCs w:val="24"/>
        </w:rPr>
        <w:tab/>
        <w:t>zdůrazňuje význam strategické komunikace, odhalování a potírání falešných informací o EU a jejích politikách šířených Ruskem a zdůrazňování konkrétních krátkodobých a dlouhodobých přínosů přistoupení k EU pro obyvatele celého Moldavska, se zvláštním zřetelem na regiony jako Gagauzie a socioekonomicky znevýhodněné komunity ve venkovských oblastech;</w:t>
      </w:r>
      <w:bookmarkStart w:id="8" w:name="_Hlk196923727"/>
      <w:r w:rsidRPr="00EB62EF">
        <w:rPr>
          <w:szCs w:val="24"/>
        </w:rPr>
        <w:t xml:space="preserve"> </w:t>
      </w:r>
      <w:bookmarkEnd w:id="8"/>
      <w:r w:rsidRPr="00EB62EF">
        <w:rPr>
          <w:szCs w:val="24"/>
        </w:rPr>
        <w:t>vyzývá EU, aby v této oblasti svou podporu Moldavsku zvýšila;</w:t>
      </w:r>
    </w:p>
    <w:p w14:paraId="71AC2378" w14:textId="77777777" w:rsidR="00382249" w:rsidRPr="00EB62EF" w:rsidRDefault="00382249" w:rsidP="00EB62EF">
      <w:pPr>
        <w:pStyle w:val="NormalHanging12a"/>
        <w:rPr>
          <w:b/>
          <w:szCs w:val="24"/>
        </w:rPr>
      </w:pPr>
      <w:r w:rsidRPr="00EB62EF">
        <w:rPr>
          <w:b/>
          <w:szCs w:val="24"/>
        </w:rPr>
        <w:t>Sociálně-ekonomické reformy</w:t>
      </w:r>
    </w:p>
    <w:p w14:paraId="73D99E1D" w14:textId="77777777" w:rsidR="00382249" w:rsidRPr="00EB62EF" w:rsidRDefault="00382249" w:rsidP="00EB62EF">
      <w:pPr>
        <w:pStyle w:val="NormalHanging12a"/>
        <w:rPr>
          <w:rStyle w:val="NormalHanging12aChar"/>
          <w:color w:val="000000"/>
          <w:szCs w:val="24"/>
        </w:rPr>
      </w:pPr>
      <w:r w:rsidRPr="00EB62EF">
        <w:rPr>
          <w:szCs w:val="24"/>
        </w:rPr>
        <w:lastRenderedPageBreak/>
        <w:t>7.</w:t>
      </w:r>
      <w:r w:rsidRPr="00EB62EF">
        <w:rPr>
          <w:szCs w:val="24"/>
        </w:rPr>
        <w:tab/>
      </w:r>
      <w:r w:rsidRPr="00EB62EF">
        <w:rPr>
          <w:rStyle w:val="NormalHanging12aChar"/>
          <w:color w:val="000000"/>
          <w:szCs w:val="24"/>
        </w:rPr>
        <w:t>vítá plán růstu pro Moldavsko vypracovaný Komisí, jehož cílem je podpořit sociálně-ekonomické a zásadní reformy Moldavska a zlepšit přístup této země na jednotný trh EU; vítá Nástroj pro reformy a růst pro Moldavsko v hodnotě 2,02 miliardy EUR, na němž je plán růstu vystavěn a který je největším balíčkem finanční podpory EU pro Moldavsko od jeho nezávislosti; zdůrazňuje, že tento nástroj poskytuje Moldavsku nevratnou podporu ve výši 520 milionů EUR a maximální částku 1,5 miliardy v půjčkách s 18% míru předběžného financování, což dokazuje, že si EU uvědomuje naléhavost podpory reforem Moldavska a jeho odolnosti; vyzývá Komisi, aby podpořila moldavské orgány při provádění programu reforem nezbytného pro účinné čerpání finančních prostředků z tohoto nástroje a zajistila, aby moldavští občané výhody této podpory rychle pocítili; očekává oznámené posouzení dopadů Nástroje pro reformy a růst pro Moldavsko ve formě pracovního dokumentu útvarů Komise do tří měsíců od přijetí příslušného nařízení;</w:t>
      </w:r>
    </w:p>
    <w:p w14:paraId="7E93B18C" w14:textId="3A5422E3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8.</w:t>
      </w:r>
      <w:r w:rsidRPr="00EB62EF">
        <w:rPr>
          <w:szCs w:val="24"/>
        </w:rPr>
        <w:tab/>
        <w:t>vyzývá Komisi, aby do příštího víceletého finančního rámce EU zahrnula dostatečné prostředky určené na předvstupní pomoc Moldavsku a aby začala připravovat Moldavsko na účinné využívání budoucích předvstupních fondů jako nově jmenované kandidátské země EU</w:t>
      </w:r>
      <w:r w:rsidR="008E525A">
        <w:rPr>
          <w:szCs w:val="24"/>
        </w:rPr>
        <w:t>;</w:t>
      </w:r>
    </w:p>
    <w:p w14:paraId="030F412C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9.</w:t>
      </w:r>
      <w:r w:rsidRPr="00EB62EF">
        <w:rPr>
          <w:szCs w:val="24"/>
        </w:rPr>
        <w:tab/>
        <w:t xml:space="preserve">opakuje, že podporu moldavského obyvatelstva pro evropskou integraci lze posílit hmatatelným zlepšením jeho životních podmínek, posílením státních institucí a veřejné správy s cílem využívat finanční prostředky na projekty efektivně a provádět a prosazovat </w:t>
      </w:r>
      <w:r w:rsidRPr="00EB62EF">
        <w:rPr>
          <w:i/>
          <w:szCs w:val="24"/>
        </w:rPr>
        <w:t>acquis</w:t>
      </w:r>
      <w:r w:rsidRPr="00EB62EF">
        <w:rPr>
          <w:szCs w:val="24"/>
        </w:rPr>
        <w:t xml:space="preserve"> EU, zajistit důkladný systém sociálního zabezpečení, bojovat proti korupci a vlivu oligarchů a zajistit odpovědnost příslušných aktérů; vyzývá moldavské orgány, aby i nadále zajišťovaly smysluplné zapojení organizací občanské společnosti, diaspory, zranitelných skupin a sociálních partnerů, včetně odborů, s cílem posílit důvěru v demokratické instituce a procesy a zvýšit podporu veřejnosti pro reformy související s přistoupením k EU;</w:t>
      </w:r>
    </w:p>
    <w:p w14:paraId="7B43EB74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10.</w:t>
      </w:r>
      <w:r w:rsidRPr="00EB62EF">
        <w:rPr>
          <w:szCs w:val="24"/>
        </w:rPr>
        <w:tab/>
        <w:t>zdůrazňuje význam organizací občanské společnosti při sledování správy věcí veřejných a pokroku v reformách souvisejících s EU, při prosazování transparentnosti, obraně lidských práv a boji proti dezinformacím a vnějšímu škodlivému vlivu protireformních politických aktérů a aktérů zastupujících ruské zájmy;</w:t>
      </w:r>
    </w:p>
    <w:p w14:paraId="77ACC35E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11.</w:t>
      </w:r>
      <w:r w:rsidRPr="00EB62EF">
        <w:rPr>
          <w:szCs w:val="24"/>
        </w:rPr>
        <w:tab/>
        <w:t>vyzývá ke komplexním reformám sociální politiky, které by řešily chudobu a stálou masivní emigraci, lepší pokrytí zdravotní péčí, posílení veřejného vzdělávání, zlepšení pracovních podmínek a rozvoj odpovídajících systémů sociální ochrany; zdůrazňuje, že hospodářský rozvoj musí být inkluzivní a udržitelný a musí zahrnovat příležitosti pro malé a střední podniky; zdůrazňuje potřebu cílených sociálních investic do mladých lidí a venkovských oblastí Moldavska s cílem snížit regionální rozdíly a zajistit sociální soudržnost;</w:t>
      </w:r>
    </w:p>
    <w:p w14:paraId="39CFD23A" w14:textId="48CB3442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12.</w:t>
      </w:r>
      <w:r w:rsidRPr="00EB62EF">
        <w:rPr>
          <w:szCs w:val="24"/>
        </w:rPr>
        <w:tab/>
      </w:r>
      <w:r w:rsidRPr="00EB62EF">
        <w:rPr>
          <w:rStyle w:val="NormalHanging12aChar"/>
          <w:color w:val="000000"/>
          <w:szCs w:val="24"/>
        </w:rPr>
        <w:t>vyzývá k tomu, aby byl kladen zvláštní důraz na účast Moldavska na sociálních, vzdělávacích a kulturních programech EU s cílem podpořit sociální sbližování, inovace a technologický pokrok</w:t>
      </w:r>
      <w:r w:rsidR="008E525A">
        <w:rPr>
          <w:rStyle w:val="NormalHanging12aChar"/>
          <w:color w:val="000000"/>
          <w:szCs w:val="24"/>
        </w:rPr>
        <w:t>;</w:t>
      </w:r>
    </w:p>
    <w:p w14:paraId="74C0D641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13.</w:t>
      </w:r>
      <w:r w:rsidRPr="00EB62EF">
        <w:rPr>
          <w:szCs w:val="24"/>
        </w:rPr>
        <w:tab/>
        <w:t>vyzývá Moldavsko, aby provedlo program reforem, ve kterém jsou nastíněny klíčové sociálně-ekonomické a zásadní reformy, jejichž účelem je urychlit růst a konkurenceschopnost moldavského hospodářství a jeho sbližování s EU na základě posíleného provádění dohody o přidružení / prohloubené a komplexní zóny volného obchodu;</w:t>
      </w:r>
    </w:p>
    <w:p w14:paraId="24E87DFE" w14:textId="7BEB7B5F" w:rsidR="00382249" w:rsidRPr="00EB62EF" w:rsidRDefault="00382249" w:rsidP="00EB62EF">
      <w:pPr>
        <w:pStyle w:val="NormalHanging12a"/>
        <w:rPr>
          <w:rStyle w:val="NormalHanging12aChar"/>
          <w:color w:val="000000"/>
          <w:szCs w:val="24"/>
        </w:rPr>
      </w:pPr>
      <w:r w:rsidRPr="00EB62EF">
        <w:rPr>
          <w:szCs w:val="24"/>
        </w:rPr>
        <w:lastRenderedPageBreak/>
        <w:t>14.</w:t>
      </w:r>
      <w:r w:rsidRPr="00EB62EF">
        <w:rPr>
          <w:szCs w:val="24"/>
        </w:rPr>
        <w:tab/>
      </w:r>
      <w:r w:rsidRPr="00EB62EF">
        <w:rPr>
          <w:rStyle w:val="NormalHanging12aChar"/>
          <w:color w:val="000000"/>
          <w:szCs w:val="24"/>
        </w:rPr>
        <w:t xml:space="preserve">důrazně vyzývá k urychlení postupné integrace Moldavska do EU a jednotného trhu prostřednictvím dalšího sbližování jeho právního a regulačního rámce s </w:t>
      </w:r>
      <w:r w:rsidRPr="00EB62EF">
        <w:rPr>
          <w:rStyle w:val="NormalHanging12aChar"/>
          <w:i/>
          <w:iCs/>
          <w:color w:val="000000"/>
          <w:szCs w:val="24"/>
        </w:rPr>
        <w:t>acquis</w:t>
      </w:r>
      <w:r w:rsidRPr="00EB62EF">
        <w:rPr>
          <w:rStyle w:val="NormalHanging12aChar"/>
          <w:color w:val="000000"/>
          <w:szCs w:val="24"/>
        </w:rPr>
        <w:t xml:space="preserve"> EU a zapojení země do dalších programů a iniciativ EU, mimo jiné udělením statusu pozorovatele moldavským úředníkům a odborníkům v příslušných orgánech EU, což by přineslo hmatatelné socioekonomické přínosy ještě před formálním přistoupením země k EU; blahopřeje Moldavsku k jeho začlenění do zeměpisné působnosti platebních schémat jednotné oblasti pro platby v eurech, což usnadní převody v eurech a sníží náklady moldavských občanů a podniků; </w:t>
      </w:r>
      <w:r w:rsidR="004E2EE1" w:rsidRPr="00CE6FC7">
        <w:rPr>
          <w:bCs/>
          <w:iCs/>
        </w:rPr>
        <w:t xml:space="preserve">chválí zahrnutí liberalizace roamingu do aktualizované dohody o přidružení mezi EU a Moldavskem; </w:t>
      </w:r>
      <w:r w:rsidRPr="004E2EE1">
        <w:rPr>
          <w:rStyle w:val="NormalHanging12aChar"/>
          <w:bCs/>
          <w:iCs/>
          <w:color w:val="000000"/>
          <w:szCs w:val="24"/>
        </w:rPr>
        <w:t>vítá</w:t>
      </w:r>
      <w:r w:rsidRPr="00EB62EF">
        <w:rPr>
          <w:rStyle w:val="NormalHanging12aChar"/>
          <w:color w:val="000000"/>
          <w:szCs w:val="24"/>
        </w:rPr>
        <w:t xml:space="preserve"> nedávný pokrok Moldavska při provádění </w:t>
      </w:r>
      <w:r w:rsidRPr="00EB62EF">
        <w:rPr>
          <w:rStyle w:val="NormalHanging12aChar"/>
          <w:i/>
          <w:iCs/>
          <w:color w:val="000000"/>
          <w:szCs w:val="24"/>
        </w:rPr>
        <w:t>acquis</w:t>
      </w:r>
      <w:r w:rsidRPr="00EB62EF">
        <w:rPr>
          <w:rStyle w:val="NormalHanging12aChar"/>
          <w:color w:val="000000"/>
          <w:szCs w:val="24"/>
        </w:rPr>
        <w:t xml:space="preserve"> EU v oblasti roamingu a telekomunikací a vyjadřuje podporu rychlému rozhodnutí o začlenění Moldavska do oblasti EU, kde funguje roaming za domácích podmínek; vyzývá poskytovatele služeb, aby v dobré víře spolupracovali s moldavskými orgány při zavádění roamingu za domácích podmínek;</w:t>
      </w:r>
    </w:p>
    <w:p w14:paraId="06362EDA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15.</w:t>
      </w:r>
      <w:r w:rsidRPr="00EB62EF">
        <w:rPr>
          <w:szCs w:val="24"/>
        </w:rPr>
        <w:tab/>
      </w:r>
      <w:r w:rsidRPr="00EB62EF">
        <w:rPr>
          <w:rStyle w:val="NormalHanging12aChar"/>
          <w:color w:val="000000"/>
          <w:szCs w:val="24"/>
        </w:rPr>
        <w:t>vítá obnovení dočasných opatření EU k liberalizaci obchodu v červenci 2024 s cílem podpořit moldavské hospodářství a nahradit ztrátu obchodu způsobenou ruskou útočnou válkou proti Ukrajině a jeho nepřátelskou politikou vůči Moldavsku; vyzývá EU, aby rychle podnikla důležité kroky, které povedou ke stálé liberalizaci jejích celních kvót, a zajistila tak předvídatelnost a větší atraktivitu této země pro investory;</w:t>
      </w:r>
    </w:p>
    <w:p w14:paraId="67B00FCC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16.</w:t>
      </w:r>
      <w:r w:rsidRPr="00EB62EF">
        <w:rPr>
          <w:szCs w:val="24"/>
        </w:rPr>
        <w:tab/>
        <w:t>konstatuje, že nedávné rozhodnutí vlády USA pozastavit podporu poskytovanou občanské společnosti, nezávislým sdělovacím prostředkům, klíčovým reformám a infrastrukturním projektům vyvolalo v Moldavsku další naléhavé potřeby, které vyžadují zásah EU; vyzývá v této souvislosti Komisi, aby zvýšila své financování nástrojů EU na podporu demokracie, jako je Evropská nadace pro demokracii, a dalších klíčových projektů, které byly až donedávna financovány Agenturou USA pro mezinárodní rozvoj (USAID) a dalšími agenturami USA;</w:t>
      </w:r>
    </w:p>
    <w:p w14:paraId="685B048F" w14:textId="77777777" w:rsidR="00382249" w:rsidRPr="00EB62EF" w:rsidRDefault="00382249" w:rsidP="00CE6FC7">
      <w:pPr>
        <w:spacing w:after="240"/>
        <w:ind w:left="567" w:hanging="567"/>
        <w:rPr>
          <w:b/>
          <w:i/>
          <w:szCs w:val="24"/>
        </w:rPr>
      </w:pPr>
      <w:r w:rsidRPr="00EB62EF">
        <w:rPr>
          <w:b/>
          <w:i/>
          <w:szCs w:val="24"/>
        </w:rPr>
        <w:t>Lidská práva</w:t>
      </w:r>
    </w:p>
    <w:p w14:paraId="3027A5C8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17.</w:t>
      </w:r>
      <w:r w:rsidRPr="00EB62EF">
        <w:rPr>
          <w:szCs w:val="24"/>
        </w:rPr>
        <w:tab/>
        <w:t>bere na vědom pokrok Moldavska v dosahování rovnosti žen a mužů, včetně přijetí Programu na podporu a zajištění rovnosti žen a mužů na období 2023–2027, a vyzývá k pokračování úsilí v této oblasti, zejména pokud jde o snižování rozdílů v odměňování žen a mužů, boj proti stereotypům, diskriminaci a násilí na základě pohlaví a zvyšování zastoupení žen v politice a podnikání;</w:t>
      </w:r>
    </w:p>
    <w:p w14:paraId="7C0FB422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18.</w:t>
      </w:r>
      <w:r w:rsidRPr="00EB62EF">
        <w:rPr>
          <w:szCs w:val="24"/>
        </w:rPr>
        <w:tab/>
        <w:t>vítá úsilí, jež moldavské orgány vyvíjejí v boji proti násilí páchanému na ženách a zlepšení ochrany obětí, zejména přijetí Národního programu předcházení násilí na ženách a domácímu násilí a boje proti nim na období 2023–2027; konstatuje, že dopad těchto opatření je však stále nedostatečný, a proto vyzývá k zřízení více azylových domů pro oběti domácího násilí, k tomu, aby soudní systém věnoval násilí na ženách náležitou pozornost, a k politickým změnám a zvýšení informovanosti mužů o genderově podmíněném násilí;</w:t>
      </w:r>
    </w:p>
    <w:p w14:paraId="017E6B53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19.</w:t>
      </w:r>
      <w:r w:rsidRPr="00EB62EF">
        <w:rPr>
          <w:szCs w:val="24"/>
        </w:rPr>
        <w:tab/>
        <w:t>vyzývá moldavskou vládu, aby posílila své úsilí, včetně účinného provádění legislativního rámce, v boji proti rasové diskriminaci, marginalizaci, rasistickým projevům z nenávisti a trestným činům z nenávisti namířeným proti příslušníkům etnických menšin, včetně Romů;</w:t>
      </w:r>
    </w:p>
    <w:p w14:paraId="69E80313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20.</w:t>
      </w:r>
      <w:r w:rsidRPr="00EB62EF">
        <w:rPr>
          <w:szCs w:val="24"/>
        </w:rPr>
        <w:tab/>
        <w:t>oceňuje úsilí Moldavska o zlepšení práv komunity LGBTIQ+ v posledních letech;</w:t>
      </w:r>
    </w:p>
    <w:p w14:paraId="04CAEB64" w14:textId="36A0A0FE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lastRenderedPageBreak/>
        <w:t>21.</w:t>
      </w:r>
      <w:r w:rsidRPr="00EB62EF">
        <w:rPr>
          <w:szCs w:val="24"/>
        </w:rPr>
        <w:tab/>
        <w:t xml:space="preserve">vyzývá moldavskou vládu, aby plně sladila své právní předpisy týkající se práv osob se zdravotním postižením s </w:t>
      </w:r>
      <w:r w:rsidRPr="00CE6FC7">
        <w:rPr>
          <w:i/>
          <w:iCs/>
          <w:szCs w:val="24"/>
        </w:rPr>
        <w:t>acquis</w:t>
      </w:r>
      <w:r w:rsidRPr="00EB62EF">
        <w:rPr>
          <w:szCs w:val="24"/>
        </w:rPr>
        <w:t xml:space="preserve"> EU a aby řešila systémový problém umisťování dětí s mentálním postižením do psychiatrických zařízení</w:t>
      </w:r>
      <w:r w:rsidR="008E525A">
        <w:rPr>
          <w:szCs w:val="24"/>
        </w:rPr>
        <w:t>;</w:t>
      </w:r>
    </w:p>
    <w:p w14:paraId="77B50117" w14:textId="77777777" w:rsidR="00382249" w:rsidRPr="00EB62EF" w:rsidRDefault="00382249" w:rsidP="00EB62EF">
      <w:pPr>
        <w:pStyle w:val="NormalHanging12a"/>
        <w:rPr>
          <w:b/>
          <w:i/>
          <w:szCs w:val="24"/>
        </w:rPr>
      </w:pPr>
      <w:r w:rsidRPr="00EB62EF">
        <w:rPr>
          <w:b/>
          <w:i/>
          <w:szCs w:val="24"/>
        </w:rPr>
        <w:t>Energie, životní prostředí a konektivita</w:t>
      </w:r>
    </w:p>
    <w:p w14:paraId="75F7BE2C" w14:textId="77777777" w:rsidR="00382249" w:rsidRPr="00EB62EF" w:rsidRDefault="00382249" w:rsidP="00EB62EF">
      <w:pPr>
        <w:pStyle w:val="NormalHanging12a"/>
        <w:rPr>
          <w:bCs/>
          <w:iCs/>
          <w:szCs w:val="24"/>
        </w:rPr>
      </w:pPr>
      <w:r w:rsidRPr="00EB62EF">
        <w:rPr>
          <w:szCs w:val="24"/>
        </w:rPr>
        <w:t>22.</w:t>
      </w:r>
      <w:r w:rsidRPr="00EB62EF">
        <w:rPr>
          <w:szCs w:val="24"/>
        </w:rPr>
        <w:tab/>
      </w:r>
      <w:r w:rsidRPr="00EB62EF">
        <w:rPr>
          <w:rStyle w:val="NormalHanging12aChar"/>
          <w:color w:val="000000"/>
          <w:szCs w:val="24"/>
        </w:rPr>
        <w:t>odsuzuje skutečnost, že Rusko proti Moldavsku využívá oblast energetiky jako zbraň, naposledy dne 1. ledna 2025, kdy v rozporu se smluvními závazky zastavilo dodávky plynu do Podněstří, což v regionu vyvolalo vážnou krizi; vítá návrh na komplexní strategii pro energetickou nezávislost a odolnost v hodnotě 250 milionů EUR, který rychle předložila Komise a který moldavským spotřebitelům, včetně těch v regionu Podněstří, sníží účty za energii, podpoří oddělení Moldavska od ruských dodávek energie a integruje Moldavsko do energetického trhu EU; zdůrazňuje, že EU a moldavské orgány musí účinně informovat o rozsáhlém balíčku podpory EU zaměřeném na řešení energetické krize v Moldavsku;</w:t>
      </w:r>
    </w:p>
    <w:p w14:paraId="3C4790B3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23.</w:t>
      </w:r>
      <w:r w:rsidRPr="00EB62EF">
        <w:rPr>
          <w:szCs w:val="24"/>
        </w:rPr>
        <w:tab/>
        <w:t>oceňuje sbližování moldavského odvětví energetiky s </w:t>
      </w:r>
      <w:r w:rsidRPr="00EB62EF">
        <w:rPr>
          <w:i/>
          <w:iCs/>
          <w:szCs w:val="24"/>
        </w:rPr>
        <w:t>acquis</w:t>
      </w:r>
      <w:r w:rsidRPr="00EB62EF">
        <w:rPr>
          <w:szCs w:val="24"/>
        </w:rPr>
        <w:t xml:space="preserve"> EU; vyzývá moldavskou vládu, aby s podporou EU, která zahrnuje nástroje dostupné v rámci Nástroje pro reformy a růst pro Moldavsko, pokračovala ve svých úsilích o diverzifikaci tras dodávek zemního plynu a elektřiny, rozvoj propojení, zvýšení energetické účinnosti a vnitřní produkce a skladovacích kapacit, jakož i o pokrok v plné integraci do energetického trhu EU, aby byla zajištěna energetická bezpečnost a odolnost Moldavska; zdůrazňuje význam dokončení nadzemního elektrického vedení 400 kV Vulcanesti-Kišiněv do konce roku 2025 za účelem snížení závislosti Moldavska na energetické infrastruktuře v regionu Podněstří; vyzývá EU, aby zmobilizovala nezbytné zdroje, které by pomohly kompenzovat zrušení podpory USAID pro moldavské odvětví energetiky;</w:t>
      </w:r>
    </w:p>
    <w:p w14:paraId="20870077" w14:textId="77777777" w:rsidR="00382249" w:rsidRPr="00EB62EF" w:rsidRDefault="00382249" w:rsidP="00EB62EF">
      <w:pPr>
        <w:pStyle w:val="NormalHanging12a"/>
        <w:rPr>
          <w:rStyle w:val="NormalHanging12aChar"/>
          <w:color w:val="000000"/>
          <w:szCs w:val="24"/>
        </w:rPr>
      </w:pPr>
      <w:r w:rsidRPr="00EB62EF">
        <w:rPr>
          <w:szCs w:val="24"/>
        </w:rPr>
        <w:t>24.</w:t>
      </w:r>
      <w:r w:rsidRPr="00EB62EF">
        <w:rPr>
          <w:szCs w:val="24"/>
        </w:rPr>
        <w:tab/>
      </w:r>
      <w:r w:rsidRPr="00EB62EF">
        <w:rPr>
          <w:rStyle w:val="NormalHanging12aChar"/>
          <w:color w:val="000000"/>
          <w:szCs w:val="24"/>
        </w:rPr>
        <w:t>chválí moldavskou vládu za její pokrok v oblasti dekarbonizace, energetické účinnosti a přechodu na ekologické hospodářství, včetně zdvojnásobení podílu energie z obnovitelných zdrojů do roku 2030 na 30 %; podporuje EU a její členské státy a vyzývá je, aby moldavským partnerům v této oblasti nadále poskytovaly finanční podporu a odborné znalosti; vítá, že v roce 2023 došlo k přijetí vnitrostátního programu Moldavska na přizpůsobení se změně klimatu do roku 2030 a jeho akčního plánu pro tento účel; vyzývá moldavskou vládu, aby přijala a začala provádět svůj vnitrostátní plán v oblasti energetiky a klimatu na období 2025–2030; konstatuje význam plnění závazků vyplývajících z plánu dekarbonizace Energetického společenství a provádění balíčku pro monitorování, vykazování, ověřování a akreditace s cílem zavést stanovování cen uhlíku a sladit je se systémem EU pro obchodování s emisemi;</w:t>
      </w:r>
    </w:p>
    <w:p w14:paraId="76299C1C" w14:textId="77777777" w:rsidR="00382249" w:rsidRPr="00EB62EF" w:rsidRDefault="00382249" w:rsidP="00EB62EF">
      <w:pPr>
        <w:pStyle w:val="NormalHanging12a"/>
        <w:rPr>
          <w:bCs/>
          <w:iCs/>
          <w:color w:val="000000"/>
          <w:szCs w:val="24"/>
        </w:rPr>
      </w:pPr>
      <w:r w:rsidRPr="00EB62EF">
        <w:rPr>
          <w:szCs w:val="24"/>
        </w:rPr>
        <w:t>25.</w:t>
      </w:r>
      <w:r w:rsidRPr="00EB62EF">
        <w:rPr>
          <w:szCs w:val="24"/>
        </w:rPr>
        <w:tab/>
        <w:t>je přesvědčen, že rozšíření koridoru transevropských dopravních sítí (TEN-T) Baltské moře – Černé moře – Egejské moře (koridor IX) o trasu Kišiněv–Konstanta–Varna–Burgas by bylo strategickou investicí do dopravní infrastruktury v regionu, která by posílila propojení a podpořila hospodářský růst, a to s ohledem na rozšíření EU na východ a potenciální pozitivní dopad tohoto rozšíření na bezpečnost a stabilitu regionu, neboť by sloužilo jako klíčová logistická trasa pro NATO a posílilo geostrategickou autonomii EU;</w:t>
      </w:r>
    </w:p>
    <w:p w14:paraId="3556D7EE" w14:textId="77777777" w:rsidR="00382249" w:rsidRPr="00EB62EF" w:rsidRDefault="00382249" w:rsidP="00EB62EF">
      <w:pPr>
        <w:pStyle w:val="NormalHanging12a"/>
        <w:rPr>
          <w:b/>
          <w:i/>
          <w:szCs w:val="24"/>
        </w:rPr>
      </w:pPr>
      <w:r w:rsidRPr="00EB62EF">
        <w:rPr>
          <w:b/>
          <w:i/>
          <w:szCs w:val="24"/>
        </w:rPr>
        <w:t>Právní stát a řádná správa věcí veřejných</w:t>
      </w:r>
    </w:p>
    <w:p w14:paraId="5FA6A5BE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26.</w:t>
      </w:r>
      <w:r w:rsidRPr="00EB62EF">
        <w:rPr>
          <w:szCs w:val="24"/>
        </w:rPr>
        <w:tab/>
        <w:t xml:space="preserve">zdůrazňuje, že pro úspěch demokratických reforem a reforem souvisejících </w:t>
      </w:r>
      <w:r w:rsidRPr="00EB62EF">
        <w:rPr>
          <w:szCs w:val="24"/>
        </w:rPr>
        <w:lastRenderedPageBreak/>
        <w:t>s přistoupením k EU, které Moldavsko provádí, zůstává klíčová komplexní reforma soudnictví; bere na vědomí trvalé úsilí Moldavska o vybudování nezávislého, nestranného, odpovědného a profesionálního soudního systému a dokončení procesu prověřování do konce roku 2026; vyzývá proto EU, aby i nadále aktivně podporovala reformu soudnictví a proces prověřování soudců i státních zástupců, včetně přilákání, odborné přípravy a náboru kvalifikovaných soudních zaměstnanců a zvýšení soudní kapacity;</w:t>
      </w:r>
    </w:p>
    <w:p w14:paraId="17315386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27.</w:t>
      </w:r>
      <w:r w:rsidRPr="00EB62EF">
        <w:rPr>
          <w:szCs w:val="24"/>
        </w:rPr>
        <w:tab/>
        <w:t>konstatuje, že Moldavsko dosáhlo pokroku v boji proti korupci a v její prevenci, zdůrazňuje však, že je třeba pokračovat v boji proti praní peněz; vítá skutečnost, že v únoru 2024 vstoupil v platnost moldavský národní program integrity a boje proti korupci na období 2024–2028; zdůrazňuje, že je třeba zajistit posílenou koordinaci mezi všemi klíčovými protikorupčními a soudními institucemi, aby bylo možné provést komplexní reformy a zaručit těmto institucím odpovídající zdroje a kapacity; zdůrazňuje, že pokud má být zajištěna důvěra veřejnosti v probíhající reformy, je nutné, aby bylo v případech korupce dosahováno výsledků v podobě trestního stíhání a odsouzení;</w:t>
      </w:r>
    </w:p>
    <w:p w14:paraId="5A5E0BED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28.</w:t>
      </w:r>
      <w:r w:rsidRPr="00EB62EF">
        <w:rPr>
          <w:szCs w:val="24"/>
        </w:rPr>
        <w:tab/>
        <w:t>připomíná, že je důležité pokračovat ve vyšetřování a postavit před soud osoby odpovědné za bankovní podvod z roku 2014; vítá skutečnost, že po dlouhém úsilí moldavských orgánů Interpol konečně zařadil jednoho z údajných pachatelů, Vladimira Plahotniuca, na seznam mezinárodně hledaných osob;</w:t>
      </w:r>
    </w:p>
    <w:p w14:paraId="64FC718A" w14:textId="77777777" w:rsidR="00382249" w:rsidRPr="00EB62EF" w:rsidRDefault="00382249" w:rsidP="00CE6FC7">
      <w:pPr>
        <w:spacing w:after="240"/>
        <w:ind w:left="567" w:hanging="567"/>
        <w:rPr>
          <w:szCs w:val="24"/>
        </w:rPr>
      </w:pPr>
      <w:r w:rsidRPr="00EB62EF">
        <w:rPr>
          <w:szCs w:val="24"/>
        </w:rPr>
        <w:t>29.</w:t>
      </w:r>
      <w:r w:rsidRPr="00EB62EF">
        <w:rPr>
          <w:szCs w:val="24"/>
        </w:rPr>
        <w:tab/>
      </w:r>
      <w:r w:rsidRPr="00EB62EF">
        <w:rPr>
          <w:rStyle w:val="NormalHanging12aChar"/>
          <w:szCs w:val="24"/>
        </w:rPr>
        <w:t xml:space="preserve">vítá skutečnost, že Moldavsko v roce 2023 přijalo novou vnitrostátní strategii pro prevenci a boj proti obchodování s lidmi, která je v souladu s </w:t>
      </w:r>
      <w:r w:rsidRPr="00EB62EF">
        <w:rPr>
          <w:rStyle w:val="NormalHanging12aChar"/>
          <w:i/>
          <w:iCs/>
          <w:szCs w:val="24"/>
        </w:rPr>
        <w:t>acquis</w:t>
      </w:r>
      <w:r w:rsidRPr="00EB62EF">
        <w:rPr>
          <w:rStyle w:val="NormalHanging12aChar"/>
          <w:szCs w:val="24"/>
        </w:rPr>
        <w:t xml:space="preserve"> EU, a spolupráci Moldavska s Europolem v boji proti obchodu s drogami;</w:t>
      </w:r>
    </w:p>
    <w:p w14:paraId="6D4A753E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30.</w:t>
      </w:r>
      <w:r w:rsidRPr="00EB62EF">
        <w:rPr>
          <w:szCs w:val="24"/>
        </w:rPr>
        <w:tab/>
        <w:t>vyjadřuje svou připravenost pokračovat v podpoře moldavského parlamentu prostřednictvím vzájemně dohodnutých činností na podporu demokracie, které budou reagovat na potřeby tohoto orgánu, jeho volených členů a zaměstnanců; zdůrazňuje význam moldavského parlamentu při podpoře veřejné diskuse o evropské budoucnosti země a při dosahování širokého konsensu o reformách souvisejících s přistoupením k EU a jejich demokratické legitimity napříč politickými stranami a širší společností; poukazuje na rozhodnutí ze dne 10. března 2025 otevřít v Kišiněvě kancelář Evropského parlamentu, aby se dále posílilo zapojení Parlamentu v regionu Východního partnerství;</w:t>
      </w:r>
    </w:p>
    <w:p w14:paraId="5C80B40C" w14:textId="77777777" w:rsidR="00382249" w:rsidRPr="00EB62EF" w:rsidRDefault="00382249" w:rsidP="00EB62EF">
      <w:pPr>
        <w:pStyle w:val="NormalHanging12a"/>
        <w:ind w:left="0" w:firstLine="0"/>
        <w:rPr>
          <w:b/>
          <w:i/>
          <w:szCs w:val="24"/>
        </w:rPr>
      </w:pPr>
      <w:r w:rsidRPr="00EB62EF">
        <w:rPr>
          <w:b/>
          <w:i/>
          <w:szCs w:val="24"/>
        </w:rPr>
        <w:t>Spolupráce v oblasti společné zahraniční a bezpečnostní politiky (SZBP) a pokrok při řešení konfliktu v Podněstří</w:t>
      </w:r>
    </w:p>
    <w:p w14:paraId="5088192F" w14:textId="77777777" w:rsidR="00382249" w:rsidRPr="00EB62EF" w:rsidRDefault="00382249" w:rsidP="00CE6FC7">
      <w:pPr>
        <w:shd w:val="clear" w:color="auto" w:fill="FFFFFF" w:themeFill="background1"/>
        <w:spacing w:after="240"/>
        <w:ind w:left="567" w:hanging="567"/>
        <w:rPr>
          <w:rStyle w:val="NormalHanging12aChar"/>
          <w:szCs w:val="24"/>
        </w:rPr>
      </w:pPr>
      <w:r w:rsidRPr="00EB62EF">
        <w:rPr>
          <w:szCs w:val="24"/>
        </w:rPr>
        <w:t>31.</w:t>
      </w:r>
      <w:r w:rsidRPr="00EB62EF">
        <w:rPr>
          <w:szCs w:val="24"/>
        </w:rPr>
        <w:tab/>
      </w:r>
      <w:r w:rsidRPr="00EB62EF">
        <w:rPr>
          <w:rStyle w:val="NormalHanging12aChar"/>
          <w:szCs w:val="24"/>
        </w:rPr>
        <w:t>vítá důslednou spolupráci Moldavska v otázkách zahraniční politiky i výrazně vyšší míru, a to z 54 % v roce 2022 na 86 % v roce 2024, jeho sladění s postoji a omezujícími opatřeními EU v oblasti SZBP; vyzývá Moldavsko, aby toto sladění i nadále zlepšovalo, a to i pokud jde o omezující opatření vůči Rusku, a aby pokračovalo ve spolupráci na prevenci obcházení sankcí uvalených na Rusko a Bělorusko v souvislosti s útočnou válkou Ruska proti Ukrajině;</w:t>
      </w:r>
    </w:p>
    <w:p w14:paraId="423BF00D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32.</w:t>
      </w:r>
      <w:r w:rsidRPr="00EB62EF">
        <w:rPr>
          <w:szCs w:val="24"/>
        </w:rPr>
        <w:tab/>
        <w:t xml:space="preserve">zdůrazňuje, že Moldavsko významně přispívá k regionální a evropské bezpečnosti, mimo jiné svou neochvějnou podporou Ukrajiny od začátku ruské agresivní války, například přijetím ukrajinských válečných uprchlíků, a svým příspěvkem k mechanismu civilní ochrany EU, například vysláním hasičských týmů k hašení rozsáhlých lesních </w:t>
      </w:r>
      <w:r w:rsidRPr="00EB62EF">
        <w:rPr>
          <w:szCs w:val="24"/>
        </w:rPr>
        <w:lastRenderedPageBreak/>
        <w:t>požárů v Řecku;</w:t>
      </w:r>
    </w:p>
    <w:p w14:paraId="1074EF27" w14:textId="77777777" w:rsidR="00382249" w:rsidRPr="00EB62EF" w:rsidRDefault="00382249" w:rsidP="00CE6FC7">
      <w:pPr>
        <w:shd w:val="clear" w:color="auto" w:fill="FFFFFF" w:themeFill="background1"/>
        <w:spacing w:after="240"/>
        <w:ind w:left="567" w:hanging="567"/>
        <w:rPr>
          <w:rStyle w:val="NormalHanging12aChar"/>
          <w:szCs w:val="24"/>
        </w:rPr>
      </w:pPr>
      <w:r w:rsidRPr="00EB62EF">
        <w:rPr>
          <w:szCs w:val="24"/>
        </w:rPr>
        <w:t>33.</w:t>
      </w:r>
      <w:r w:rsidRPr="00EB62EF">
        <w:rPr>
          <w:szCs w:val="24"/>
        </w:rPr>
        <w:tab/>
      </w:r>
      <w:r w:rsidRPr="00EB62EF">
        <w:rPr>
          <w:rStyle w:val="NormalHanging12aChar"/>
          <w:szCs w:val="24"/>
        </w:rPr>
        <w:t>vyjadřuje svou podporu misi EUPM v Moldavsku a vyzývá členské státy, aby s ohledem na možné zintenzivnění hybridních hrozeb poskytly potřebné odborníky a finanční prostředky; vítá prodloužení mandátu mise EUPM do dubna 2026; vybízí moldavské orgány, aby plně využily odborných znalostí mise EUPM ke zlepšení připravenosti země, zejména vzhledem k opakovaným zásahům do volebního procesu před parlamentními volbami, jež proběhnou dne 28. září 2025; vyzývá EU, aby se ze zkušeností získaných v Moldavsku poučila při ochraně volebního procesu a demokratických institucí v samotné EU; vybízí Evropskou službu pro vnější činnost a Komisi, aby využily všechny dostupné nástroje EU v oblasti boje proti hybridním hrozbám s cílem nadále podporovat Moldavsko, mimo jiné urychleným nasazením týmu rychlé reakce na hybridní hrozby; vítá zřízení moldavského Střediska pro strategickou komunikaci a boj proti dezinformacím jako prostředku koordinace boje proti zahraničnímu vměšování mezi různými moldavskými institucemi, jakož i zřízení Státní agentury pro kybernetickou bezpečnost a Státního institutu pro inovace v oblasti kybernetické bezpečnosti; konstatuje, že moldavská strategie národní bezpečnosti přijatá v prosinci 2023 zdůrazňuje přistoupení k EU jako klíčový cíl a poprvé označuje Rusko za zdroj hlavních hrozeb pro bezpečnost Moldavska; zdůrazňuje význam lepší výměny informací a spolupráce v oblasti zpravodajských služeb mezi Moldavskem a EU a jejími členskými státy v oblasti bezpečnostních hrozeb;</w:t>
      </w:r>
    </w:p>
    <w:p w14:paraId="44591F82" w14:textId="77777777" w:rsidR="00382249" w:rsidRPr="00EB62EF" w:rsidRDefault="00382249" w:rsidP="00CE6FC7">
      <w:pPr>
        <w:shd w:val="clear" w:color="auto" w:fill="FFFFFF" w:themeFill="background1"/>
        <w:spacing w:after="240"/>
        <w:ind w:left="567" w:hanging="567"/>
        <w:rPr>
          <w:szCs w:val="24"/>
        </w:rPr>
      </w:pPr>
      <w:r w:rsidRPr="00EB62EF">
        <w:rPr>
          <w:szCs w:val="24"/>
        </w:rPr>
        <w:t>34.</w:t>
      </w:r>
      <w:r w:rsidRPr="00EB62EF">
        <w:rPr>
          <w:szCs w:val="24"/>
        </w:rPr>
        <w:tab/>
      </w:r>
      <w:r w:rsidRPr="00EB62EF">
        <w:rPr>
          <w:rStyle w:val="NormalHanging12aChar"/>
          <w:szCs w:val="24"/>
        </w:rPr>
        <w:t>znovu opakuje, že je plně odhodlán prosazovat územní celistvost Moldavska a mírové řešení konfliktu vycházející ze svrchovanosti a územní celistvosti Moldavska v jeho mezinárodně uznaných hranicích;</w:t>
      </w:r>
    </w:p>
    <w:p w14:paraId="590398F3" w14:textId="77777777" w:rsidR="00382249" w:rsidRPr="00EB62EF" w:rsidRDefault="00382249" w:rsidP="00CE6FC7">
      <w:pPr>
        <w:shd w:val="clear" w:color="auto" w:fill="FFFFFF" w:themeFill="background1"/>
        <w:spacing w:after="240"/>
        <w:ind w:left="567" w:hanging="567"/>
        <w:rPr>
          <w:rStyle w:val="NormalHanging12aChar"/>
          <w:szCs w:val="24"/>
        </w:rPr>
      </w:pPr>
      <w:r w:rsidRPr="00EB62EF">
        <w:rPr>
          <w:szCs w:val="24"/>
        </w:rPr>
        <w:t>35.</w:t>
      </w:r>
      <w:r w:rsidRPr="00EB62EF">
        <w:rPr>
          <w:szCs w:val="24"/>
        </w:rPr>
        <w:tab/>
      </w:r>
      <w:r w:rsidRPr="00EB62EF">
        <w:rPr>
          <w:rStyle w:val="NormalHanging12aChar"/>
          <w:szCs w:val="24"/>
        </w:rPr>
        <w:t>vítá iniciativy Komise, jejichž cílem je zahrnout proaktivní podporu Podněsterské oblasti do jejích balíčků na podporu mimořádné energetické situace a výměnu informací a praktickou spolupráci mezi moldavskou vládou a faktickými orgány Podněsterské oblasti po celou dobu energetické krize způsobené Ruskem; vítá pokrok v souvislosti s podmínkami pro Tiraspol zaznamenaný v souvislosti s nedávnou dohodou o tranzitu plynu a vyzývá k úplnému splnění těchto podmínek, včetně propuštění všech politických vězňů ze strany Tiraspolu a odstranění zbývajících nelegálních kontrolních stanovišť;</w:t>
      </w:r>
    </w:p>
    <w:p w14:paraId="425AF711" w14:textId="334964D6" w:rsidR="00382249" w:rsidRPr="00EB62EF" w:rsidRDefault="00382249" w:rsidP="00CE6FC7">
      <w:pPr>
        <w:shd w:val="clear" w:color="auto" w:fill="FFFFFF" w:themeFill="background1"/>
        <w:spacing w:after="240"/>
        <w:ind w:left="567" w:hanging="567"/>
        <w:rPr>
          <w:rStyle w:val="NormalHanging12aChar"/>
          <w:szCs w:val="24"/>
        </w:rPr>
      </w:pPr>
      <w:r w:rsidRPr="00EB62EF">
        <w:rPr>
          <w:szCs w:val="24"/>
        </w:rPr>
        <w:t>36.</w:t>
      </w:r>
      <w:r w:rsidRPr="00EB62EF">
        <w:rPr>
          <w:szCs w:val="24"/>
        </w:rPr>
        <w:tab/>
      </w:r>
      <w:r w:rsidRPr="00EB62EF">
        <w:rPr>
          <w:rStyle w:val="NormalHanging12aChar"/>
          <w:szCs w:val="24"/>
        </w:rPr>
        <w:t>vítá velký zájem Moldavska podílet se na společné bezpečnostní a obranné politice EU i skutečnost, že Moldavsko bylo první zemí, která s EU podepsala partnerství v oblasti bezpečnosti a obrany; vítá pokračující aktivní účast Moldavska v misích a operacích EU v rámci SBOP EU</w:t>
      </w:r>
      <w:r w:rsidR="004E2EE1">
        <w:rPr>
          <w:rStyle w:val="NormalHanging12aChar"/>
          <w:szCs w:val="24"/>
        </w:rPr>
        <w:t>,</w:t>
      </w:r>
      <w:r w:rsidR="004E2EE1" w:rsidRPr="00CE6FC7">
        <w:rPr>
          <w:bCs/>
          <w:iCs/>
        </w:rPr>
        <w:t xml:space="preserve"> konkrétně v silách EU v Bosně a Hercegovině (operace Althea) a ve výcvikové misi EU v Somálsku</w:t>
      </w:r>
      <w:r w:rsidRPr="00EB62EF">
        <w:rPr>
          <w:rStyle w:val="NormalHanging12aChar"/>
          <w:szCs w:val="24"/>
        </w:rPr>
        <w:t>, jeho zájem o účast na projektech PESCO a probíhající jednání o rámcové dohodě s Evropskou obrannou agenturou; vyzývá EU, aby Moldavsko zahrnula do programů EU v oblasti bezpečnosti a obrany a souvisejících rozpočtových přídělů, včetně Programu pro evropský obranný průmysl a připravenost do roku 2030, což této zemi umožní účastnit se společného zadávání veřejných zakázek spolu s členskými státy;</w:t>
      </w:r>
    </w:p>
    <w:p w14:paraId="429EF2FD" w14:textId="77777777" w:rsidR="00382249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37.</w:t>
      </w:r>
      <w:r w:rsidRPr="00EB62EF">
        <w:rPr>
          <w:szCs w:val="24"/>
        </w:rPr>
        <w:tab/>
        <w:t xml:space="preserve">vítá přidělení 50 milionů EUR na modernizaci obranných kapacit moldavských ozbrojených sil v souvislosti se současnými bezpečnostními výzvami prostřednictvím Evropského mírového nástroje (EPF) na rok 2024; konstatuje, že Moldavsko je po Ukrajině druhým největším příjemcem z EPF, přičemž od roku 2021 mu bylo přiděleno celkem 137 milionů EUR; vítá oznámenou podporu ve výši 60 milionů EUR, která má </w:t>
      </w:r>
      <w:r w:rsidRPr="00EB62EF">
        <w:rPr>
          <w:szCs w:val="24"/>
        </w:rPr>
        <w:lastRenderedPageBreak/>
        <w:t>být Moldavsku poskytnuta z rozpočtu EPF v roce 2025; vyzývá členské státy, aby postupně navyšovaly financování Evropského mírového nástroje pro Moldavsko za účelem dalšího posilování obranných kapacit země;</w:t>
      </w:r>
    </w:p>
    <w:p w14:paraId="621A1068" w14:textId="1CF4543A" w:rsidR="00EB62EF" w:rsidRPr="00EB62EF" w:rsidRDefault="00EB62EF" w:rsidP="00EB62EF">
      <w:pPr>
        <w:widowControl/>
        <w:shd w:val="clear" w:color="auto" w:fill="FFFFFF" w:themeFill="background1"/>
        <w:spacing w:after="240"/>
        <w:ind w:left="567" w:hanging="567"/>
        <w:jc w:val="center"/>
        <w:rPr>
          <w:bCs/>
          <w:iCs/>
          <w:szCs w:val="24"/>
        </w:rPr>
      </w:pPr>
      <w:r w:rsidRPr="00EB62EF">
        <w:rPr>
          <w:bCs/>
          <w:iCs/>
          <w:szCs w:val="24"/>
        </w:rPr>
        <w:t>°</w:t>
      </w:r>
    </w:p>
    <w:p w14:paraId="6CD7A3A5" w14:textId="27ADD978" w:rsidR="00EB62EF" w:rsidRPr="00EB62EF" w:rsidRDefault="00EB62EF" w:rsidP="00EB62EF">
      <w:pPr>
        <w:widowControl/>
        <w:shd w:val="clear" w:color="auto" w:fill="FFFFFF" w:themeFill="background1"/>
        <w:spacing w:after="240"/>
        <w:ind w:left="567" w:hanging="567"/>
        <w:jc w:val="center"/>
        <w:rPr>
          <w:bCs/>
          <w:iCs/>
          <w:szCs w:val="24"/>
        </w:rPr>
      </w:pPr>
      <w:r w:rsidRPr="00EB62EF">
        <w:rPr>
          <w:bCs/>
          <w:iCs/>
          <w:szCs w:val="24"/>
        </w:rPr>
        <w:t>°     °</w:t>
      </w:r>
    </w:p>
    <w:p w14:paraId="09448192" w14:textId="485099A9" w:rsidR="000F3544" w:rsidRPr="00EB62EF" w:rsidRDefault="00382249" w:rsidP="00EB62EF">
      <w:pPr>
        <w:pStyle w:val="NormalHanging12a"/>
        <w:rPr>
          <w:szCs w:val="24"/>
        </w:rPr>
      </w:pPr>
      <w:r w:rsidRPr="00EB62EF">
        <w:rPr>
          <w:szCs w:val="24"/>
        </w:rPr>
        <w:t>38.</w:t>
      </w:r>
      <w:r w:rsidRPr="00EB62EF">
        <w:rPr>
          <w:szCs w:val="24"/>
        </w:rPr>
        <w:tab/>
        <w:t>pověřuje svou předsedkyni, aby předala toto usnesení Radě, Komisi, místopředsedkyni Komise, vysoké představitelce Unie pro zahraniční věci a bezpečnostní politiku a prezidentce, vládě a parlamentu Moldavské republiky.</w:t>
      </w:r>
    </w:p>
    <w:p w14:paraId="1593E783" w14:textId="282AC326" w:rsidR="00E365E1" w:rsidRPr="00EB62EF" w:rsidRDefault="00E365E1" w:rsidP="00CE6FC7">
      <w:pPr>
        <w:spacing w:after="240"/>
        <w:rPr>
          <w:szCs w:val="24"/>
        </w:rPr>
      </w:pPr>
    </w:p>
    <w:sectPr w:rsidR="00E365E1" w:rsidRPr="00EB62EF" w:rsidSect="000F35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E2D87" w14:textId="77777777" w:rsidR="00871BCC" w:rsidRPr="000F3544" w:rsidRDefault="00871BCC">
      <w:r w:rsidRPr="000F3544">
        <w:separator/>
      </w:r>
    </w:p>
  </w:endnote>
  <w:endnote w:type="continuationSeparator" w:id="0">
    <w:p w14:paraId="34AE3955" w14:textId="77777777" w:rsidR="00871BCC" w:rsidRPr="000F3544" w:rsidRDefault="00871BCC">
      <w:r w:rsidRPr="000F35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8BDDF" w14:textId="77777777" w:rsidR="00064002" w:rsidRPr="000F354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DEAE1" w14:textId="77777777" w:rsidR="00064002" w:rsidRPr="000F354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F56BF" w14:textId="77777777" w:rsidR="00064002" w:rsidRPr="000F35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DB60C" w14:textId="77777777" w:rsidR="00871BCC" w:rsidRPr="000F3544" w:rsidRDefault="00871BCC">
      <w:r w:rsidRPr="000F3544">
        <w:separator/>
      </w:r>
    </w:p>
  </w:footnote>
  <w:footnote w:type="continuationSeparator" w:id="0">
    <w:p w14:paraId="400DD8F2" w14:textId="77777777" w:rsidR="00871BCC" w:rsidRPr="000F3544" w:rsidRDefault="00871BCC">
      <w:r w:rsidRPr="000F3544">
        <w:continuationSeparator/>
      </w:r>
    </w:p>
  </w:footnote>
  <w:footnote w:id="1">
    <w:p w14:paraId="322D20F0" w14:textId="62E41029" w:rsidR="00382249" w:rsidRPr="00BC309C" w:rsidRDefault="00382249" w:rsidP="000F3544">
      <w:pPr>
        <w:pStyle w:val="FootnoteText"/>
        <w:ind w:left="567" w:hanging="567"/>
        <w:rPr>
          <w:sz w:val="24"/>
          <w:szCs w:val="24"/>
          <w:lang w:val="cs-CZ"/>
        </w:rPr>
      </w:pPr>
      <w:r w:rsidRPr="00BC309C">
        <w:rPr>
          <w:rStyle w:val="FootnoteReference"/>
          <w:sz w:val="24"/>
          <w:szCs w:val="24"/>
          <w:lang w:val="cs-CZ"/>
        </w:rPr>
        <w:footnoteRef/>
      </w:r>
      <w:r w:rsidR="000F3544" w:rsidRPr="00BC309C">
        <w:rPr>
          <w:sz w:val="24"/>
          <w:szCs w:val="24"/>
          <w:lang w:val="cs-CZ"/>
        </w:rPr>
        <w:t xml:space="preserve"> </w:t>
      </w:r>
      <w:r w:rsidR="000F3544" w:rsidRPr="00BC309C">
        <w:rPr>
          <w:sz w:val="24"/>
          <w:szCs w:val="24"/>
          <w:lang w:val="cs-CZ"/>
        </w:rPr>
        <w:tab/>
      </w:r>
      <w:r w:rsidRPr="00BC309C">
        <w:rPr>
          <w:sz w:val="24"/>
          <w:szCs w:val="24"/>
          <w:lang w:val="cs-CZ"/>
        </w:rPr>
        <w:t xml:space="preserve">Úř. věst. L, 2025/535, 21.3.2025, ELI: </w:t>
      </w:r>
      <w:hyperlink r:id="rId1" w:history="1">
        <w:r w:rsidRPr="00BC309C">
          <w:rPr>
            <w:rStyle w:val="Hyperlink"/>
            <w:sz w:val="24"/>
            <w:szCs w:val="24"/>
            <w:lang w:val="cs-CZ"/>
          </w:rPr>
          <w:t>http://data.europa.eu/eli/reg/2025/535/oj</w:t>
        </w:r>
      </w:hyperlink>
      <w:r w:rsidRPr="00BC309C">
        <w:rPr>
          <w:sz w:val="24"/>
          <w:szCs w:val="24"/>
          <w:lang w:val="cs-CZ"/>
        </w:rPr>
        <w:t>.</w:t>
      </w:r>
    </w:p>
  </w:footnote>
  <w:footnote w:id="2">
    <w:p w14:paraId="085554B5" w14:textId="4B4D0205" w:rsidR="00382249" w:rsidRPr="00BC309C" w:rsidRDefault="00382249" w:rsidP="000F3544">
      <w:pPr>
        <w:pStyle w:val="FootnoteText"/>
        <w:ind w:left="567" w:hanging="567"/>
        <w:rPr>
          <w:sz w:val="24"/>
          <w:szCs w:val="24"/>
          <w:lang w:val="cs-CZ"/>
        </w:rPr>
      </w:pPr>
      <w:r w:rsidRPr="00BC309C">
        <w:rPr>
          <w:rStyle w:val="FootnoteReference"/>
          <w:sz w:val="24"/>
          <w:szCs w:val="24"/>
          <w:lang w:val="cs-CZ"/>
        </w:rPr>
        <w:footnoteRef/>
      </w:r>
      <w:r w:rsidR="000F3544" w:rsidRPr="00BC309C">
        <w:rPr>
          <w:sz w:val="24"/>
          <w:szCs w:val="24"/>
          <w:shd w:val="clear" w:color="auto" w:fill="FFFFFF"/>
          <w:lang w:val="cs-CZ"/>
        </w:rPr>
        <w:t xml:space="preserve"> </w:t>
      </w:r>
      <w:r w:rsidR="000F3544" w:rsidRPr="00BC309C">
        <w:rPr>
          <w:sz w:val="24"/>
          <w:szCs w:val="24"/>
          <w:shd w:val="clear" w:color="auto" w:fill="FFFFFF"/>
          <w:lang w:val="cs-CZ"/>
        </w:rPr>
        <w:tab/>
      </w:r>
      <w:r w:rsidRPr="00BC309C">
        <w:rPr>
          <w:sz w:val="24"/>
          <w:szCs w:val="24"/>
          <w:shd w:val="clear" w:color="auto" w:fill="FFFFFF"/>
          <w:lang w:val="cs-CZ"/>
        </w:rPr>
        <w:t xml:space="preserve">Dohoda o přidružení mezi Evropskou unií a Evropským společenstvím pro atomovou energii a jejich členskými státy na jedné straně a Moldavskou republikou na straně druhé </w:t>
      </w:r>
      <w:r w:rsidR="00202CBF" w:rsidRPr="00BC309C">
        <w:rPr>
          <w:sz w:val="24"/>
          <w:szCs w:val="24"/>
          <w:shd w:val="clear" w:color="auto" w:fill="FFFFFF"/>
          <w:lang w:val="cs-CZ"/>
        </w:rPr>
        <w:t>(</w:t>
      </w:r>
      <w:r w:rsidRPr="00BC309C">
        <w:rPr>
          <w:sz w:val="24"/>
          <w:szCs w:val="24"/>
          <w:shd w:val="clear" w:color="auto" w:fill="FFFFFF"/>
          <w:lang w:val="cs-CZ"/>
        </w:rPr>
        <w:t>Úř. věst. L 260, 30.8.2014, s. 4, ELI: </w:t>
      </w:r>
      <w:hyperlink r:id="rId2" w:history="1">
        <w:r w:rsidR="00202CBF" w:rsidRPr="00BC309C">
          <w:rPr>
            <w:rStyle w:val="Hyperlink"/>
            <w:sz w:val="24"/>
            <w:szCs w:val="24"/>
            <w:shd w:val="clear" w:color="auto" w:fill="FFFFFF"/>
            <w:lang w:val="cs-CZ"/>
          </w:rPr>
          <w:t>http://data.europa.eu/eli/agree_internation/2014/492/oj</w:t>
        </w:r>
      </w:hyperlink>
      <w:r w:rsidR="00202CBF" w:rsidRPr="00BC309C">
        <w:rPr>
          <w:rStyle w:val="Hyperlink"/>
          <w:color w:val="auto"/>
          <w:sz w:val="24"/>
          <w:szCs w:val="24"/>
          <w:u w:val="none"/>
          <w:shd w:val="clear" w:color="auto" w:fill="FFFFFF"/>
          <w:lang w:val="cs-CZ"/>
        </w:rPr>
        <w:t>)</w:t>
      </w:r>
      <w:r w:rsidRPr="00BC309C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2F33D" w14:textId="77777777" w:rsidR="00064002" w:rsidRPr="000F35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0DB60" w14:textId="77777777" w:rsidR="00064002" w:rsidRPr="000F35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0D218" w14:textId="77777777" w:rsidR="00064002" w:rsidRPr="000F35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29972535">
    <w:abstractNumId w:val="9"/>
  </w:num>
  <w:num w:numId="2" w16cid:durableId="408818144">
    <w:abstractNumId w:val="9"/>
  </w:num>
  <w:num w:numId="3" w16cid:durableId="1365786776">
    <w:abstractNumId w:val="7"/>
  </w:num>
  <w:num w:numId="4" w16cid:durableId="197619815">
    <w:abstractNumId w:val="7"/>
  </w:num>
  <w:num w:numId="5" w16cid:durableId="1819421958">
    <w:abstractNumId w:val="6"/>
  </w:num>
  <w:num w:numId="6" w16cid:durableId="1098526960">
    <w:abstractNumId w:val="6"/>
  </w:num>
  <w:num w:numId="7" w16cid:durableId="1166893751">
    <w:abstractNumId w:val="5"/>
  </w:num>
  <w:num w:numId="8" w16cid:durableId="1719665349">
    <w:abstractNumId w:val="5"/>
  </w:num>
  <w:num w:numId="9" w16cid:durableId="1564678317">
    <w:abstractNumId w:val="4"/>
  </w:num>
  <w:num w:numId="10" w16cid:durableId="733117580">
    <w:abstractNumId w:val="4"/>
  </w:num>
  <w:num w:numId="11" w16cid:durableId="1141729840">
    <w:abstractNumId w:val="8"/>
  </w:num>
  <w:num w:numId="12" w16cid:durableId="681324062">
    <w:abstractNumId w:val="8"/>
  </w:num>
  <w:num w:numId="13" w16cid:durableId="2046904728">
    <w:abstractNumId w:val="3"/>
  </w:num>
  <w:num w:numId="14" w16cid:durableId="6100756">
    <w:abstractNumId w:val="3"/>
  </w:num>
  <w:num w:numId="15" w16cid:durableId="788476307">
    <w:abstractNumId w:val="2"/>
  </w:num>
  <w:num w:numId="16" w16cid:durableId="1876039324">
    <w:abstractNumId w:val="2"/>
  </w:num>
  <w:num w:numId="17" w16cid:durableId="66851745">
    <w:abstractNumId w:val="1"/>
  </w:num>
  <w:num w:numId="18" w16cid:durableId="1032802017">
    <w:abstractNumId w:val="1"/>
  </w:num>
  <w:num w:numId="19" w16cid:durableId="285745549">
    <w:abstractNumId w:val="0"/>
  </w:num>
  <w:num w:numId="20" w16cid:durableId="1378896360">
    <w:abstractNumId w:val="0"/>
  </w:num>
  <w:num w:numId="21" w16cid:durableId="66851729">
    <w:abstractNumId w:val="9"/>
  </w:num>
  <w:num w:numId="22" w16cid:durableId="678049212">
    <w:abstractNumId w:val="7"/>
  </w:num>
  <w:num w:numId="23" w16cid:durableId="1899319863">
    <w:abstractNumId w:val="6"/>
  </w:num>
  <w:num w:numId="24" w16cid:durableId="1502742182">
    <w:abstractNumId w:val="5"/>
  </w:num>
  <w:num w:numId="25" w16cid:durableId="924916082">
    <w:abstractNumId w:val="4"/>
  </w:num>
  <w:num w:numId="26" w16cid:durableId="478304924">
    <w:abstractNumId w:val="8"/>
  </w:num>
  <w:num w:numId="27" w16cid:durableId="401486643">
    <w:abstractNumId w:val="3"/>
  </w:num>
  <w:num w:numId="28" w16cid:durableId="1338582701">
    <w:abstractNumId w:val="2"/>
  </w:num>
  <w:num w:numId="29" w16cid:durableId="432362530">
    <w:abstractNumId w:val="1"/>
  </w:num>
  <w:num w:numId="30" w16cid:durableId="551968615">
    <w:abstractNumId w:val="0"/>
  </w:num>
  <w:num w:numId="31" w16cid:durableId="561448794">
    <w:abstractNumId w:val="9"/>
  </w:num>
  <w:num w:numId="32" w16cid:durableId="500195018">
    <w:abstractNumId w:val="7"/>
  </w:num>
  <w:num w:numId="33" w16cid:durableId="311717755">
    <w:abstractNumId w:val="6"/>
  </w:num>
  <w:num w:numId="34" w16cid:durableId="196620852">
    <w:abstractNumId w:val="5"/>
  </w:num>
  <w:num w:numId="35" w16cid:durableId="1957906078">
    <w:abstractNumId w:val="4"/>
  </w:num>
  <w:num w:numId="36" w16cid:durableId="839466074">
    <w:abstractNumId w:val="8"/>
  </w:num>
  <w:num w:numId="37" w16cid:durableId="1120105600">
    <w:abstractNumId w:val="3"/>
  </w:num>
  <w:num w:numId="38" w16cid:durableId="2049526519">
    <w:abstractNumId w:val="2"/>
  </w:num>
  <w:num w:numId="39" w16cid:durableId="1237546160">
    <w:abstractNumId w:val="1"/>
  </w:num>
  <w:num w:numId="40" w16cid:durableId="1846824537">
    <w:abstractNumId w:val="0"/>
  </w:num>
  <w:num w:numId="41" w16cid:durableId="465705803">
    <w:abstractNumId w:val="10"/>
  </w:num>
  <w:num w:numId="42" w16cid:durableId="1277172462">
    <w:abstractNumId w:val="10"/>
  </w:num>
  <w:num w:numId="43" w16cid:durableId="1527795017">
    <w:abstractNumId w:val="10"/>
  </w:num>
  <w:num w:numId="44" w16cid:durableId="3749353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6/2025"/>
    <w:docVar w:name="dvlangue" w:val="CS"/>
    <w:docVar w:name="dvnumam" w:val="0"/>
    <w:docVar w:name="dvpe" w:val="768.179"/>
    <w:docVar w:name="dvrapporteur" w:val="Zpravodaj: "/>
    <w:docVar w:name="dvtitre" w:val="Usnesení Evropského parlamentu ze dne 18. června 2025 o zprávách Komise o Moldavsku za roky 2023 a 2024(2025/2025(INI))"/>
  </w:docVars>
  <w:rsids>
    <w:rsidRoot w:val="00871BCC"/>
    <w:rsid w:val="00002272"/>
    <w:rsid w:val="00064002"/>
    <w:rsid w:val="000677B9"/>
    <w:rsid w:val="000831BA"/>
    <w:rsid w:val="000A42CC"/>
    <w:rsid w:val="000E7DD9"/>
    <w:rsid w:val="000F3544"/>
    <w:rsid w:val="0010095E"/>
    <w:rsid w:val="00125B37"/>
    <w:rsid w:val="00175B8E"/>
    <w:rsid w:val="00187494"/>
    <w:rsid w:val="001F32AE"/>
    <w:rsid w:val="00202CBF"/>
    <w:rsid w:val="0027182F"/>
    <w:rsid w:val="002767FF"/>
    <w:rsid w:val="002B18FE"/>
    <w:rsid w:val="002B5493"/>
    <w:rsid w:val="00343214"/>
    <w:rsid w:val="00361C00"/>
    <w:rsid w:val="00382249"/>
    <w:rsid w:val="00395FA1"/>
    <w:rsid w:val="003E15D4"/>
    <w:rsid w:val="00411CCE"/>
    <w:rsid w:val="0041666E"/>
    <w:rsid w:val="00421060"/>
    <w:rsid w:val="00471C19"/>
    <w:rsid w:val="004720F5"/>
    <w:rsid w:val="004867E3"/>
    <w:rsid w:val="00494A28"/>
    <w:rsid w:val="004C0004"/>
    <w:rsid w:val="004C5D52"/>
    <w:rsid w:val="004E2EE1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F38"/>
    <w:rsid w:val="00817416"/>
    <w:rsid w:val="00833337"/>
    <w:rsid w:val="00842779"/>
    <w:rsid w:val="00865F67"/>
    <w:rsid w:val="00871BCC"/>
    <w:rsid w:val="00881A7B"/>
    <w:rsid w:val="008840E5"/>
    <w:rsid w:val="00887B3E"/>
    <w:rsid w:val="008C2AC6"/>
    <w:rsid w:val="008E525A"/>
    <w:rsid w:val="00930C23"/>
    <w:rsid w:val="0093193B"/>
    <w:rsid w:val="009509D8"/>
    <w:rsid w:val="00950B64"/>
    <w:rsid w:val="00981893"/>
    <w:rsid w:val="009B388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309C"/>
    <w:rsid w:val="00BD48FE"/>
    <w:rsid w:val="00BD7BD8"/>
    <w:rsid w:val="00BE6ADC"/>
    <w:rsid w:val="00C05BFE"/>
    <w:rsid w:val="00C23CD4"/>
    <w:rsid w:val="00C61C0C"/>
    <w:rsid w:val="00C941CB"/>
    <w:rsid w:val="00CC2357"/>
    <w:rsid w:val="00CE6FC7"/>
    <w:rsid w:val="00CF071A"/>
    <w:rsid w:val="00D058B8"/>
    <w:rsid w:val="00D30986"/>
    <w:rsid w:val="00D56C11"/>
    <w:rsid w:val="00D834A0"/>
    <w:rsid w:val="00D872DF"/>
    <w:rsid w:val="00D91E21"/>
    <w:rsid w:val="00DA7FCD"/>
    <w:rsid w:val="00DF529B"/>
    <w:rsid w:val="00E365E1"/>
    <w:rsid w:val="00E672AF"/>
    <w:rsid w:val="00E820A4"/>
    <w:rsid w:val="00EB006A"/>
    <w:rsid w:val="00EB4772"/>
    <w:rsid w:val="00EB62EF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7414EE"/>
  <w15:chartTrackingRefBased/>
  <w15:docId w15:val="{0E6DD943-09DF-44D3-9E35-2DD403944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82249"/>
    <w:pPr>
      <w:spacing w:after="240"/>
      <w:ind w:left="567" w:hanging="567"/>
    </w:pPr>
  </w:style>
  <w:style w:type="paragraph" w:customStyle="1" w:styleId="EPComma">
    <w:name w:val="EPComma"/>
    <w:basedOn w:val="Normal"/>
    <w:rsid w:val="0038224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82249"/>
    <w:rPr>
      <w:sz w:val="24"/>
      <w:lang w:val="cs-CZ"/>
    </w:rPr>
  </w:style>
  <w:style w:type="character" w:styleId="Hyperlink">
    <w:name w:val="Hyperlink"/>
    <w:basedOn w:val="DefaultParagraphFont"/>
    <w:unhideWhenUsed/>
    <w:rsid w:val="00382249"/>
    <w:rPr>
      <w:color w:val="0000FF"/>
      <w:u w:val="single"/>
    </w:rPr>
  </w:style>
  <w:style w:type="paragraph" w:styleId="Revision">
    <w:name w:val="Revision"/>
    <w:hidden/>
    <w:uiPriority w:val="99"/>
    <w:semiHidden/>
    <w:rsid w:val="00EB62EF"/>
    <w:rPr>
      <w:sz w:val="24"/>
      <w:lang w:val="cs-CZ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02C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nation/2014/492/oj" TargetMode="External"/><Relationship Id="rId1" Type="http://schemas.openxmlformats.org/officeDocument/2006/relationships/hyperlink" Target="http://data.europa.eu/eli/reg/2025/53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D67D5-9000-4888-B11E-3E2BF0D0F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3540</Words>
  <Characters>21337</Characters>
  <Application>Microsoft Office Word</Application>
  <DocSecurity>4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GIRGINOV Kiril</cp:lastModifiedBy>
  <cp:revision>2</cp:revision>
  <cp:lastPrinted>2004-11-19T15:42:00Z</cp:lastPrinted>
  <dcterms:created xsi:type="dcterms:W3CDTF">2025-10-15T10:22:00Z</dcterms:created>
  <dcterms:modified xsi:type="dcterms:W3CDTF">2025-10-15T10:22:00Z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P10_TA(2025)0131_</vt:lpwstr>
  </property>
  <property fmtid="{D5CDD505-2E9C-101B-9397-08002B2CF9AE}" pid="4" name="&lt;Type&gt;">
    <vt:lpwstr>RR</vt:lpwstr>
  </property>
</Properties>
</file>