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5295" w14:paraId="0A5EE2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2A8B14" w14:textId="77777777" w:rsidR="00751A4A" w:rsidRPr="005A5295" w:rsidRDefault="00093EB5" w:rsidP="0010095E">
            <w:pPr>
              <w:pStyle w:val="EPName"/>
            </w:pPr>
            <w:r w:rsidRPr="005A5295">
              <w:t>Europski parlament</w:t>
            </w:r>
          </w:p>
          <w:p w14:paraId="15267182" w14:textId="77777777" w:rsidR="00751A4A" w:rsidRPr="005A52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5295">
              <w:t>2024</w:t>
            </w:r>
            <w:r w:rsidR="00817416" w:rsidRPr="005A5295">
              <w:t>-202</w:t>
            </w:r>
            <w:r w:rsidRPr="005A5295">
              <w:t>9</w:t>
            </w:r>
          </w:p>
        </w:tc>
        <w:tc>
          <w:tcPr>
            <w:tcW w:w="2268" w:type="dxa"/>
            <w:shd w:val="clear" w:color="auto" w:fill="auto"/>
          </w:tcPr>
          <w:p w14:paraId="7EDD49A3" w14:textId="77777777" w:rsidR="00751A4A" w:rsidRPr="005A5295" w:rsidRDefault="00187494" w:rsidP="0010095E">
            <w:pPr>
              <w:pStyle w:val="EPLogo"/>
            </w:pPr>
            <w:r w:rsidRPr="005A5295">
              <w:rPr>
                <w:noProof/>
                <w:lang w:val="en-GB" w:eastAsia="zh-CN"/>
              </w:rPr>
              <w:drawing>
                <wp:inline distT="0" distB="0" distL="0" distR="0" wp14:anchorId="4A88E24C" wp14:editId="005E5C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140DD" w14:textId="77777777" w:rsidR="00D058B8" w:rsidRPr="005A5295" w:rsidRDefault="00D058B8" w:rsidP="004C5D52">
      <w:pPr>
        <w:pStyle w:val="LineTop"/>
      </w:pPr>
    </w:p>
    <w:p w14:paraId="31F24BD5" w14:textId="77777777" w:rsidR="00680577" w:rsidRPr="005A5295" w:rsidRDefault="00093EB5" w:rsidP="00680577">
      <w:pPr>
        <w:pStyle w:val="EPBodyTA1"/>
      </w:pPr>
      <w:r w:rsidRPr="005A5295">
        <w:t>USVOJENI TEKSTOVI</w:t>
      </w:r>
    </w:p>
    <w:p w14:paraId="3753F36F" w14:textId="77777777" w:rsidR="00D058B8" w:rsidRPr="005A5295" w:rsidRDefault="00D058B8" w:rsidP="00D058B8">
      <w:pPr>
        <w:pStyle w:val="LineBottom"/>
      </w:pPr>
    </w:p>
    <w:p w14:paraId="2AAEC6FC" w14:textId="77777777" w:rsidR="00093EB5" w:rsidRPr="005A5295" w:rsidRDefault="00093EB5" w:rsidP="00093EB5">
      <w:pPr>
        <w:pStyle w:val="ATHeading1"/>
      </w:pPr>
      <w:bookmarkStart w:id="0" w:name="TANumber"/>
      <w:r w:rsidRPr="005A5295">
        <w:t>P10_TA(2025)0</w:t>
      </w:r>
      <w:r w:rsidR="00D22DEE">
        <w:t>131</w:t>
      </w:r>
      <w:bookmarkEnd w:id="0"/>
    </w:p>
    <w:p w14:paraId="0E148D56" w14:textId="77777777" w:rsidR="00093EB5" w:rsidRPr="005A5295" w:rsidRDefault="00093EB5" w:rsidP="00093EB5">
      <w:pPr>
        <w:pStyle w:val="ATHeading2"/>
      </w:pPr>
      <w:bookmarkStart w:id="1" w:name="title"/>
      <w:r w:rsidRPr="005A5295">
        <w:t xml:space="preserve">Izvješća Komisije o </w:t>
      </w:r>
      <w:proofErr w:type="spellStart"/>
      <w:r w:rsidRPr="005A5295">
        <w:t>Moldovi</w:t>
      </w:r>
      <w:proofErr w:type="spellEnd"/>
      <w:r w:rsidRPr="005A5295">
        <w:t xml:space="preserve"> za 2023. i 2024.</w:t>
      </w:r>
      <w:bookmarkEnd w:id="1"/>
    </w:p>
    <w:p w14:paraId="457EE346" w14:textId="77777777" w:rsidR="00093EB5" w:rsidRPr="005A5295" w:rsidRDefault="00093EB5" w:rsidP="00093EB5">
      <w:pPr>
        <w:rPr>
          <w:i/>
          <w:vanish/>
        </w:rPr>
      </w:pPr>
      <w:r w:rsidRPr="005A5295">
        <w:rPr>
          <w:i/>
        </w:rPr>
        <w:fldChar w:fldCharType="begin"/>
      </w:r>
      <w:r w:rsidRPr="005A5295">
        <w:rPr>
          <w:i/>
        </w:rPr>
        <w:instrText xml:space="preserve"> TC"(</w:instrText>
      </w:r>
      <w:bookmarkStart w:id="2" w:name="DocNumber"/>
      <w:r w:rsidRPr="005A5295">
        <w:rPr>
          <w:i/>
        </w:rPr>
        <w:instrText>A10-0096/2025</w:instrText>
      </w:r>
      <w:bookmarkEnd w:id="2"/>
      <w:r w:rsidRPr="005A5295">
        <w:rPr>
          <w:i/>
        </w:rPr>
        <w:instrText xml:space="preserve"> - Izvjestitelj: Sven Mikser)"\l3 \n&gt; \* MERGEFORMAT </w:instrText>
      </w:r>
      <w:r w:rsidRPr="005A5295">
        <w:rPr>
          <w:i/>
        </w:rPr>
        <w:fldChar w:fldCharType="end"/>
      </w:r>
    </w:p>
    <w:p w14:paraId="2FE1D5C3" w14:textId="77777777" w:rsidR="00093EB5" w:rsidRPr="005A5295" w:rsidRDefault="00093EB5" w:rsidP="00093EB5">
      <w:pPr>
        <w:rPr>
          <w:vanish/>
        </w:rPr>
      </w:pPr>
      <w:bookmarkStart w:id="3" w:name="Commission"/>
      <w:r w:rsidRPr="005A5295">
        <w:rPr>
          <w:vanish/>
        </w:rPr>
        <w:t>Odbor za vanjske poslove</w:t>
      </w:r>
      <w:bookmarkEnd w:id="3"/>
    </w:p>
    <w:p w14:paraId="05D271CF" w14:textId="77777777" w:rsidR="00093EB5" w:rsidRPr="005A5295" w:rsidRDefault="00093EB5" w:rsidP="00093EB5">
      <w:pPr>
        <w:rPr>
          <w:vanish/>
        </w:rPr>
      </w:pPr>
      <w:bookmarkStart w:id="4" w:name="PE"/>
      <w:r w:rsidRPr="005A5295">
        <w:rPr>
          <w:vanish/>
        </w:rPr>
        <w:t>PE768.179</w:t>
      </w:r>
      <w:bookmarkEnd w:id="4"/>
    </w:p>
    <w:p w14:paraId="7564CF1D" w14:textId="77777777" w:rsidR="00093EB5" w:rsidRPr="005A5295" w:rsidRDefault="00093EB5" w:rsidP="00093EB5">
      <w:pPr>
        <w:pStyle w:val="ATHeading3"/>
      </w:pPr>
      <w:bookmarkStart w:id="5" w:name="Sujet"/>
      <w:r w:rsidRPr="005A5295">
        <w:t>Rezolu</w:t>
      </w:r>
      <w:r w:rsidR="0046699B">
        <w:t>cija Europskog parlamenta od 18</w:t>
      </w:r>
      <w:r w:rsidRPr="005A5295">
        <w:t xml:space="preserve">. </w:t>
      </w:r>
      <w:r w:rsidR="0046699B">
        <w:t xml:space="preserve">lipnja </w:t>
      </w:r>
      <w:r w:rsidRPr="005A5295">
        <w:t xml:space="preserve">2025. o izvješćima Komisije o </w:t>
      </w:r>
      <w:proofErr w:type="spellStart"/>
      <w:r w:rsidRPr="005A5295">
        <w:t>Moldovi</w:t>
      </w:r>
      <w:proofErr w:type="spellEnd"/>
      <w:r w:rsidRPr="005A5295">
        <w:t xml:space="preserve"> za 2023. i 2024.</w:t>
      </w:r>
      <w:bookmarkEnd w:id="5"/>
      <w:r w:rsidRPr="005A5295">
        <w:t xml:space="preserve"> </w:t>
      </w:r>
      <w:bookmarkStart w:id="6" w:name="References"/>
      <w:r w:rsidRPr="005A5295">
        <w:t>(2025/2025(INI))</w:t>
      </w:r>
      <w:bookmarkEnd w:id="6"/>
    </w:p>
    <w:p w14:paraId="376A7F3A" w14:textId="77777777" w:rsidR="009628A9" w:rsidRPr="005A5295" w:rsidRDefault="009628A9" w:rsidP="009628A9">
      <w:pPr>
        <w:pStyle w:val="EPComma"/>
      </w:pPr>
      <w:r w:rsidRPr="005A5295">
        <w:rPr>
          <w:i/>
        </w:rPr>
        <w:t>Europski parlament</w:t>
      </w:r>
      <w:r w:rsidRPr="005A5295">
        <w:t>,</w:t>
      </w:r>
    </w:p>
    <w:p w14:paraId="0B9F98EF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 xml:space="preserve">uzimajući u obzir komunikaciju Komisije od 30. listopada 2024. naslovljenu „Komunikacija o politici proširenja EU-a za 2024.” (COM(2024)0690) i priloženi radni dokument službi Komisije naslovljen „Izvješće o Republici Moldovi za 2024.” (SWD(2024)0698), </w:t>
      </w:r>
    </w:p>
    <w:p w14:paraId="04BAB988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mišljenje Komisije od 17. lipnja 2022. o zahtjevu Republike Moldove (dalje u tekstu: Moldova) za članstvo u Europskoj uniji (COM(2022)0406) i zajednički radni dokument službi od 6. veljače 2023. naslovljen „Izvješće o provedbi pridruživanja Republike Moldove” (SWD(2023)0041),</w:t>
      </w:r>
    </w:p>
    <w:p w14:paraId="0A6C4C6F" w14:textId="77777777" w:rsidR="009628A9" w:rsidRPr="005A5295" w:rsidRDefault="009628A9" w:rsidP="009628A9">
      <w:pPr>
        <w:pStyle w:val="NormalHanging12a"/>
        <w:rPr>
          <w:i/>
        </w:rPr>
      </w:pPr>
      <w:r w:rsidRPr="005A5295">
        <w:rPr>
          <w:i/>
        </w:rPr>
        <w:t>–</w:t>
      </w:r>
      <w:r w:rsidRPr="005A5295">
        <w:tab/>
        <w:t>uzimajući u obzir Uredbu (EU) 2025/535 Europskog parlamenta i Vijeća od 18. ožujka 2025. o uspostavi Instrumenta za reforme i rast za Republiku Moldovu</w:t>
      </w:r>
      <w:r w:rsidRPr="005A5295">
        <w:rPr>
          <w:rStyle w:val="FootnoteReference"/>
        </w:rPr>
        <w:footnoteReference w:id="1"/>
      </w:r>
      <w:r w:rsidRPr="005A5295">
        <w:t>,</w:t>
      </w:r>
    </w:p>
    <w:p w14:paraId="77BCF060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svoje prethodne rezolucije o Moldovi,</w:t>
      </w:r>
    </w:p>
    <w:p w14:paraId="265E799B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analitičko izvješće Komisije od 1. veljače 2023. o usklađivanju Moldove s pravnom stečevinom EU-a (SWD(2023)0032,</w:t>
      </w:r>
    </w:p>
    <w:p w14:paraId="116BE3FD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Prijedlog uredbe Europskog parlamenta i Vijeća od 9. listopada 2024. o uspostavi Instrumenta za reforme i rast za Republiku Moldovu (COM(2024)0469),</w:t>
      </w:r>
    </w:p>
    <w:p w14:paraId="7316089F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Komunikaciju Komisije od 9. listopada 2024. o Planu rasta za Moldovu (COM(2024)0470),</w:t>
      </w:r>
    </w:p>
    <w:p w14:paraId="2F559FF1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zaključke Vijeća od 17. prosinca 2024. o proširenju,</w:t>
      </w:r>
    </w:p>
    <w:p w14:paraId="02E5B4D9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 xml:space="preserve">uzimajući u obzir posjet izaslanstva Odbora za vanjske poslove Moldovi od 25. do </w:t>
      </w:r>
      <w:r w:rsidRPr="005A5295">
        <w:lastRenderedPageBreak/>
        <w:t>27. veljače 2025.,</w:t>
      </w:r>
    </w:p>
    <w:p w14:paraId="4157A992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članak 55. Poslovnika,</w:t>
      </w:r>
    </w:p>
    <w:p w14:paraId="5B111D7B" w14:textId="77777777" w:rsidR="009628A9" w:rsidRPr="005A5295" w:rsidRDefault="009628A9" w:rsidP="009628A9">
      <w:pPr>
        <w:pStyle w:val="NormalHanging12a"/>
      </w:pPr>
      <w:r w:rsidRPr="005A5295">
        <w:t>–</w:t>
      </w:r>
      <w:r w:rsidRPr="005A5295">
        <w:tab/>
        <w:t>uzimajući u obzir izvješće Odbora za vanjske poslove (A10</w:t>
      </w:r>
      <w:r w:rsidRPr="005A5295">
        <w:noBreakHyphen/>
        <w:t>0096/2025),</w:t>
      </w:r>
    </w:p>
    <w:p w14:paraId="3AA4E78D" w14:textId="77777777" w:rsidR="009628A9" w:rsidRPr="005A5295" w:rsidRDefault="009628A9" w:rsidP="009628A9">
      <w:pPr>
        <w:pStyle w:val="NormalHanging12a"/>
      </w:pPr>
      <w:r w:rsidRPr="005A5295">
        <w:t>A.</w:t>
      </w:r>
      <w:r w:rsidRPr="005A5295">
        <w:tab/>
        <w:t>budući da je, nakon što je 3. ožujka 2022. podnijela zahtjev za članstvo u EU-u, Europsko vijeće 23. lipnja 2022. Moldovi dodijelilo status zemlje kandidatkinje, a zatim 14. prosinca 2023. odlučilo otvoriti pregovore o pristupanju;</w:t>
      </w:r>
    </w:p>
    <w:p w14:paraId="6353ED54" w14:textId="77777777" w:rsidR="009628A9" w:rsidRPr="005A5295" w:rsidRDefault="009628A9" w:rsidP="009628A9">
      <w:pPr>
        <w:pStyle w:val="NormalHanging12a"/>
      </w:pPr>
      <w:r w:rsidRPr="005A5295">
        <w:t>B.</w:t>
      </w:r>
      <w:r w:rsidRPr="005A5295">
        <w:tab/>
        <w:t>budući da su pregovori o pristupanju Moldove EU-u započeli u lipnju 2024.;</w:t>
      </w:r>
    </w:p>
    <w:p w14:paraId="25C498F1" w14:textId="77777777" w:rsidR="009628A9" w:rsidRPr="005A5295" w:rsidRDefault="009628A9" w:rsidP="009628A9">
      <w:pPr>
        <w:pStyle w:val="NormalHanging12a"/>
      </w:pPr>
      <w:r w:rsidRPr="005A5295">
        <w:t>C.</w:t>
      </w:r>
      <w:r w:rsidRPr="005A5295">
        <w:tab/>
        <w:t>budući da je Moldova 20. listopada 2024. održala referendum čijim je ishodom potvrđeno uključivanje pristupanja EU-u u Ustav, unatoč raznim oblicima manipulativnog uplitanja s ciljem destabilizacije zemlje, nezakonitom financiranju političkih aktera, kampanjama dezinformiranja i kibernetičkim napadima;</w:t>
      </w:r>
    </w:p>
    <w:p w14:paraId="022C1ED6" w14:textId="77777777" w:rsidR="009628A9" w:rsidRPr="005A5295" w:rsidRDefault="009628A9" w:rsidP="009628A9">
      <w:pPr>
        <w:pStyle w:val="NormalHanging12a"/>
      </w:pPr>
      <w:r w:rsidRPr="005A5295">
        <w:t>D.</w:t>
      </w:r>
      <w:r w:rsidRPr="005A5295">
        <w:tab/>
        <w:t>budući da je Sporazum o pridruživanju</w:t>
      </w:r>
      <w:r w:rsidRPr="005A5295">
        <w:rPr>
          <w:rStyle w:val="FootnoteReference"/>
          <w:color w:val="000000"/>
        </w:rPr>
        <w:footnoteReference w:id="2"/>
      </w:r>
      <w:r w:rsidRPr="005A5295">
        <w:t>, koji uključuje detaljno i sveobuhvatno područje slobodne trgovine (AA/DCFTA), i dalje temelj za političko povezivanje i gospodarsku integraciju između EU-a i Moldove te da se između tih dviju strana održava redoviti politički i gospodarski dijalog;</w:t>
      </w:r>
    </w:p>
    <w:p w14:paraId="71A79D94" w14:textId="77777777" w:rsidR="009628A9" w:rsidRPr="005A5295" w:rsidRDefault="009628A9" w:rsidP="005A5295">
      <w:pPr>
        <w:pStyle w:val="NormalHanging12a"/>
        <w:ind w:left="0" w:firstLine="0"/>
        <w:rPr>
          <w:b/>
        </w:rPr>
      </w:pPr>
      <w:r w:rsidRPr="005A5295">
        <w:rPr>
          <w:b/>
          <w:i/>
        </w:rPr>
        <w:t>Napredak u reformama povezanima s pristupanjem EU-u, posebno u pogledu vladavine prava i upravljanja</w:t>
      </w:r>
    </w:p>
    <w:p w14:paraId="46552C8E" w14:textId="77777777" w:rsidR="009628A9" w:rsidRPr="005A5295" w:rsidRDefault="009628A9" w:rsidP="009628A9">
      <w:pPr>
        <w:pStyle w:val="NormalHanging12a"/>
        <w:rPr>
          <w:shd w:val="clear" w:color="auto" w:fill="FFFFFF"/>
        </w:rPr>
      </w:pPr>
      <w:r w:rsidRPr="005A5295">
        <w:t>1.</w:t>
      </w:r>
      <w:r w:rsidRPr="005A5295">
        <w:tab/>
      </w:r>
      <w:r w:rsidRPr="005A5295">
        <w:rPr>
          <w:shd w:val="clear" w:color="auto" w:fill="FFFFFF"/>
        </w:rPr>
        <w:t>pohvaljuje uzornu predanost Moldove i njezin kontinuirani napredak u reformama povezanima s pristupanjem EU-u unatoč znatnim unutarnjim i vanjskim izazovima, kao što je opća ruska ratna agresija na Ukrajinu, što je omogućilo da pristupni pregovori započnu u lipnju 2024., pola godine nakon relevantne odluke Europskog vijeća od 14. prosinca 2023. i manje od dvije godine nakon što je ta zemlja 3. ožujka 2022. podnijela zahtjev za članstvo u EU-u;</w:t>
      </w:r>
    </w:p>
    <w:p w14:paraId="4C9B22D2" w14:textId="77777777" w:rsidR="009628A9" w:rsidRPr="005A5295" w:rsidRDefault="009628A9" w:rsidP="009628A9">
      <w:pPr>
        <w:pStyle w:val="NormalHanging12a"/>
      </w:pPr>
      <w:r w:rsidRPr="005A5295">
        <w:t>2.</w:t>
      </w:r>
      <w:r w:rsidRPr="005A5295">
        <w:tab/>
        <w:t xml:space="preserve">uviđa da su odnosi EU-a i Moldove ušli u novu fazu, uz jačanje suradnje, postupno usklađivanje u svim područjima politika pravne stečevine EU-a i napredovanja na putu prema integraciji u EU; pozdravlja napredak postignut u postupku bilateralne provjere usklađenosti zakonodavstva od njegova početka u srpnju 2024. te nedavno zaključenje provjere za 1. skupinu poglavlja (temeljna pitanja) i 2. skupinu poglavlja (unutarnje tržište); pohvaljuje i podupire ambiciozna nastojanja moldavske vlade da u nadolazećim mjesecima otvori pregovore o 1. skupini poglavlja (temeljna pitanja), 2. skupini poglavlja (unutarnje tržište) i 6. skupini poglavlja (vanjski odnosi) te da dovrši postupak provjere za sve skupine poglavlja do kraja 2025.; poziva Komisiju da poveća svoju potporu moldavskoj vladi kako bi se osiguralo uspješno postizanje tih ključnih ciljeva; potiče Vijeće da u svojim odlukama o pregovaračkom procesu Moldove zauzme pristup koji se temelji na zaslugama; žali zbog bilateralizacije i instrumentalizacije procesa pristupanja EU-u, kao primjerice protivljenje mađarske vlade otvaranju pregovora o 1., 2. i 6. skupini poglavlja, što je dovelo do kašnjenja te služi cilju Rusije da ometa </w:t>
      </w:r>
      <w:r w:rsidRPr="005A5295">
        <w:lastRenderedPageBreak/>
        <w:t>europsku integraciju te regije;</w:t>
      </w:r>
    </w:p>
    <w:p w14:paraId="7693A6F4" w14:textId="77777777" w:rsidR="009628A9" w:rsidRPr="005A5295" w:rsidRDefault="009628A9" w:rsidP="009628A9">
      <w:pPr>
        <w:pStyle w:val="NormalHanging12a"/>
      </w:pPr>
      <w:r w:rsidRPr="005A5295">
        <w:t>3.</w:t>
      </w:r>
      <w:r w:rsidRPr="005A5295">
        <w:tab/>
        <w:t>smatra da će sposobnost Moldove da konsolidira svoj aktualni napredak u reformama povezanima s pristupanjem EU-u i da održi ambiciozan tempo prema članstvu u EU-u zahtijevati snažnu i istinsku potporu parlamentarne većine nakon izbora koji će se održati u jesen 2025.;</w:t>
      </w:r>
    </w:p>
    <w:p w14:paraId="1978E896" w14:textId="77777777" w:rsidR="009628A9" w:rsidRPr="005A5295" w:rsidRDefault="009628A9" w:rsidP="009628A9">
      <w:pPr>
        <w:pStyle w:val="NormalHanging12a"/>
      </w:pPr>
      <w:r w:rsidRPr="005A5295">
        <w:t>4.</w:t>
      </w:r>
      <w:r w:rsidRPr="005A5295">
        <w:tab/>
        <w:t>napominje da su ishodi ustavnog referenduma o pristupanju EU-u održanog 20. listopada 2024. i predsjedničkih izbora održanih 20. listopada 2024. i 3. studenoga 2024. potvrdili potporu većine moldavskog naroda cilju članstva te zemlje u EU-u i potrebnim proeuropskim reformama; ističe da su taj referendum i izbori održani stručno i uz izniman osjećaj dužnosti i predanosti, unatoč masovnoj hibridnoj kampanji Rusije i njezinih pomagača, u kojoj su se koristili razni alati kao što su strateško iskorištavanje društvenih medija, sadržaji proizvedeni umjetnom inteligencijom, „curenje” lažnih dokumenata i zastrašivanje te koja je uključivala različite oblike manipulativnog uplitanja s ciljem destabilizacije zemlje, nezakonito financiranje političkih aktera, kupnju glasova, među ostalim preko ruske instrumentalizacije dijela svećenstva iz kišinjevske i moldavske metropolije, kampanje dezinformiranja i kibernetičke napade; podsjeća na to da su ti napadi imali četiri ključne strategije: podjelu društva, delegitimizaciju institucija, diskreditiranje demokratskih aktera i promicanje ruskog utjecaja; pozdravlja ishod ustavnog referenduma iz 2024., kojim je u ustav te zemlje ugrađena predanost pristupanju EU-u; oštro osuđuje sve češće pokušaje Rusije, proruskih oligarha i lokalnih pomagača koje sponzorira Rusija da destabiliziraju Moldovu, siju podjele unutar moldavskog društva i destabiliziraju usmjerenost te zemlje prema EU-u uz pomoć hibridnih napada, instrumentalizacije opskrbe energijom, dezinformacija, kampanja manipulacije i zastrašivanja usmjerenima na organizacije civilnog društva i neovisne medije;</w:t>
      </w:r>
    </w:p>
    <w:p w14:paraId="4E7F8567" w14:textId="77777777" w:rsidR="009628A9" w:rsidRPr="005A5295" w:rsidRDefault="009628A9" w:rsidP="009628A9">
      <w:pPr>
        <w:pStyle w:val="NormalHanging12a"/>
      </w:pPr>
      <w:r w:rsidRPr="005A5295">
        <w:t>5.</w:t>
      </w:r>
      <w:r w:rsidRPr="005A5295">
        <w:tab/>
      </w:r>
      <w:r w:rsidRPr="005A5295">
        <w:rPr>
          <w:rStyle w:val="NormalHanging12aChar"/>
          <w:color w:val="000000"/>
        </w:rPr>
        <w:t xml:space="preserve">napominje da će predstojeći parlamentarni izbori, koji će se održati 28. rujna 2025., biti od presudne važnosti za nastavak puta Moldove prema EU-u; zabrinut je zbog vjerojatnog jačanja inozemnog, posebno ruskog, zlonamjernog uplitanja i hibridnih napada uoči izbora; poziva EU da poveća svoju potporu, uključujući financijsku i tehničku, naporima moldavske vlade u borbi protiv takvog uplitanja u demokratski proces te zemlje, uklučujući dodatnim popisima sankcija, produljenjem i konsolidacijom mandata i resursa Misije partnerstva EU-a (EUPM) u Moldovi i dodjelom dodatne potpore toj misiji te razmjenom stručnog znanja o inozemnom upletanju i manipuliranju informacijama (FIMI), suzbijanju hibridnih prijetnji i jačanju otpornosti; </w:t>
      </w:r>
      <w:bookmarkStart w:id="7" w:name="_Hlk194942091"/>
      <w:r w:rsidRPr="005A5295">
        <w:rPr>
          <w:rStyle w:val="NormalHanging12aChar"/>
          <w:color w:val="000000"/>
        </w:rPr>
        <w:t>isto tako poziva na jačanje napora koje moldavske vlasti i EU ulažu u potporu neovisnim medijima i prodemokratskom civilnom društvu kako bi se novinarima na nacionalnoj i regionalnoj razini omogućilo da se suprotstave inozemnom upletanju i manipuliranju informacijama te kako bi se ojačala digitalna pismenost;</w:t>
      </w:r>
      <w:bookmarkEnd w:id="7"/>
    </w:p>
    <w:p w14:paraId="0D2DA221" w14:textId="77777777" w:rsidR="009628A9" w:rsidRPr="005A5295" w:rsidRDefault="009628A9" w:rsidP="009628A9">
      <w:pPr>
        <w:pStyle w:val="NormalHanging12a"/>
      </w:pPr>
      <w:r w:rsidRPr="005A5295">
        <w:t>6.</w:t>
      </w:r>
      <w:r w:rsidRPr="005A5295">
        <w:tab/>
        <w:t>naglašava važnost strateške komunikacije, raskrinkavanja i borbe protiv lažnih diskursa o EU-u i njegovim politikama koje promiče Rusija te isticanja konkretnih kratkoročnih i dugoročnih koristi pristupanja EU-u za moldavski narod</w:t>
      </w:r>
      <w:bookmarkStart w:id="8" w:name="_Hlk196923727"/>
      <w:r w:rsidRPr="005A5295">
        <w:t xml:space="preserve">, s posebnim naglaskom na regijama kao što je Gagauzija te socioekonomski ugroženim zajednicama u ruralnim područjima; </w:t>
      </w:r>
      <w:bookmarkEnd w:id="8"/>
      <w:r w:rsidRPr="005A5295">
        <w:t>poziva EU da pojača svoju potporu Moldovi u tom pogledu;</w:t>
      </w:r>
    </w:p>
    <w:p w14:paraId="2AB17A12" w14:textId="77777777" w:rsidR="009628A9" w:rsidRPr="005A5295" w:rsidRDefault="009628A9" w:rsidP="005A5295">
      <w:pPr>
        <w:pStyle w:val="NormalHanging12a"/>
        <w:ind w:left="0" w:firstLine="0"/>
        <w:rPr>
          <w:b/>
          <w:i/>
        </w:rPr>
      </w:pPr>
      <w:r w:rsidRPr="005A5295">
        <w:rPr>
          <w:b/>
          <w:i/>
        </w:rPr>
        <w:t>Socioekonomske reforme</w:t>
      </w:r>
    </w:p>
    <w:p w14:paraId="75A4D336" w14:textId="77777777" w:rsidR="009628A9" w:rsidRPr="005A5295" w:rsidRDefault="009628A9" w:rsidP="009628A9">
      <w:pPr>
        <w:pStyle w:val="NormalHanging12a"/>
        <w:rPr>
          <w:rStyle w:val="NormalHanging12aChar"/>
          <w:color w:val="000000"/>
        </w:rPr>
      </w:pPr>
      <w:r w:rsidRPr="005A5295">
        <w:t>7.</w:t>
      </w:r>
      <w:r w:rsidRPr="005A5295">
        <w:tab/>
      </w:r>
      <w:r w:rsidRPr="005A5295">
        <w:rPr>
          <w:rStyle w:val="NormalHanging12aChar"/>
          <w:color w:val="000000"/>
        </w:rPr>
        <w:t xml:space="preserve">pozdravlja Plan rasta Komisije za Moldovu, čiji je cilj poduprijeti socioekonomske i </w:t>
      </w:r>
      <w:r w:rsidRPr="005A5295">
        <w:rPr>
          <w:rStyle w:val="NormalHanging12aChar"/>
          <w:color w:val="000000"/>
        </w:rPr>
        <w:lastRenderedPageBreak/>
        <w:t>temeljne reforme Moldove i poboljšati pristup jedinstvenom tržištu EU-a; pozdravlja Instrument za reforme i rast za Moldovu, na kojem se temelji plan rasta i čija je vrijednost 2,02 milijarde EUR, što ga čini najvećim paketom financijske potpore EU-a Moldovi od njezine neovisnosti; ističe da se tim instrumentom Moldovi osigurava bespovratna potpora u iznosu od 520 milijuna EUR i maksimalan iznos od 1,5 milijardi EUR u zajmovima, uz stopu pretfinanciranja od 18 %, što pokazuje da je EU prepoznao hitnost pružanja potpore reformama i otpornosti Moldove; poziva Komisiju da podupire moldavske vlasti u provedbi potrebnog programa reformi za učinkovitu apsorpciju sredstava iz tog instrumenta, osiguravajući da građani Moldove odmah osjete koristi od te potpore; sa zanimanjem iščekuje najavljenu procjenu učinka Instrumenta za reforme i rast za Moldovu u obliku radnog dokumenta službi Komisije u roku od tri mjeseca od donošenja odgovarajuće uredbe;</w:t>
      </w:r>
    </w:p>
    <w:p w14:paraId="4F47B42E" w14:textId="77777777" w:rsidR="009628A9" w:rsidRPr="005A5295" w:rsidRDefault="009628A9" w:rsidP="009628A9">
      <w:pPr>
        <w:pStyle w:val="NormalHanging12a"/>
      </w:pPr>
      <w:r w:rsidRPr="005A5295">
        <w:t>8.</w:t>
      </w:r>
      <w:r w:rsidRPr="005A5295">
        <w:tab/>
        <w:t>poziva Komisiju da u sljedeći višegodišnji financijski okvir EU-a uključi odgovarajuće namjenske pretpristupne fondove za Moldovu te da počne pripremati Moldovu za učinkovitu upotrebu budućih pretpristupnih fondova u svojstvu novoimenovane zemlje kandidatkinje za članstvo u EU-u;</w:t>
      </w:r>
    </w:p>
    <w:p w14:paraId="0CD82267" w14:textId="77777777" w:rsidR="009628A9" w:rsidRPr="005A5295" w:rsidRDefault="009628A9" w:rsidP="009628A9">
      <w:pPr>
        <w:pStyle w:val="NormalHanging12a"/>
      </w:pPr>
      <w:r w:rsidRPr="005A5295">
        <w:t>9.</w:t>
      </w:r>
      <w:r w:rsidRPr="005A5295">
        <w:tab/>
        <w:t>ponavlja da se potpora moldavskog naroda europskoj integraciji može ojačati konkretnim poboljšanjem njihovih životnih uvjeta preko jačanja državnih institucija i javne uprave kako bi se učinkovito koristila projektna sredstva te kako bi se provela i primijenila pravna stečevina EU-a, uz osiguravanje snažnog sustava socijalne skrbi i suzbijanje korupcije i utjecaja oligarha te jamčenje odgovornost; poziva moldavske vlasti da nastave osiguravati smisleno sudjelovanje organizacija civilnog društva, dijaspore, ranjivih skupina i socijalnih partnera, uključujući sindikate, kako bi se ojačalo povjerenje u demokratske institucije i procese te povećala javna potpora reformama povezanima s pristupanjem EU-u;</w:t>
      </w:r>
    </w:p>
    <w:p w14:paraId="5AAC8D27" w14:textId="77777777" w:rsidR="009628A9" w:rsidRPr="005A5295" w:rsidRDefault="009628A9" w:rsidP="009628A9">
      <w:pPr>
        <w:pStyle w:val="NormalHanging12a"/>
      </w:pPr>
      <w:r w:rsidRPr="005A5295">
        <w:t>10.</w:t>
      </w:r>
      <w:r w:rsidRPr="005A5295">
        <w:tab/>
        <w:t>naglašava važnost organizacija civilnog društva u praćenju upravljanja i napretka u reformama povezanima s EU-om, promicanju transparentnosti, branjenju ljudskih prava i borbi protiv dezinformacija i vanjskog zlonamjernog utjecaja političkih aktera koji se bore protiv reformi te ruskih pomagača;</w:t>
      </w:r>
    </w:p>
    <w:p w14:paraId="28AFF2CD" w14:textId="77777777" w:rsidR="009628A9" w:rsidRPr="005A5295" w:rsidRDefault="009628A9" w:rsidP="009628A9">
      <w:pPr>
        <w:pStyle w:val="NormalHanging12a"/>
      </w:pPr>
      <w:r w:rsidRPr="005A5295">
        <w:t>11.</w:t>
      </w:r>
      <w:r w:rsidRPr="005A5295">
        <w:tab/>
        <w:t>poziva na sveobuhvatne reforme socijalne politike usmjerene na rješavanje problema siromaštva i kontinuiranog iseljavanja velikih razmjera, povećanje pokrivenosti zdravstvenom skrbi, jačanje javnog obrazovanja, poboljšanje radnih uvjeta i razvoj odgovarajućih sustava socijalne zaštite; naglašava da gospodarski razvoj mora biti uključiv i održiv, s prilikama za mala i srednja poduzeća; naglašava potrebu za ciljanim socijalnim ulaganjima u mlade i ruralna područja Moldove kako bi se smanjile regionalne razlike i zaštitila socijalna kohezija;</w:t>
      </w:r>
    </w:p>
    <w:p w14:paraId="01026FF4" w14:textId="77777777" w:rsidR="009628A9" w:rsidRPr="005A5295" w:rsidRDefault="009628A9" w:rsidP="009628A9">
      <w:pPr>
        <w:pStyle w:val="NormalHanging12a"/>
      </w:pPr>
      <w:r w:rsidRPr="005A5295">
        <w:t>12.</w:t>
      </w:r>
      <w:r w:rsidRPr="005A5295">
        <w:tab/>
      </w:r>
      <w:r w:rsidRPr="005A5295">
        <w:rPr>
          <w:rStyle w:val="NormalHanging12aChar"/>
          <w:color w:val="000000"/>
        </w:rPr>
        <w:t>poziva na to da se poseban naglasak stavi na sudjelovanje Moldove u socijalnim, obrazovnim i kulturnim programima EU-a s ciljem promicanja socijalne konvergencije, inovacija i tehnološkog napretka;</w:t>
      </w:r>
    </w:p>
    <w:p w14:paraId="558D9012" w14:textId="77777777" w:rsidR="009628A9" w:rsidRPr="005A5295" w:rsidRDefault="009628A9" w:rsidP="009628A9">
      <w:pPr>
        <w:pStyle w:val="NormalHanging12a"/>
      </w:pPr>
      <w:r w:rsidRPr="005A5295">
        <w:t>13.</w:t>
      </w:r>
      <w:r w:rsidRPr="005A5295">
        <w:tab/>
        <w:t>poziva Moldovu da provede program reformi, u kojem se navode ključne socioekonomske i temeljne reforme kako bi se ubrzali rast i konkurentnost moldavskog gospodarstva i njegova konvergencija s EU-om na temelju poboljšane provedbe Sporazuma o pridruživanju / detaljnog i sveobuhvatnog područja slobodne trgovine;</w:t>
      </w:r>
    </w:p>
    <w:p w14:paraId="32DCF7BB" w14:textId="77777777" w:rsidR="009628A9" w:rsidRPr="005A5295" w:rsidRDefault="009628A9" w:rsidP="009628A9">
      <w:pPr>
        <w:pStyle w:val="NormalHanging12a"/>
        <w:rPr>
          <w:rStyle w:val="NormalHanging12aChar"/>
          <w:color w:val="000000"/>
        </w:rPr>
      </w:pPr>
      <w:r w:rsidRPr="005A5295">
        <w:t>14.</w:t>
      </w:r>
      <w:r w:rsidRPr="005A5295">
        <w:tab/>
      </w:r>
      <w:r w:rsidRPr="005A5295">
        <w:rPr>
          <w:rStyle w:val="NormalHanging12aChar"/>
          <w:color w:val="000000"/>
        </w:rPr>
        <w:t xml:space="preserve">snažno poziva na ubrzanje postupne integracije Moldove u EU i jedinstveno tržište </w:t>
      </w:r>
      <w:r w:rsidRPr="005A5295">
        <w:rPr>
          <w:rStyle w:val="NormalHanging12aChar"/>
          <w:color w:val="000000"/>
        </w:rPr>
        <w:lastRenderedPageBreak/>
        <w:t xml:space="preserve">daljnjim usklađivanjem njezinog pravnog i regulatornog okvira s pravnom stečevinom EU-a i pridruživanjem te zemlje većem broju programa i inicijativa EU-a, među ostalim dodjelom statusa promatrača moldavskim dužnosnicima i stručnjacima u relevantnim tijelima EU-a, što bi rezultiralo konkretnim socioekonomskim koristima čak i prije službenog pristupanja te zemlje EU-u; čestita Moldovi na njezinu uključivanju u geografsko područje primjene platnih programa jedinstvenog područja plaćanja u eurima, čime se olakšavaju transferi u eurima i smanjuju troškovi za moldavske građane i poduzeća; </w:t>
      </w:r>
      <w:r w:rsidR="00D22DEE" w:rsidRPr="008341B4">
        <w:t>pohvaljuje uključivanje liberalizacije roaminga u ažurirani Sporazum o pridruživanju između EU-a i Moldove;</w:t>
      </w:r>
      <w:r w:rsidR="00D22DEE">
        <w:rPr>
          <w:rStyle w:val="NormalHanging12aChar"/>
          <w:color w:val="000000"/>
        </w:rPr>
        <w:t xml:space="preserve"> </w:t>
      </w:r>
      <w:r w:rsidRPr="005A5295">
        <w:rPr>
          <w:rStyle w:val="NormalHanging12aChar"/>
          <w:color w:val="000000"/>
        </w:rPr>
        <w:t>pozdravlja nedavni napredak Moldove u prijenosu pravne stečevine u području roaminga i telekomunikacija te izražava potporu donošenju brze odluke o uključivanju Moldove u područje EU-a „u roamingu kao kod kuće”; poziva pružatelje usluga da u dobroj vjeri surađuju s moldavskim vlastima pri provedbi režima „u roamingu kao kod kuće”;</w:t>
      </w:r>
    </w:p>
    <w:p w14:paraId="6218832B" w14:textId="77777777" w:rsidR="009628A9" w:rsidRPr="005A5295" w:rsidRDefault="009628A9" w:rsidP="009628A9">
      <w:pPr>
        <w:pStyle w:val="NormalHanging12a"/>
      </w:pPr>
      <w:r w:rsidRPr="005A5295">
        <w:t>15.</w:t>
      </w:r>
      <w:r w:rsidRPr="005A5295">
        <w:tab/>
      </w:r>
      <w:r w:rsidRPr="005A5295">
        <w:rPr>
          <w:rStyle w:val="NormalHanging12aChar"/>
          <w:color w:val="000000"/>
        </w:rPr>
        <w:t>pozdravlja obnovu privremenih mjera EU-a za liberalizaciju trgovine u srpnju 2024. kako bi se poduprlo gospodarstvo Moldove, čime se nadoknađuje gubitak u području trgovine uzrokovan ruskom ratnom agresijom na Ukrajinu i ruskim neprijateljskim politikama prema Moldovi; poziva EU da poduzme brze i značajne mjere u cilju trajne liberalizacije svojih carinskih kvota kako bi se osigurala predvidljivost i povećala privlačnost te zemlje za ulagače;</w:t>
      </w:r>
    </w:p>
    <w:p w14:paraId="616CF856" w14:textId="77777777" w:rsidR="009628A9" w:rsidRPr="005A5295" w:rsidRDefault="009628A9" w:rsidP="009628A9">
      <w:pPr>
        <w:pStyle w:val="NormalHanging12a"/>
      </w:pPr>
      <w:r w:rsidRPr="005A5295">
        <w:t>16.</w:t>
      </w:r>
      <w:r w:rsidRPr="005A5295">
        <w:tab/>
        <w:t>napominje da je nedavna odluka vlade SAD-a o obustavi potpore za civilno društvo, neovisne medije, ključne reforme i infrastrukturne projekte stvorila dodatne hitne potrebe u Moldovi u čije bi se rješavanje EU trebao uključiti; u tom pogledu poziva Komisiju da poveća financijska sredstva za instrumente EU-a kojima se podupire demokracija, kao što je Europska zaklada za demokraciju, te za druge ključne projekte koje su donedavno financirale Agencija SAD-a za međunarodni razvoj (USAID) i druge agencije SAD-a;</w:t>
      </w:r>
    </w:p>
    <w:p w14:paraId="2C7FF4C7" w14:textId="77777777" w:rsidR="009628A9" w:rsidRPr="005A5295" w:rsidRDefault="009628A9" w:rsidP="005A5295">
      <w:pPr>
        <w:spacing w:after="240"/>
        <w:rPr>
          <w:b/>
          <w:i/>
        </w:rPr>
      </w:pPr>
      <w:r w:rsidRPr="005A5295">
        <w:rPr>
          <w:b/>
          <w:i/>
        </w:rPr>
        <w:t>Ljudska prava</w:t>
      </w:r>
    </w:p>
    <w:p w14:paraId="43DE4199" w14:textId="77777777" w:rsidR="009628A9" w:rsidRPr="005A5295" w:rsidRDefault="009628A9" w:rsidP="009628A9">
      <w:pPr>
        <w:pStyle w:val="NormalHanging12a"/>
      </w:pPr>
      <w:r w:rsidRPr="005A5295">
        <w:t>17.</w:t>
      </w:r>
      <w:r w:rsidRPr="005A5295">
        <w:tab/>
        <w:t>prima na znanje napredak Moldove u postizanju rodne ravnopravnosti, uključujući donošenje Programa za promicanje i osiguravanje ravnopravnosti između žena i muškaraca za razdoblje od 2023. do 2027., te ju poziva da nastavi ulagati napore u tom pogledu, posebno u cilju smanjenja razlika u plaćama između spolova, borbe protiv stereotipova, diskriminacije i rodno uvjetovanog nasilja te povećanja zastupljenosti žena u politici i poduzećima;</w:t>
      </w:r>
    </w:p>
    <w:p w14:paraId="4087531D" w14:textId="77777777" w:rsidR="009628A9" w:rsidRPr="005A5295" w:rsidRDefault="009628A9" w:rsidP="009628A9">
      <w:pPr>
        <w:pStyle w:val="NormalHanging12a"/>
      </w:pPr>
      <w:r w:rsidRPr="005A5295">
        <w:t>18.</w:t>
      </w:r>
      <w:r w:rsidRPr="005A5295">
        <w:tab/>
        <w:t>pozdravlja napore moldavskih vlasti kada je riječ o borbi protiv nasilja nad ženama i poboljšanju zaštite osoba koje su preživjele nasilje, što se posebno odnosi na donošenje Nacionalnog programa za sprečavanje i suzbijanje nasilja nad ženama i nasilja u obitelji za razdoblje od 2023. do 2027.; napominje da je, međutim, učinak koji se time proizvodi i dalje nedostatan te stoga poziva na to da se uspostavi veći broj skloništa za osobe koje su preživjele nasilje u obitelji, da pravosudni sustav posveti adekvatnu pozornost nasilju nad ženama, te na promjene u politikama i povećano podizanje razine osviještenosti među muškarcima o rodno uvjetovanom nasilju;</w:t>
      </w:r>
    </w:p>
    <w:p w14:paraId="228C52C8" w14:textId="77777777" w:rsidR="009628A9" w:rsidRPr="005A5295" w:rsidRDefault="009628A9" w:rsidP="009628A9">
      <w:pPr>
        <w:pStyle w:val="NormalHanging12a"/>
      </w:pPr>
      <w:r w:rsidRPr="005A5295">
        <w:t>19.</w:t>
      </w:r>
      <w:r w:rsidRPr="005A5295">
        <w:tab/>
        <w:t>poziva moldavsku vladu da pojača napore, uključujući kroz učinkovitu provedbu svojeg zakonodavnog okvira, u borbi protiv rasne diskriminacije, marginalizacije, rasističkog govora mržnje i zločina iz mržnje usmjerenih protiv pripadnika etničkih manjinskih skupina, uključujući Rome;</w:t>
      </w:r>
    </w:p>
    <w:p w14:paraId="7C5094ED" w14:textId="77777777" w:rsidR="009628A9" w:rsidRPr="005A5295" w:rsidRDefault="009628A9" w:rsidP="009628A9">
      <w:pPr>
        <w:pStyle w:val="NormalHanging12a"/>
      </w:pPr>
      <w:r w:rsidRPr="005A5295">
        <w:lastRenderedPageBreak/>
        <w:t>20.</w:t>
      </w:r>
      <w:r w:rsidRPr="005A5295">
        <w:tab/>
        <w:t>pohvaljuje djelovanje Moldove kada je riječ o poboljšanju prava LGBTIQ+ zajednice tijekom posljednjih godina;</w:t>
      </w:r>
    </w:p>
    <w:p w14:paraId="3A6E32DF" w14:textId="77777777" w:rsidR="009628A9" w:rsidRPr="005A5295" w:rsidRDefault="009628A9" w:rsidP="009628A9">
      <w:pPr>
        <w:pStyle w:val="NormalHanging12a"/>
      </w:pPr>
      <w:r w:rsidRPr="005A5295">
        <w:t>21.</w:t>
      </w:r>
      <w:r w:rsidRPr="005A5295">
        <w:tab/>
        <w:t>poziva Moldovu da u potpunosti uskladi svoje zakonodavstvo o pravima osoba s invaliditetom s pravnom stečevinom EU-a te da poduzme mjere za rješavanje sustavnog problema smještanja djece s intelektualnim teškoćama u psihijatrijske ustanove;</w:t>
      </w:r>
    </w:p>
    <w:p w14:paraId="30A268B5" w14:textId="77777777" w:rsidR="009628A9" w:rsidRPr="005A5295" w:rsidRDefault="009628A9" w:rsidP="009628A9">
      <w:pPr>
        <w:pStyle w:val="NormalHanging12a"/>
        <w:rPr>
          <w:b/>
          <w:i/>
        </w:rPr>
      </w:pPr>
      <w:r w:rsidRPr="005A5295">
        <w:rPr>
          <w:b/>
          <w:i/>
        </w:rPr>
        <w:t>Energija, okoliš i povezanost</w:t>
      </w:r>
    </w:p>
    <w:p w14:paraId="6197BD78" w14:textId="77777777" w:rsidR="009628A9" w:rsidRPr="005A5295" w:rsidRDefault="009628A9" w:rsidP="009628A9">
      <w:pPr>
        <w:pStyle w:val="NormalHanging12a"/>
        <w:rPr>
          <w:bCs/>
          <w:iCs/>
        </w:rPr>
      </w:pPr>
      <w:r w:rsidRPr="005A5295">
        <w:t>22.</w:t>
      </w:r>
      <w:r w:rsidRPr="005A5295">
        <w:tab/>
      </w:r>
      <w:r w:rsidRPr="005A5295">
        <w:rPr>
          <w:rStyle w:val="NormalHanging12aChar"/>
          <w:color w:val="000000"/>
        </w:rPr>
        <w:t>osuđuje činjenicu da se Rusija koristi energijom kao instrumentom protiv Moldove, posljednji put obustavom opskrbe plinom za Pridnjestrovlje 1. siječnja 2025., čime je prekršila ugovorne obveze i izazvala ozbiljnu krizu u regiji; pozdravlja brzi prijedlog Komisije za sveobuhvatnu strategiju za energetsku neovisnost i otpornost i njezin paket potpore vrijedan 250 milijuna EUR, kojim će se smanjiti računi moldavskih potrošača za energiju, uključujući u Pridnjestrovlju, poduprijeti odvajanje Moldove od ruske opskrbe energijom i integrirati Moldovu u energetsko tržište EU-a; naglašava potrebu da EU i moldavske vlasti učinkovito komuniciraju o opsežnom paketu EU-a za rješavanje energetske krize u Moldovi;</w:t>
      </w:r>
    </w:p>
    <w:p w14:paraId="154C9D02" w14:textId="77777777" w:rsidR="009628A9" w:rsidRPr="005A5295" w:rsidRDefault="009628A9" w:rsidP="009628A9">
      <w:pPr>
        <w:pStyle w:val="NormalHanging12a"/>
      </w:pPr>
      <w:r w:rsidRPr="005A5295">
        <w:t>23.</w:t>
      </w:r>
      <w:r w:rsidRPr="005A5295">
        <w:tab/>
        <w:t>pohvaljuje usklađivanje moldavskog energetskog sektora s pravnom stečevinom EU-a; poziva moldavsku vladu da, uz potporu EU-a koja uključuje alate dostupne u okviru Instrumenta za reforme i rast za Moldovu, nastavi ulagati napore u diversifikaciju opskrbnih pravaca plina i električne energije, razvoj povezivosti, povećanje energetske učinkovitosti i svojih unutarnjih kapaciteta za proizvodnju i skladištenje, te da ostvari napredak prema potpunoj integraciji u energetsko tržište EU-a kako bi se osigurala energetska sigurnost i otpornost Moldove; naglašava važnost dovršetka nadzemnog elektroenergetskog voda Vulcanesti-Kišinjev od 400 kV do kraja 2025. kako bi se smanjila ovisnost Moldove o energetskoj infrastrukturi u Pridnjestrovlju; poziva EU da mobilizira potrebna sredstva kako bi se nadoknadilo povlačenje potpore USAID-a energetskom sektoru Moldove;</w:t>
      </w:r>
    </w:p>
    <w:p w14:paraId="3730053B" w14:textId="77777777" w:rsidR="009628A9" w:rsidRPr="005A5295" w:rsidRDefault="009628A9" w:rsidP="009628A9">
      <w:pPr>
        <w:pStyle w:val="NormalHanging12a"/>
        <w:rPr>
          <w:rStyle w:val="NormalHanging12aChar"/>
          <w:color w:val="000000"/>
        </w:rPr>
      </w:pPr>
      <w:r w:rsidRPr="005A5295">
        <w:t>24.</w:t>
      </w:r>
      <w:r w:rsidRPr="005A5295">
        <w:tab/>
      </w:r>
      <w:r w:rsidRPr="005A5295">
        <w:rPr>
          <w:rStyle w:val="NormalHanging12aChar"/>
          <w:color w:val="000000"/>
        </w:rPr>
        <w:t>pohvaljuje vladu Moldove za napredak postignut u pogledu dekarbonizacije, energetske učinkovitosti i prijelaza na zeleno gospodarstvo, uključujući udvostručenje udjela energije iz obnovljivih izvora na 30 % do 2030.; potiče EU i njegove države članice da nastave pružati financijsku potporu i stručno znanje moldavskim kolegama u tom području; pozdravlja to da je Moldova 2023. u tu svrhu donijela Nacionalni program za prilagodbu klimatskim promjenama do 2030. i pripadajući akcijski plan; poziva moldavsku vladu da donese i počne provoditi svoj Nacionalni energetski i klimatski plan za razdoblje od 2025. do 2030.; konstatira važnost provedbe obveza u okviru plana za dekarbonizaciju Energetske zajednice i provedbe paketa za praćenje, izvješćivanje, verifikaciju i akreditaciju u cilju uvođenja određivanja cijena ugljika i usklađivanja sa sustavom EU-a za trgovanje emisijama;</w:t>
      </w:r>
    </w:p>
    <w:p w14:paraId="4845886B" w14:textId="77777777" w:rsidR="009628A9" w:rsidRPr="005A5295" w:rsidRDefault="009628A9" w:rsidP="009628A9">
      <w:pPr>
        <w:pStyle w:val="NormalHanging12a"/>
        <w:rPr>
          <w:bCs/>
          <w:iCs/>
          <w:color w:val="000000"/>
        </w:rPr>
      </w:pPr>
      <w:r w:rsidRPr="005A5295">
        <w:t>25.</w:t>
      </w:r>
      <w:r w:rsidRPr="005A5295">
        <w:tab/>
        <w:t>smatra da bi proširenje koridora transeuropske prometne mreže (TEN-T) Baltičko more – Crno more – Egejsko more (Koridor IX) kako bi se uključila dionica Kišinjev – Constanta – Varna – Bourgas bilo strateško ulaganje u prometnu infrastrukturu regije, čime bi se poboljšala povezanost i promicao gospodarski rast, s obzirom na proširenje EU-a na istok i mogući pozitivan učinak tog proširenja na sigurnost i stabilnost regije, što bi služilo kao ključna logistička ruta za NATO i ojačalo geostratešku autonomiju EU-a;</w:t>
      </w:r>
    </w:p>
    <w:p w14:paraId="2E8F3E80" w14:textId="77777777" w:rsidR="009628A9" w:rsidRPr="005A5295" w:rsidRDefault="009628A9" w:rsidP="009628A9">
      <w:pPr>
        <w:pStyle w:val="NormalHanging12a"/>
        <w:rPr>
          <w:b/>
          <w:i/>
        </w:rPr>
      </w:pPr>
      <w:r w:rsidRPr="005A5295">
        <w:rPr>
          <w:b/>
          <w:i/>
        </w:rPr>
        <w:lastRenderedPageBreak/>
        <w:t>Vladavina prava i dobro upravljanje</w:t>
      </w:r>
    </w:p>
    <w:p w14:paraId="485D6EDE" w14:textId="77777777" w:rsidR="009628A9" w:rsidRPr="005A5295" w:rsidRDefault="009628A9" w:rsidP="009628A9">
      <w:pPr>
        <w:pStyle w:val="NormalHanging12a"/>
      </w:pPr>
      <w:r w:rsidRPr="005A5295">
        <w:t>26.</w:t>
      </w:r>
      <w:r w:rsidRPr="005A5295">
        <w:tab/>
        <w:t>ističe da je sveobuhvatna reforma pravosuđa i dalje ključna za uspjeh moldavskih demokratskih reformi i reformi povezanih s pristupanjem te zemlje EU-u; prepoznaje stalne napore Moldove da izgradi neovisan, nepristran, odgovoran i profesionalan pravosudni sustav i dovrši postupak provjere do kraja 2026.; stoga poziva EU da nastavi aktivno podupirati reformu pravosuđa i postupak provjere sudaca i tužitelja, uključujući privlačenje, osposobljavanje i zapošljavanje kvalificiranog pravosudnog osoblja te povećanje pravosudnih kapaciteta;</w:t>
      </w:r>
    </w:p>
    <w:p w14:paraId="43732798" w14:textId="77777777" w:rsidR="009628A9" w:rsidRPr="005A5295" w:rsidRDefault="009628A9" w:rsidP="009628A9">
      <w:pPr>
        <w:pStyle w:val="NormalHanging12a"/>
      </w:pPr>
      <w:r w:rsidRPr="005A5295">
        <w:t>27.</w:t>
      </w:r>
      <w:r w:rsidRPr="005A5295">
        <w:tab/>
        <w:t>konstatira da je Moldova ostvarila napredak u borbi protiv korupcije i njezinu sprečavanju, ali ističe da postoji potreba za daljnjom borbom protiv pranja novca; pozdravlja stupanje na snagu moldavskog Nacionalnog programa za integritet i borbu protiv korupcije za razdoblje od 2024. do 2028. u veljači 2024.; ističe da je potrebno osigurati bolju koordinaciju među svim ključnim antikorupcijskim i pravosudnim institucijama kako bi se provele sveobuhvatne reforme i osiguralo da raspolažu odgovarajućim resursima i kapacitetima; naglašava da je potrebno ostvariti rezultate u pogledu kaznenog progona i osuđujućih presuda u slučajevima korupcije kako bi se osiguralo povjerenje javnosti u reforme koje su u tijeku;</w:t>
      </w:r>
    </w:p>
    <w:p w14:paraId="33C2D01B" w14:textId="77777777" w:rsidR="009628A9" w:rsidRPr="005A5295" w:rsidRDefault="009628A9" w:rsidP="009628A9">
      <w:pPr>
        <w:pStyle w:val="NormalHanging12a"/>
      </w:pPr>
      <w:r w:rsidRPr="005A5295">
        <w:t>28.</w:t>
      </w:r>
      <w:r w:rsidRPr="005A5295">
        <w:tab/>
        <w:t>podsjeća na važnost nastavka istrage i privođenja pravdi osoba koje su odgovorne za bankovnu prijevaru 2014.; pozdravlja činjenicu da je nakon dugotrajnog nastojanja moldavskih vlasti Interpol konačno uvrstio jednog od navodnih počinitelja, Vladimira Plahotniuca, na svoj popis međunarodno traženih osoba;</w:t>
      </w:r>
    </w:p>
    <w:p w14:paraId="53B66623" w14:textId="77777777" w:rsidR="009628A9" w:rsidRPr="005A5295" w:rsidRDefault="009628A9" w:rsidP="005A5295">
      <w:pPr>
        <w:spacing w:after="240"/>
        <w:ind w:left="567" w:hanging="567"/>
      </w:pPr>
      <w:r w:rsidRPr="005A5295">
        <w:t>29.</w:t>
      </w:r>
      <w:r w:rsidRPr="005A5295">
        <w:tab/>
      </w:r>
      <w:r w:rsidRPr="005A5295">
        <w:rPr>
          <w:rStyle w:val="NormalHanging12aChar"/>
        </w:rPr>
        <w:t>pozdravlja činjenicu da je Moldova 2023. donijela novu nacionalnu strategiju za sprečavanje i suzbijanje trgovine ljudima, usklađenu s pravnom stečevinom EU-a, kao i suradnju Moldove s Europolom u borbi protiv trgovine drogom;</w:t>
      </w:r>
    </w:p>
    <w:p w14:paraId="17792DC0" w14:textId="77777777" w:rsidR="009628A9" w:rsidRPr="005A5295" w:rsidRDefault="009628A9" w:rsidP="009628A9">
      <w:pPr>
        <w:pStyle w:val="NormalHanging12a"/>
      </w:pPr>
      <w:r w:rsidRPr="005A5295">
        <w:t>30.</w:t>
      </w:r>
      <w:r w:rsidRPr="005A5295">
        <w:tab/>
        <w:t>izražava spremnost da nastavi podupirati moldavski parlament putem uzajamno dogovorenih aktivnosti za potporu demokraciji kojima se odgovara na potrebe te institucije, njezinih izabranih članova i osoblja; naglašava važnost moldavskog parlamenta u poticanju javne rasprave o europskoj budućnosti te zemlje te u postizanju širokog konsenzusa, i demokratskog legitimiteta u vezi s reformama povezanima s pristupanjem EU-u u svim političkim strankama i u širem društvu; ističe odluku od 10. ožujka 2025. o otvaranju ureda Europskog parlamenta u Kišinjevu kako bi se dodatno ojačala suradnja Parlamenta s regijom Istočnog partnerstva;</w:t>
      </w:r>
    </w:p>
    <w:p w14:paraId="1EDCDAD8" w14:textId="77777777" w:rsidR="009628A9" w:rsidRPr="005A5295" w:rsidRDefault="009628A9" w:rsidP="005A5295">
      <w:pPr>
        <w:pStyle w:val="NormalHanging12a"/>
        <w:ind w:left="0" w:firstLine="0"/>
        <w:rPr>
          <w:b/>
          <w:i/>
        </w:rPr>
      </w:pPr>
      <w:r w:rsidRPr="005A5295">
        <w:rPr>
          <w:b/>
          <w:i/>
        </w:rPr>
        <w:t>Suradnja u području zajedničke vanjske i sigurnosne politike i napredak u rješavanju pridnjestrovskog sukoba</w:t>
      </w:r>
    </w:p>
    <w:p w14:paraId="19C45DDF" w14:textId="77777777" w:rsidR="009628A9" w:rsidRPr="005A5295" w:rsidRDefault="009628A9" w:rsidP="005A5295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5A5295">
        <w:t>31.</w:t>
      </w:r>
      <w:r w:rsidRPr="005A5295">
        <w:tab/>
      </w:r>
      <w:r w:rsidRPr="005A5295">
        <w:rPr>
          <w:rStyle w:val="NormalHanging12aChar"/>
        </w:rPr>
        <w:t>pozdravlja dosljednu suradnju Moldove u pitanjima vanjske politike i znatno povećanu razinu usklađenosti, konkretno s 54 % 2022. na 86 % 2024., sa stajalištima EU-a u području zajedničke vanjske i sigurnosne politike te mjerama ograničavanja; poziva je da nastavi poboljšavati tu usklađenost, među ostalim u pogledu mjera ograničavanja protiv Rusije, te da nastavi suradnju u sprečavanju izbjegavanja sankcija protiv Rusije i Bjelarusa povezanih s ruskom ratnom agresijom na Ukrajinu;</w:t>
      </w:r>
    </w:p>
    <w:p w14:paraId="1D51FFD7" w14:textId="77777777" w:rsidR="009628A9" w:rsidRPr="005A5295" w:rsidRDefault="009628A9" w:rsidP="009628A9">
      <w:pPr>
        <w:pStyle w:val="NormalHanging12a"/>
      </w:pPr>
      <w:r w:rsidRPr="005A5295">
        <w:t>32.</w:t>
      </w:r>
      <w:r w:rsidRPr="005A5295">
        <w:tab/>
        <w:t xml:space="preserve">naglašava da Moldova daje ključan doprinos regionalnoj i europskoj sigurnosti, među ostalim nepokolebljivom potporom Ukrajini od početka ruske ratne agresije, primjerice tako što prihvaća ukrajinske ratne izbjeglice, te svojim doprinosima Mehanizmu EU-a </w:t>
      </w:r>
      <w:r w:rsidRPr="005A5295">
        <w:lastRenderedPageBreak/>
        <w:t>za civilnu zaštitu, primjerice slanjem vatrogasnih timova za gašenje velikih šumskih požara u Grčkoj;</w:t>
      </w:r>
    </w:p>
    <w:p w14:paraId="6DD0AE0C" w14:textId="77777777" w:rsidR="009628A9" w:rsidRPr="005A5295" w:rsidRDefault="009628A9" w:rsidP="005A5295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5A5295">
        <w:t>33.</w:t>
      </w:r>
      <w:r w:rsidRPr="005A5295">
        <w:tab/>
      </w:r>
      <w:r w:rsidRPr="005A5295">
        <w:rPr>
          <w:rStyle w:val="NormalHanging12aChar"/>
        </w:rPr>
        <w:t>izražava potporu Misiji partnerstva Europske unije (EUPM) u Moldovi i poziva države članice da joj na raspolaganje stave potrebne stručnjake i financijska sredstava u očekivanju mogućeg jačanja hibridnih prijetnji; pozdravlja nedavno produljenje mandata EUPM-a do travnja 2026.; potiče moldavske vlasti da u potpunosti iskoriste stručno znanje EUPM-a kako bi poboljšale svoju pripravnost, posebno s obzirom na opetovana uplitanja u izbore uoči parlamentarnih izbora koji će se održati 28. rujna 2025.; poziva EU da izvuče pouke iz iskustva stečenog u Moldovi kada je riječ o zaštiti izbornog procesa i demokratskih institucija u samom EU-u; potiče Europsku službu za vanjsko djelovanje i Komisiju da iskoriste sve dostupne instrumente EU-a u području suzbijanja hibridnih prijetnji kako bi nastavile podupirati Moldovu, među ostalim žurnim raspoređivanjem tima za brzi odgovor na hibridne prijetnje; pozdravlja osnivanje moldavskog Centra za stratešku komunikaciju i borbu protiv dezinformacija kao sredstva za koordinaciju borbe protiv vanjskog upletanja u različitim moldavskim institucijama, te Nacionalne agencije za kibernetičku sigurnost i Nacionalnog instituta za inovacije u području kibernetičke sigurnosti; napominje da je u moldavskoj strategiji nacionalne sigurnosti, donesenoj u prosincu 2023., pristupanje EU-u istaknuto kao ključni cilj te da je Rusija prvi put utvrđena kao izvor velikih prijetnji za sigurnost Moldove; naglašava važnost poboljšanja razmjene informacija i obavještajne suradnje između Moldove i EU-a i njegovih država članica u pogledu sigurnosnih prijetnji;</w:t>
      </w:r>
    </w:p>
    <w:p w14:paraId="79B2057B" w14:textId="77777777" w:rsidR="009628A9" w:rsidRPr="005A5295" w:rsidRDefault="009628A9" w:rsidP="005A5295">
      <w:pPr>
        <w:shd w:val="clear" w:color="auto" w:fill="FFFFFF" w:themeFill="background1"/>
        <w:spacing w:after="240"/>
        <w:ind w:left="567" w:hanging="567"/>
      </w:pPr>
      <w:r w:rsidRPr="005A5295">
        <w:t>34.</w:t>
      </w:r>
      <w:r w:rsidRPr="005A5295">
        <w:tab/>
      </w:r>
      <w:r w:rsidRPr="005A5295">
        <w:rPr>
          <w:rStyle w:val="NormalHanging12aChar"/>
        </w:rPr>
        <w:t>ponovno ističe potpunu predanost teritorijalnoj cjelovitosti Moldove i mirnom rješavanju sukoba na temelju suvereniteta i teritorijalne cjelovitosti Moldove unutar njezinih međunarodno priznatih granica;</w:t>
      </w:r>
    </w:p>
    <w:p w14:paraId="3D893B17" w14:textId="77777777" w:rsidR="009628A9" w:rsidRPr="005A5295" w:rsidRDefault="009628A9" w:rsidP="005A5295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5A5295">
        <w:t>35.</w:t>
      </w:r>
      <w:r w:rsidRPr="005A5295">
        <w:tab/>
      </w:r>
      <w:r w:rsidRPr="005A5295">
        <w:rPr>
          <w:rStyle w:val="NormalHanging12aChar"/>
        </w:rPr>
        <w:t>pozdravlja inicijative Komisije za uključivanje proaktivne potpore Pridnjestrovlju u svoje pakete hitne energetske potpore te razmjenu informacija i praktičnu suradnju između moldavske vlade i pridnjestrovskih de facto vlasti tijekom energetske krize koju je prouzročila Rusija; pozdravlja napredak zabilježen u pogledu uvjeta za Tiraspol u svjetlu nedavnog sporazuma o tranzitu plina te poziva na potpunu provedbu tih uvjeta, uključujući oslobađanje svih političkih zatvorenika od strane Tiraspola i ukidanje preostalih nezakonitih kontrolnih točaka;</w:t>
      </w:r>
    </w:p>
    <w:p w14:paraId="54ACC17D" w14:textId="77777777" w:rsidR="009628A9" w:rsidRPr="005A5295" w:rsidRDefault="009628A9" w:rsidP="005A5295">
      <w:pPr>
        <w:shd w:val="clear" w:color="auto" w:fill="FFFFFF" w:themeFill="background1"/>
        <w:spacing w:after="240"/>
        <w:ind w:left="567" w:hanging="567"/>
        <w:rPr>
          <w:rStyle w:val="NormalHanging12aChar"/>
        </w:rPr>
      </w:pPr>
      <w:r w:rsidRPr="005A5295">
        <w:t>36.</w:t>
      </w:r>
      <w:r w:rsidRPr="005A5295">
        <w:tab/>
      </w:r>
      <w:r w:rsidRPr="005A5295">
        <w:rPr>
          <w:rStyle w:val="NormalHanging12aChar"/>
        </w:rPr>
        <w:t xml:space="preserve">pozdravlja velik interes Moldove za doprinos zajedničkoj sigurnosnoj i obrambenoj politici (ZSOP) EU-a te činjenicu da je Moldova prva zemlja koja je potpisala partnerstvo u području sigurnosti i obrane s EU-om; pozdravlja kontinuirano aktivno sudjelovanje Moldove u misijama i operacijama EU-a u okviru ZSOP-a, </w:t>
      </w:r>
      <w:r w:rsidR="00D22DEE" w:rsidRPr="008341B4">
        <w:t xml:space="preserve">i to u EUFOR-ovoj operaciji Althea u Bosni i Hercegovini i EU-ovoj misiji osposobljavanja u Somaliji, </w:t>
      </w:r>
      <w:r w:rsidRPr="005A5295">
        <w:rPr>
          <w:rStyle w:val="NormalHanging12aChar"/>
        </w:rPr>
        <w:t>njezin interes za sudjelovanje u projektima u okviru PESCO-a i tekuće pregovore o okvirnom sporazumu s Europskom obrambenom agencijom; poziva EU da uključi Moldovu u sigurnosne i obrambene programe EU-a i s time povezana proračunska sredstva, uključujući Program za europsku obrambenu industriju i program Spremnost 2030., čime bi se toj zemlji omogućilo sudjelovanje u zajedničkoj nabavi s državama članicama;</w:t>
      </w:r>
    </w:p>
    <w:p w14:paraId="0287B3FA" w14:textId="77777777" w:rsidR="009628A9" w:rsidRPr="005A5295" w:rsidRDefault="009628A9" w:rsidP="009628A9">
      <w:pPr>
        <w:pStyle w:val="NormalHanging12a"/>
      </w:pPr>
      <w:r w:rsidRPr="005A5295">
        <w:t>37.</w:t>
      </w:r>
      <w:r w:rsidRPr="005A5295">
        <w:tab/>
        <w:t xml:space="preserve">pozdravlja dodjelu 50 milijuna EUR za modernizaciju obrambenih kapaciteta moldavskih oružanih snaga u kontekstu trenutačnih sigurnosnih izazova u okviru Europskog instrumenta mirovne pomoći za 2024.; napominje da je Moldova drugi najveći korisnik Europskog instrumenta mirovne pomoći nakon Ukrajine, s ukupnim </w:t>
      </w:r>
      <w:r w:rsidRPr="005A5295">
        <w:lastRenderedPageBreak/>
        <w:t>dodijeljenim iznosom od 137 milijuna EUR od 2021.; pozdravlja najavljenu potporu u iznosu od 60 milijuna EUR za Moldovu iz proračuna Europskog instrumenta mirovne pomoći u 2025.; poziva države članice da postupno povećaju financijska sredstva Europskog instrumenta mirovne pomoći za Moldovu kako bi se dodatno poboljšale obrambene sposobnosti te zemlje;</w:t>
      </w:r>
    </w:p>
    <w:p w14:paraId="2B102FF3" w14:textId="77777777" w:rsidR="009628A9" w:rsidRPr="005A5295" w:rsidRDefault="009628A9" w:rsidP="009628A9">
      <w:pPr>
        <w:shd w:val="clear" w:color="auto" w:fill="FFFFFF" w:themeFill="background1"/>
        <w:ind w:left="567" w:hanging="567"/>
        <w:rPr>
          <w:bCs/>
          <w:iCs/>
        </w:rPr>
      </w:pPr>
    </w:p>
    <w:p w14:paraId="270C449D" w14:textId="77777777" w:rsidR="009628A9" w:rsidRPr="005A5295" w:rsidRDefault="009628A9" w:rsidP="009628A9">
      <w:pPr>
        <w:pStyle w:val="NormalHanging12a"/>
        <w:ind w:left="4734" w:firstLine="0"/>
      </w:pPr>
      <w:r w:rsidRPr="005A5295">
        <w:t>°</w:t>
      </w:r>
    </w:p>
    <w:p w14:paraId="1CB10285" w14:textId="77777777" w:rsidR="009628A9" w:rsidRPr="005A5295" w:rsidRDefault="009628A9" w:rsidP="009628A9">
      <w:pPr>
        <w:pStyle w:val="NormalHanging12a"/>
        <w:ind w:left="4167" w:firstLine="153"/>
      </w:pPr>
      <w:r w:rsidRPr="005A5295">
        <w:t>°</w:t>
      </w:r>
      <w:r w:rsidRPr="005A5295">
        <w:tab/>
        <w:t>°</w:t>
      </w:r>
    </w:p>
    <w:p w14:paraId="4DBA66BB" w14:textId="77777777" w:rsidR="006119D9" w:rsidRPr="005A5295" w:rsidRDefault="006E0CAC" w:rsidP="006119D9">
      <w:pPr>
        <w:pStyle w:val="NormalHanging12a"/>
      </w:pPr>
      <w:r>
        <w:t>38</w:t>
      </w:r>
      <w:r w:rsidR="009628A9" w:rsidRPr="005A5295">
        <w:t>.</w:t>
      </w:r>
      <w:r w:rsidR="009628A9" w:rsidRPr="005A5295">
        <w:tab/>
        <w:t>nalaže svojoj predsjednici da ovu Rezoluciju proslijedi Vijeću, Komisiji, potpredsjednici Komisije / Visokoj predstavnici Unije za vanjske poslove i sigurnosnu politiku te predsjednici, vladi i parlamentu Republike Moldove.</w:t>
      </w:r>
    </w:p>
    <w:p w14:paraId="0303F98A" w14:textId="77777777" w:rsidR="00E365E1" w:rsidRPr="005A5295" w:rsidRDefault="00E365E1" w:rsidP="00093EB5"/>
    <w:sectPr w:rsidR="00E365E1" w:rsidRPr="005A5295" w:rsidSect="006119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C8332" w14:textId="77777777" w:rsidR="00093EB5" w:rsidRPr="006119D9" w:rsidRDefault="00093EB5">
      <w:r w:rsidRPr="006119D9">
        <w:separator/>
      </w:r>
    </w:p>
  </w:endnote>
  <w:endnote w:type="continuationSeparator" w:id="0">
    <w:p w14:paraId="73C0952D" w14:textId="77777777" w:rsidR="00093EB5" w:rsidRPr="006119D9" w:rsidRDefault="00093EB5">
      <w:r w:rsidRPr="006119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4F9B1" w14:textId="77777777" w:rsidR="00064002" w:rsidRPr="006119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662B" w14:textId="77777777" w:rsidR="00064002" w:rsidRPr="006119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CAA6" w14:textId="77777777" w:rsidR="00064002" w:rsidRPr="006119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AA493" w14:textId="77777777" w:rsidR="00093EB5" w:rsidRPr="006119D9" w:rsidRDefault="00093EB5">
      <w:r w:rsidRPr="006119D9">
        <w:separator/>
      </w:r>
    </w:p>
  </w:footnote>
  <w:footnote w:type="continuationSeparator" w:id="0">
    <w:p w14:paraId="6AAA0E66" w14:textId="77777777" w:rsidR="00093EB5" w:rsidRPr="006119D9" w:rsidRDefault="00093EB5">
      <w:r w:rsidRPr="006119D9">
        <w:continuationSeparator/>
      </w:r>
    </w:p>
  </w:footnote>
  <w:footnote w:id="1">
    <w:p w14:paraId="3A0F66B9" w14:textId="094B6CCC" w:rsidR="009628A9" w:rsidRPr="006119D9" w:rsidRDefault="009628A9" w:rsidP="006119D9">
      <w:pPr>
        <w:pStyle w:val="FootnoteText"/>
        <w:ind w:left="567" w:hanging="567"/>
        <w:rPr>
          <w:sz w:val="24"/>
          <w:lang w:val="hr-HR"/>
        </w:rPr>
      </w:pPr>
      <w:r w:rsidRPr="006119D9">
        <w:rPr>
          <w:rStyle w:val="FootnoteReference"/>
          <w:sz w:val="24"/>
          <w:lang w:val="hr-HR"/>
        </w:rPr>
        <w:footnoteRef/>
      </w:r>
      <w:r w:rsidR="006119D9" w:rsidRPr="006119D9">
        <w:rPr>
          <w:sz w:val="24"/>
          <w:lang w:val="hr-HR"/>
        </w:rPr>
        <w:t xml:space="preserve"> </w:t>
      </w:r>
      <w:r w:rsidR="006119D9" w:rsidRPr="006119D9">
        <w:rPr>
          <w:sz w:val="24"/>
          <w:lang w:val="hr-HR"/>
        </w:rPr>
        <w:tab/>
      </w:r>
      <w:r w:rsidR="005A5295">
        <w:rPr>
          <w:sz w:val="24"/>
          <w:lang w:val="hr-HR"/>
        </w:rPr>
        <w:t>SL L</w:t>
      </w:r>
      <w:r w:rsidR="005F486E">
        <w:rPr>
          <w:sz w:val="24"/>
          <w:lang w:val="hr-HR"/>
        </w:rPr>
        <w:t>,</w:t>
      </w:r>
      <w:r w:rsidR="005A5295">
        <w:rPr>
          <w:sz w:val="24"/>
          <w:lang w:val="hr-HR"/>
        </w:rPr>
        <w:t xml:space="preserve"> 2025/535, 21.3.2025., ELI</w:t>
      </w:r>
      <w:r w:rsidRPr="006119D9">
        <w:rPr>
          <w:sz w:val="24"/>
          <w:lang w:val="hr-HR"/>
        </w:rPr>
        <w:t xml:space="preserve">: </w:t>
      </w:r>
      <w:hyperlink r:id="rId1" w:history="1">
        <w:r w:rsidRPr="006119D9">
          <w:rPr>
            <w:rStyle w:val="Hyperlink"/>
            <w:sz w:val="24"/>
            <w:lang w:val="hr-HR"/>
          </w:rPr>
          <w:t>http://data.europa.eu/eli/reg/2025/535/oj</w:t>
        </w:r>
      </w:hyperlink>
      <w:r w:rsidRPr="006119D9">
        <w:rPr>
          <w:sz w:val="24"/>
          <w:lang w:val="hr-HR"/>
        </w:rPr>
        <w:t>.</w:t>
      </w:r>
    </w:p>
  </w:footnote>
  <w:footnote w:id="2">
    <w:p w14:paraId="7BE4A696" w14:textId="77777777" w:rsidR="009628A9" w:rsidRPr="006119D9" w:rsidRDefault="009628A9" w:rsidP="006119D9">
      <w:pPr>
        <w:pStyle w:val="FootnoteText"/>
        <w:ind w:left="567" w:hanging="567"/>
        <w:rPr>
          <w:sz w:val="24"/>
          <w:lang w:val="hr-HR"/>
        </w:rPr>
      </w:pPr>
      <w:r w:rsidRPr="006119D9">
        <w:rPr>
          <w:rStyle w:val="FootnoteReference"/>
          <w:sz w:val="24"/>
          <w:lang w:val="hr-HR"/>
        </w:rPr>
        <w:footnoteRef/>
      </w:r>
      <w:r w:rsidR="006119D9" w:rsidRPr="006119D9">
        <w:rPr>
          <w:sz w:val="24"/>
          <w:shd w:val="clear" w:color="auto" w:fill="FFFFFF"/>
          <w:lang w:val="hr-HR"/>
        </w:rPr>
        <w:t xml:space="preserve"> </w:t>
      </w:r>
      <w:r w:rsidR="006119D9" w:rsidRPr="006119D9">
        <w:rPr>
          <w:sz w:val="24"/>
          <w:shd w:val="clear" w:color="auto" w:fill="FFFFFF"/>
          <w:lang w:val="hr-HR"/>
        </w:rPr>
        <w:tab/>
      </w:r>
      <w:r w:rsidRPr="006119D9">
        <w:rPr>
          <w:sz w:val="24"/>
          <w:shd w:val="clear" w:color="auto" w:fill="FFFFFF"/>
          <w:lang w:val="hr-HR"/>
        </w:rPr>
        <w:t>Sporazum o pridruživanju između Europske unije i Europske zajednice za atomsku energiju i njihovih država članica, s jedne strane, i Re</w:t>
      </w:r>
      <w:r w:rsidR="006E0CAC">
        <w:rPr>
          <w:sz w:val="24"/>
          <w:shd w:val="clear" w:color="auto" w:fill="FFFFFF"/>
          <w:lang w:val="hr-HR"/>
        </w:rPr>
        <w:t>publike Moldove, s druge strane</w:t>
      </w:r>
      <w:r w:rsidRPr="006119D9">
        <w:rPr>
          <w:sz w:val="24"/>
          <w:shd w:val="clear" w:color="auto" w:fill="FFFFFF"/>
          <w:lang w:val="hr-HR"/>
        </w:rPr>
        <w:t xml:space="preserve"> </w:t>
      </w:r>
      <w:r w:rsidR="006E0CAC">
        <w:rPr>
          <w:sz w:val="24"/>
          <w:shd w:val="clear" w:color="auto" w:fill="FFFFFF"/>
          <w:lang w:val="hr-HR"/>
        </w:rPr>
        <w:t>(</w:t>
      </w:r>
      <w:r w:rsidRPr="005A5295">
        <w:rPr>
          <w:rStyle w:val="Emphasis"/>
          <w:i w:val="0"/>
          <w:sz w:val="24"/>
          <w:shd w:val="clear" w:color="auto" w:fill="FFFFFF"/>
          <w:lang w:val="hr-HR"/>
        </w:rPr>
        <w:t>SL L 260, 30.8.2014., str. 4</w:t>
      </w:r>
      <w:r w:rsidR="005A5295">
        <w:rPr>
          <w:rStyle w:val="Emphasis"/>
          <w:i w:val="0"/>
          <w:sz w:val="24"/>
          <w:shd w:val="clear" w:color="auto" w:fill="FFFFFF"/>
          <w:lang w:val="hr-HR"/>
        </w:rPr>
        <w:t>.</w:t>
      </w:r>
      <w:r w:rsidRPr="005A5295">
        <w:rPr>
          <w:sz w:val="24"/>
          <w:shd w:val="clear" w:color="auto" w:fill="FFFFFF"/>
          <w:lang w:val="hr-HR"/>
        </w:rPr>
        <w:t>,</w:t>
      </w:r>
      <w:r w:rsidRPr="006119D9">
        <w:rPr>
          <w:sz w:val="24"/>
          <w:shd w:val="clear" w:color="auto" w:fill="FFFFFF"/>
          <w:lang w:val="hr-HR"/>
        </w:rPr>
        <w:t xml:space="preserve"> ELI: </w:t>
      </w:r>
      <w:hyperlink r:id="rId2" w:tooltip="Dokument je dostupan na temelju identifikatora ELI URI." w:history="1">
        <w:r w:rsidRPr="006119D9">
          <w:rPr>
            <w:rStyle w:val="Hyperlink"/>
            <w:sz w:val="24"/>
            <w:shd w:val="clear" w:color="auto" w:fill="FFFFFF"/>
            <w:lang w:val="hr-HR"/>
          </w:rPr>
          <w:t>http://data.europa.eu/eli/agree_internation/2014/492/oj</w:t>
        </w:r>
      </w:hyperlink>
      <w:r w:rsidR="006E0CAC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A10A" w14:textId="77777777" w:rsidR="00064002" w:rsidRPr="006119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F3E6" w14:textId="77777777" w:rsidR="00064002" w:rsidRPr="006119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3D0F" w14:textId="77777777" w:rsidR="00064002" w:rsidRPr="006119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4322855">
    <w:abstractNumId w:val="9"/>
  </w:num>
  <w:num w:numId="2" w16cid:durableId="1160266466">
    <w:abstractNumId w:val="9"/>
  </w:num>
  <w:num w:numId="3" w16cid:durableId="1336808745">
    <w:abstractNumId w:val="7"/>
  </w:num>
  <w:num w:numId="4" w16cid:durableId="1063481862">
    <w:abstractNumId w:val="7"/>
  </w:num>
  <w:num w:numId="5" w16cid:durableId="1239510535">
    <w:abstractNumId w:val="6"/>
  </w:num>
  <w:num w:numId="6" w16cid:durableId="1221945260">
    <w:abstractNumId w:val="6"/>
  </w:num>
  <w:num w:numId="7" w16cid:durableId="468060170">
    <w:abstractNumId w:val="5"/>
  </w:num>
  <w:num w:numId="8" w16cid:durableId="1425027636">
    <w:abstractNumId w:val="5"/>
  </w:num>
  <w:num w:numId="9" w16cid:durableId="131410159">
    <w:abstractNumId w:val="4"/>
  </w:num>
  <w:num w:numId="10" w16cid:durableId="1128738778">
    <w:abstractNumId w:val="4"/>
  </w:num>
  <w:num w:numId="11" w16cid:durableId="1447390083">
    <w:abstractNumId w:val="8"/>
  </w:num>
  <w:num w:numId="12" w16cid:durableId="770200817">
    <w:abstractNumId w:val="8"/>
  </w:num>
  <w:num w:numId="13" w16cid:durableId="306397267">
    <w:abstractNumId w:val="3"/>
  </w:num>
  <w:num w:numId="14" w16cid:durableId="1861702956">
    <w:abstractNumId w:val="3"/>
  </w:num>
  <w:num w:numId="15" w16cid:durableId="1627539294">
    <w:abstractNumId w:val="2"/>
  </w:num>
  <w:num w:numId="16" w16cid:durableId="144049595">
    <w:abstractNumId w:val="2"/>
  </w:num>
  <w:num w:numId="17" w16cid:durableId="1688559690">
    <w:abstractNumId w:val="1"/>
  </w:num>
  <w:num w:numId="18" w16cid:durableId="912468669">
    <w:abstractNumId w:val="1"/>
  </w:num>
  <w:num w:numId="19" w16cid:durableId="1954090521">
    <w:abstractNumId w:val="0"/>
  </w:num>
  <w:num w:numId="20" w16cid:durableId="366416723">
    <w:abstractNumId w:val="0"/>
  </w:num>
  <w:num w:numId="21" w16cid:durableId="1996568201">
    <w:abstractNumId w:val="9"/>
  </w:num>
  <w:num w:numId="22" w16cid:durableId="478153328">
    <w:abstractNumId w:val="7"/>
  </w:num>
  <w:num w:numId="23" w16cid:durableId="450325508">
    <w:abstractNumId w:val="6"/>
  </w:num>
  <w:num w:numId="24" w16cid:durableId="764112028">
    <w:abstractNumId w:val="5"/>
  </w:num>
  <w:num w:numId="25" w16cid:durableId="706873644">
    <w:abstractNumId w:val="4"/>
  </w:num>
  <w:num w:numId="26" w16cid:durableId="207886582">
    <w:abstractNumId w:val="8"/>
  </w:num>
  <w:num w:numId="27" w16cid:durableId="691103345">
    <w:abstractNumId w:val="3"/>
  </w:num>
  <w:num w:numId="28" w16cid:durableId="136604955">
    <w:abstractNumId w:val="2"/>
  </w:num>
  <w:num w:numId="29" w16cid:durableId="168107135">
    <w:abstractNumId w:val="1"/>
  </w:num>
  <w:num w:numId="30" w16cid:durableId="2061048647">
    <w:abstractNumId w:val="0"/>
  </w:num>
  <w:num w:numId="31" w16cid:durableId="239754591">
    <w:abstractNumId w:val="9"/>
  </w:num>
  <w:num w:numId="32" w16cid:durableId="253325013">
    <w:abstractNumId w:val="7"/>
  </w:num>
  <w:num w:numId="33" w16cid:durableId="1330405106">
    <w:abstractNumId w:val="6"/>
  </w:num>
  <w:num w:numId="34" w16cid:durableId="183904444">
    <w:abstractNumId w:val="5"/>
  </w:num>
  <w:num w:numId="35" w16cid:durableId="41949669">
    <w:abstractNumId w:val="4"/>
  </w:num>
  <w:num w:numId="36" w16cid:durableId="916521245">
    <w:abstractNumId w:val="8"/>
  </w:num>
  <w:num w:numId="37" w16cid:durableId="721826558">
    <w:abstractNumId w:val="3"/>
  </w:num>
  <w:num w:numId="38" w16cid:durableId="929701419">
    <w:abstractNumId w:val="2"/>
  </w:num>
  <w:num w:numId="39" w16cid:durableId="231239699">
    <w:abstractNumId w:val="1"/>
  </w:num>
  <w:num w:numId="40" w16cid:durableId="765879890">
    <w:abstractNumId w:val="0"/>
  </w:num>
  <w:num w:numId="41" w16cid:durableId="94635488">
    <w:abstractNumId w:val="10"/>
  </w:num>
  <w:num w:numId="42" w16cid:durableId="1452552951">
    <w:abstractNumId w:val="10"/>
  </w:num>
  <w:num w:numId="43" w16cid:durableId="485053219">
    <w:abstractNumId w:val="10"/>
  </w:num>
  <w:num w:numId="44" w16cid:durableId="619383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6/2025"/>
    <w:docVar w:name="dvlangue" w:val="HR"/>
    <w:docVar w:name="dvnumam" w:val="0"/>
    <w:docVar w:name="dvpe" w:val="768.179"/>
    <w:docVar w:name="dvrapporteur" w:val="Izvjestitelj: "/>
    <w:docVar w:name="dvtitre" w:val="Rezolucija Europskog parlamenta od .... 2025. o izvješćima Komisije o Moldovi za 2023. i 2024.(2025/2025(INI))"/>
  </w:docVars>
  <w:rsids>
    <w:rsidRoot w:val="00093EB5"/>
    <w:rsid w:val="00002272"/>
    <w:rsid w:val="00064002"/>
    <w:rsid w:val="000677B9"/>
    <w:rsid w:val="000831BA"/>
    <w:rsid w:val="00093EB5"/>
    <w:rsid w:val="000A42CC"/>
    <w:rsid w:val="000E7DD9"/>
    <w:rsid w:val="0010095E"/>
    <w:rsid w:val="00125B37"/>
    <w:rsid w:val="00175B8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99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295"/>
    <w:rsid w:val="005C2568"/>
    <w:rsid w:val="005F1B17"/>
    <w:rsid w:val="005F486E"/>
    <w:rsid w:val="006037C0"/>
    <w:rsid w:val="006119D9"/>
    <w:rsid w:val="006631B6"/>
    <w:rsid w:val="00680577"/>
    <w:rsid w:val="006E0CA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1B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8A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DE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8EFD7"/>
  <w15:chartTrackingRefBased/>
  <w15:docId w15:val="{92D7E86A-CFC9-4FE1-A78B-5048BAA2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28A9"/>
    <w:pPr>
      <w:spacing w:after="240"/>
      <w:ind w:left="567" w:hanging="567"/>
    </w:pPr>
  </w:style>
  <w:style w:type="paragraph" w:customStyle="1" w:styleId="EPComma">
    <w:name w:val="EPComma"/>
    <w:basedOn w:val="Normal"/>
    <w:rsid w:val="009628A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628A9"/>
    <w:rPr>
      <w:sz w:val="24"/>
      <w:lang w:val="hr-HR"/>
    </w:rPr>
  </w:style>
  <w:style w:type="character" w:styleId="Emphasis">
    <w:name w:val="Emphasis"/>
    <w:basedOn w:val="DefaultParagraphFont"/>
    <w:uiPriority w:val="20"/>
    <w:qFormat/>
    <w:rsid w:val="009628A9"/>
    <w:rPr>
      <w:i/>
      <w:iCs/>
    </w:rPr>
  </w:style>
  <w:style w:type="character" w:styleId="Hyperlink">
    <w:name w:val="Hyperlink"/>
    <w:basedOn w:val="DefaultParagraphFont"/>
    <w:unhideWhenUsed/>
    <w:rsid w:val="009628A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22D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2DEE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reg/2025/5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83A9C-B420-4D38-944C-15E15633F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3538</Words>
  <Characters>22164</Characters>
  <Application>Microsoft Office Word</Application>
  <DocSecurity>4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GIRGINOV Kiril</cp:lastModifiedBy>
  <cp:revision>2</cp:revision>
  <cp:lastPrinted>2004-11-19T15:42:00Z</cp:lastPrinted>
  <dcterms:created xsi:type="dcterms:W3CDTF">2025-10-15T10:20:00Z</dcterms:created>
  <dcterms:modified xsi:type="dcterms:W3CDTF">2025-10-15T10:20:00Z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A10-0096/2025</vt:lpwstr>
  </property>
  <property fmtid="{D5CDD505-2E9C-101B-9397-08002B2CF9AE}" pid="4" name="&lt;Type&gt;">
    <vt:lpwstr>RR</vt:lpwstr>
  </property>
</Properties>
</file>