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31549" w14:paraId="0B2B66E5" w14:textId="77777777" w:rsidTr="0010095E">
        <w:trPr>
          <w:trHeight w:hRule="exact" w:val="1418"/>
        </w:trPr>
        <w:tc>
          <w:tcPr>
            <w:tcW w:w="6804" w:type="dxa"/>
            <w:shd w:val="clear" w:color="auto" w:fill="auto"/>
            <w:vAlign w:val="center"/>
          </w:tcPr>
          <w:p w14:paraId="7A5145D0" w14:textId="77777777" w:rsidR="00751A4A" w:rsidRPr="00C31549" w:rsidRDefault="00E87E18" w:rsidP="0010095E">
            <w:pPr>
              <w:pStyle w:val="EPName"/>
            </w:pPr>
            <w:r w:rsidRPr="00C31549">
              <w:t>Európai Parlament</w:t>
            </w:r>
          </w:p>
          <w:p w14:paraId="1AF0478F" w14:textId="77777777" w:rsidR="00751A4A" w:rsidRPr="00C31549" w:rsidRDefault="005F1B17" w:rsidP="005F1B17">
            <w:pPr>
              <w:pStyle w:val="EPTerm"/>
              <w:rPr>
                <w:rStyle w:val="HideTWBExt"/>
                <w:noProof w:val="0"/>
                <w:vanish w:val="0"/>
                <w:color w:val="auto"/>
              </w:rPr>
            </w:pPr>
            <w:r w:rsidRPr="00C31549">
              <w:t>2024</w:t>
            </w:r>
            <w:r w:rsidR="00817416" w:rsidRPr="00C31549">
              <w:t>-202</w:t>
            </w:r>
            <w:r w:rsidRPr="00C31549">
              <w:t>9</w:t>
            </w:r>
          </w:p>
        </w:tc>
        <w:tc>
          <w:tcPr>
            <w:tcW w:w="2268" w:type="dxa"/>
            <w:shd w:val="clear" w:color="auto" w:fill="auto"/>
          </w:tcPr>
          <w:p w14:paraId="0EF5EA55" w14:textId="77777777" w:rsidR="00751A4A" w:rsidRPr="00C31549" w:rsidRDefault="00187494" w:rsidP="0010095E">
            <w:pPr>
              <w:pStyle w:val="EPLogo"/>
            </w:pPr>
            <w:r w:rsidRPr="00C31549">
              <w:rPr>
                <w:noProof/>
                <w:lang w:val="en-GB"/>
              </w:rPr>
              <w:drawing>
                <wp:inline distT="0" distB="0" distL="0" distR="0" wp14:anchorId="272E59DC" wp14:editId="383A24E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B171285" w14:textId="77777777" w:rsidR="00D058B8" w:rsidRPr="00C31549" w:rsidRDefault="00D058B8" w:rsidP="004C5D52">
      <w:pPr>
        <w:pStyle w:val="LineTop"/>
      </w:pPr>
    </w:p>
    <w:p w14:paraId="5F2E3C0D" w14:textId="77777777" w:rsidR="00680577" w:rsidRPr="00C31549" w:rsidRDefault="00E87E18" w:rsidP="00680577">
      <w:pPr>
        <w:pStyle w:val="EPBodyTA1"/>
      </w:pPr>
      <w:r w:rsidRPr="00C31549">
        <w:t>ELFOGADOTT SZÖVEGEK</w:t>
      </w:r>
    </w:p>
    <w:p w14:paraId="0BC2A05C" w14:textId="77777777" w:rsidR="00D058B8" w:rsidRPr="00C31549" w:rsidRDefault="00D058B8" w:rsidP="00D058B8">
      <w:pPr>
        <w:pStyle w:val="LineBottom"/>
      </w:pPr>
    </w:p>
    <w:p w14:paraId="448E9089" w14:textId="77777777" w:rsidR="00E87E18" w:rsidRPr="009304B0" w:rsidRDefault="00E87E18" w:rsidP="00E87E18">
      <w:pPr>
        <w:pStyle w:val="ATHeading1"/>
      </w:pPr>
      <w:bookmarkStart w:id="0" w:name="TANumber"/>
      <w:r w:rsidRPr="009304B0">
        <w:t>P10_</w:t>
      </w:r>
      <w:proofErr w:type="gramStart"/>
      <w:r w:rsidRPr="009304B0">
        <w:t>TA(</w:t>
      </w:r>
      <w:proofErr w:type="gramEnd"/>
      <w:r w:rsidRPr="009304B0">
        <w:t>2025)0</w:t>
      </w:r>
      <w:r w:rsidR="00A72AF3" w:rsidRPr="009304B0">
        <w:t>131</w:t>
      </w:r>
      <w:bookmarkEnd w:id="0"/>
    </w:p>
    <w:p w14:paraId="2C4BAA91" w14:textId="77777777" w:rsidR="00E87E18" w:rsidRPr="009304B0" w:rsidRDefault="00E87E18" w:rsidP="00E87E18">
      <w:pPr>
        <w:pStyle w:val="ATHeading2"/>
      </w:pPr>
      <w:bookmarkStart w:id="1" w:name="title"/>
      <w:r w:rsidRPr="009304B0">
        <w:t>A Moldováról szóló 2023. és 2024. évi jelentés</w:t>
      </w:r>
      <w:bookmarkEnd w:id="1"/>
    </w:p>
    <w:p w14:paraId="6DDB4B7F" w14:textId="77777777" w:rsidR="00E87E18" w:rsidRPr="00C250B1" w:rsidRDefault="00E87E18" w:rsidP="00E87E18">
      <w:pPr>
        <w:rPr>
          <w:i/>
          <w:vanish/>
        </w:rPr>
      </w:pPr>
      <w:r w:rsidRPr="00C250B1">
        <w:rPr>
          <w:i/>
        </w:rPr>
        <w:fldChar w:fldCharType="begin"/>
      </w:r>
      <w:r w:rsidRPr="00C250B1">
        <w:rPr>
          <w:i/>
        </w:rPr>
        <w:instrText xml:space="preserve"> TC"(</w:instrText>
      </w:r>
      <w:bookmarkStart w:id="2" w:name="DocNumber"/>
      <w:r w:rsidRPr="00C250B1">
        <w:rPr>
          <w:i/>
        </w:rPr>
        <w:instrText>A10-0096/2025</w:instrText>
      </w:r>
      <w:bookmarkEnd w:id="2"/>
      <w:r w:rsidRPr="00C250B1">
        <w:rPr>
          <w:i/>
        </w:rPr>
        <w:instrText xml:space="preserve"> - Előadó: Sven Mikser)"\l3 \n&gt; \* MERGEFORMAT </w:instrText>
      </w:r>
      <w:r w:rsidRPr="00C250B1">
        <w:rPr>
          <w:i/>
        </w:rPr>
        <w:fldChar w:fldCharType="end"/>
      </w:r>
    </w:p>
    <w:p w14:paraId="10EC4AA4" w14:textId="77777777" w:rsidR="00E87E18" w:rsidRPr="00C250B1" w:rsidRDefault="00E87E18" w:rsidP="00E87E18">
      <w:pPr>
        <w:rPr>
          <w:vanish/>
        </w:rPr>
      </w:pPr>
      <w:bookmarkStart w:id="3" w:name="Commission"/>
      <w:r w:rsidRPr="00C250B1">
        <w:rPr>
          <w:vanish/>
        </w:rPr>
        <w:t>Külügyi Bizottság</w:t>
      </w:r>
      <w:bookmarkEnd w:id="3"/>
    </w:p>
    <w:p w14:paraId="53F820A9" w14:textId="77777777" w:rsidR="00E87E18" w:rsidRPr="00C250B1" w:rsidRDefault="00E87E18" w:rsidP="00E87E18">
      <w:pPr>
        <w:rPr>
          <w:vanish/>
        </w:rPr>
      </w:pPr>
      <w:bookmarkStart w:id="4" w:name="PE"/>
      <w:r w:rsidRPr="00C250B1">
        <w:rPr>
          <w:vanish/>
        </w:rPr>
        <w:t>PE768.179</w:t>
      </w:r>
      <w:bookmarkEnd w:id="4"/>
    </w:p>
    <w:p w14:paraId="7109DE3D" w14:textId="77777777" w:rsidR="00E87E18" w:rsidRPr="009304B0" w:rsidRDefault="00E87E18" w:rsidP="00E87E18">
      <w:pPr>
        <w:pStyle w:val="ATHeading3"/>
      </w:pPr>
      <w:bookmarkStart w:id="5" w:name="Sujet"/>
      <w:r w:rsidRPr="009304B0">
        <w:t xml:space="preserve">Az Európai Parlament 2025. </w:t>
      </w:r>
      <w:r w:rsidR="00E33E46" w:rsidRPr="009304B0">
        <w:t>június</w:t>
      </w:r>
      <w:r w:rsidRPr="009304B0">
        <w:t xml:space="preserve"> </w:t>
      </w:r>
      <w:r w:rsidR="00E33E46" w:rsidRPr="009304B0">
        <w:t>18-</w:t>
      </w:r>
      <w:r w:rsidRPr="009304B0">
        <w:t>i állásfoglalása a Bizottság Moldováról szóló 2023. és 2024. évi jelentéseiről</w:t>
      </w:r>
      <w:bookmarkEnd w:id="5"/>
      <w:r w:rsidRPr="009304B0">
        <w:t xml:space="preserve"> </w:t>
      </w:r>
      <w:bookmarkStart w:id="6" w:name="References"/>
      <w:r w:rsidRPr="009304B0">
        <w:t>(2025/2025(INI))</w:t>
      </w:r>
      <w:bookmarkEnd w:id="6"/>
    </w:p>
    <w:p w14:paraId="229FCB1D" w14:textId="77777777" w:rsidR="00FA3A57" w:rsidRPr="00C31549" w:rsidRDefault="00FA3A57" w:rsidP="00FA3A57">
      <w:pPr>
        <w:pStyle w:val="EPComma"/>
      </w:pPr>
      <w:r w:rsidRPr="00C31549">
        <w:rPr>
          <w:i/>
        </w:rPr>
        <w:t>Az Európai Parlament</w:t>
      </w:r>
      <w:r w:rsidRPr="00C31549">
        <w:t>,</w:t>
      </w:r>
    </w:p>
    <w:p w14:paraId="673FE23D" w14:textId="77777777" w:rsidR="00FA3A57" w:rsidRPr="00C31549" w:rsidRDefault="00FA3A57" w:rsidP="00E33E46">
      <w:pPr>
        <w:pStyle w:val="NormalHanging12a"/>
        <w:widowControl/>
      </w:pPr>
      <w:r w:rsidRPr="00C31549">
        <w:t>–</w:t>
      </w:r>
      <w:r w:rsidRPr="00C31549">
        <w:tab/>
        <w:t>tekintettel a Bizottságnak a „2024. évi közlemény az EU bővítési stratégiájáról” című, 2024. október 30-i közleményére (</w:t>
      </w:r>
      <w:proofErr w:type="gramStart"/>
      <w:r w:rsidRPr="00C31549">
        <w:t>COM(</w:t>
      </w:r>
      <w:proofErr w:type="gramEnd"/>
      <w:r w:rsidRPr="00C31549">
        <w:t xml:space="preserve">2024)0690), és az azt kísérő, „Republic of Moldova 2024 Report” (2024. évi jelentés a Moldovai Köztársaságról) című bizottsági szolgálati munkadokumentumra (SWD(2024)0698), </w:t>
      </w:r>
    </w:p>
    <w:p w14:paraId="18D71BAC" w14:textId="77777777" w:rsidR="00FA3A57" w:rsidRPr="00C31549" w:rsidRDefault="00FA3A57" w:rsidP="00E33E46">
      <w:pPr>
        <w:pStyle w:val="NormalHanging12a"/>
        <w:widowControl/>
      </w:pPr>
      <w:r w:rsidRPr="00C31549">
        <w:t>–</w:t>
      </w:r>
      <w:r w:rsidRPr="00C31549">
        <w:tab/>
        <w:t>tekintettel a Bizottságnak a Moldovai Köztársaság (a továbbiakban: Moldova) európai uniós tagság iránti kérelméről szóló, 2022. június 17-i véleményére (</w:t>
      </w:r>
      <w:proofErr w:type="gramStart"/>
      <w:r w:rsidRPr="00C31549">
        <w:t>COM(</w:t>
      </w:r>
      <w:proofErr w:type="gramEnd"/>
      <w:r w:rsidRPr="00C31549">
        <w:t>2022)0406), és az „Association Implementation Report on the Republic of Moldova” (Társulási végrehajtási jelentés a Moldovai Köztársaságról) című, 2023. február 6-i közös szolgálati munkadokumentumra (SWD(2023)0041),</w:t>
      </w:r>
    </w:p>
    <w:p w14:paraId="0F4D6357" w14:textId="09C79686" w:rsidR="00FA3A57" w:rsidRPr="00C31549" w:rsidRDefault="00FA3A57" w:rsidP="00E33E46">
      <w:pPr>
        <w:pStyle w:val="NormalHanging12a"/>
        <w:widowControl/>
        <w:rPr>
          <w:i/>
        </w:rPr>
      </w:pPr>
      <w:r w:rsidRPr="00C31549">
        <w:rPr>
          <w:i/>
        </w:rPr>
        <w:t>–</w:t>
      </w:r>
      <w:r w:rsidRPr="00C31549">
        <w:tab/>
        <w:t>tekintettel a Reform- és Növekedéstámogató Eszköz Moldovai Köztársaság számára való létrehozásáról szóló, 2025. március 18-i (EU) 202</w:t>
      </w:r>
      <w:r w:rsidR="003172DE">
        <w:t>5</w:t>
      </w:r>
      <w:r w:rsidRPr="00C31549">
        <w:t>/535 európai parlamenti és tanácsi rendeletre</w:t>
      </w:r>
      <w:r w:rsidRPr="00C31549">
        <w:rPr>
          <w:rStyle w:val="FootnoteReference"/>
        </w:rPr>
        <w:footnoteReference w:id="1"/>
      </w:r>
      <w:r w:rsidRPr="00C31549">
        <w:t>,</w:t>
      </w:r>
    </w:p>
    <w:p w14:paraId="26E8A985" w14:textId="77777777" w:rsidR="00FA3A57" w:rsidRPr="00C31549" w:rsidRDefault="00FA3A57" w:rsidP="00E33E46">
      <w:pPr>
        <w:pStyle w:val="NormalHanging12a"/>
        <w:widowControl/>
      </w:pPr>
      <w:r w:rsidRPr="00C31549">
        <w:t>–</w:t>
      </w:r>
      <w:r w:rsidRPr="00C31549">
        <w:tab/>
        <w:t>tekintettel a Moldováról szóló korábbi állásfoglalásaira,</w:t>
      </w:r>
    </w:p>
    <w:p w14:paraId="46BC0D89" w14:textId="77777777" w:rsidR="00FA3A57" w:rsidRPr="00C31549" w:rsidRDefault="00FA3A57" w:rsidP="00E33E46">
      <w:pPr>
        <w:pStyle w:val="NormalHanging12a"/>
        <w:widowControl/>
      </w:pPr>
      <w:r w:rsidRPr="00C31549">
        <w:t>–</w:t>
      </w:r>
      <w:r w:rsidRPr="00C31549">
        <w:tab/>
        <w:t>tekintettel a Bizottság Moldova uniós vívmányokhoz való igazodásáról szóló, 2023. február 1-i elemző jelentésére</w:t>
      </w:r>
      <w:r w:rsidR="00E33E46">
        <w:t xml:space="preserve"> </w:t>
      </w:r>
      <w:r w:rsidR="00E33E46" w:rsidRPr="00C31549">
        <w:t>(</w:t>
      </w:r>
      <w:proofErr w:type="gramStart"/>
      <w:r w:rsidR="00E33E46" w:rsidRPr="00C31549">
        <w:t>SWD(</w:t>
      </w:r>
      <w:proofErr w:type="gramEnd"/>
      <w:r w:rsidR="00E33E46" w:rsidRPr="00C31549">
        <w:t>2023)0032)</w:t>
      </w:r>
      <w:r w:rsidRPr="00C31549">
        <w:t>,</w:t>
      </w:r>
    </w:p>
    <w:p w14:paraId="37601FC8" w14:textId="77777777" w:rsidR="00FA3A57" w:rsidRPr="00C31549" w:rsidRDefault="00FA3A57" w:rsidP="00E33E46">
      <w:pPr>
        <w:pStyle w:val="NormalHanging12a"/>
        <w:widowControl/>
      </w:pPr>
      <w:r w:rsidRPr="00C31549">
        <w:t>–</w:t>
      </w:r>
      <w:r w:rsidRPr="00C31549">
        <w:tab/>
        <w:t>tekintettel a Moldovai Reform- és Növekedéstámogató Eszköz létrehozásáról szóló európai parlamenti és tanácsi rendeletre irányuló, 2024. október 9-i javaslatra (</w:t>
      </w:r>
      <w:proofErr w:type="gramStart"/>
      <w:r w:rsidRPr="00C31549">
        <w:t>COM(</w:t>
      </w:r>
      <w:proofErr w:type="gramEnd"/>
      <w:r w:rsidRPr="00C31549">
        <w:t>2024)0469),</w:t>
      </w:r>
    </w:p>
    <w:p w14:paraId="7DAFFB6B" w14:textId="77777777" w:rsidR="00FA3A57" w:rsidRPr="00C31549" w:rsidRDefault="00FA3A57" w:rsidP="00E33E46">
      <w:pPr>
        <w:pStyle w:val="NormalHanging12a"/>
        <w:widowControl/>
      </w:pPr>
      <w:r w:rsidRPr="00C31549">
        <w:t>–</w:t>
      </w:r>
      <w:r w:rsidRPr="00C31549">
        <w:tab/>
        <w:t>tekintettel a Moldovára vonatkozó növekedési tervről szóló, 2024. október 9-i bizottsági közleményre (</w:t>
      </w:r>
      <w:proofErr w:type="gramStart"/>
      <w:r w:rsidRPr="00C31549">
        <w:t>COM(</w:t>
      </w:r>
      <w:proofErr w:type="gramEnd"/>
      <w:r w:rsidRPr="00C31549">
        <w:t>2024)0470),</w:t>
      </w:r>
    </w:p>
    <w:p w14:paraId="634D27D0" w14:textId="77777777" w:rsidR="00FA3A57" w:rsidRPr="00C31549" w:rsidRDefault="00FA3A57" w:rsidP="00E33E46">
      <w:pPr>
        <w:pStyle w:val="NormalHanging12a"/>
        <w:widowControl/>
      </w:pPr>
      <w:r w:rsidRPr="00C31549">
        <w:lastRenderedPageBreak/>
        <w:t>–</w:t>
      </w:r>
      <w:r w:rsidRPr="00C31549">
        <w:tab/>
        <w:t>tekintettel a bővítésről szóló, 2024. december 17-i tanácsi következtetésekre,</w:t>
      </w:r>
    </w:p>
    <w:p w14:paraId="21FD3ECA" w14:textId="77777777" w:rsidR="00FA3A57" w:rsidRPr="00C31549" w:rsidRDefault="00FA3A57" w:rsidP="00E33E46">
      <w:pPr>
        <w:pStyle w:val="NormalHanging12a"/>
        <w:widowControl/>
      </w:pPr>
      <w:r w:rsidRPr="00C31549">
        <w:t>–</w:t>
      </w:r>
      <w:r w:rsidRPr="00C31549">
        <w:tab/>
        <w:t>tekintettel a Külügyi Bizottság küldöttségének 2025. február 25–27-én Moldovában tett látogatására,</w:t>
      </w:r>
    </w:p>
    <w:p w14:paraId="0B5E9843" w14:textId="77777777" w:rsidR="00FA3A57" w:rsidRPr="00C31549" w:rsidRDefault="00FA3A57" w:rsidP="00E33E46">
      <w:pPr>
        <w:pStyle w:val="NormalHanging12a"/>
        <w:widowControl/>
      </w:pPr>
      <w:r w:rsidRPr="00C31549">
        <w:t>–</w:t>
      </w:r>
      <w:r w:rsidRPr="00C31549">
        <w:tab/>
        <w:t>tekintettel eljárási szabályzata 55. cikkére,</w:t>
      </w:r>
    </w:p>
    <w:p w14:paraId="470403C1" w14:textId="77777777" w:rsidR="00FA3A57" w:rsidRPr="00C31549" w:rsidRDefault="00FA3A57" w:rsidP="00E33E46">
      <w:pPr>
        <w:pStyle w:val="NormalHanging12a"/>
        <w:widowControl/>
      </w:pPr>
      <w:r w:rsidRPr="00C31549">
        <w:t>–</w:t>
      </w:r>
      <w:r w:rsidRPr="00C31549">
        <w:tab/>
        <w:t>tekintettel a Külügyi Bizottság jelentésére (A10-0096/2025),</w:t>
      </w:r>
    </w:p>
    <w:p w14:paraId="0010CC8C" w14:textId="77777777" w:rsidR="00FA3A57" w:rsidRPr="00C31549" w:rsidRDefault="00FA3A57" w:rsidP="00E33E46">
      <w:pPr>
        <w:pStyle w:val="NormalHanging12a"/>
        <w:widowControl/>
      </w:pPr>
      <w:r w:rsidRPr="00C31549">
        <w:t>A.</w:t>
      </w:r>
      <w:r w:rsidRPr="00C31549">
        <w:tab/>
        <w:t>mivel Moldova 2022. március 3-i uniós tagság iránti kérelmét követően az Európai Tanács 2022. június 23-án tagjelölti státuszt adott Moldovának, majd ezt követően 2023. december 14-én úgy határozott, hogy megkezdi a csatlakozási tárgyalásokat;</w:t>
      </w:r>
    </w:p>
    <w:p w14:paraId="1F83CAA3" w14:textId="77777777" w:rsidR="00FA3A57" w:rsidRPr="00C31549" w:rsidRDefault="00FA3A57" w:rsidP="00E33E46">
      <w:pPr>
        <w:pStyle w:val="NormalHanging12a"/>
        <w:widowControl/>
      </w:pPr>
      <w:r w:rsidRPr="00C31549">
        <w:t>B.</w:t>
      </w:r>
      <w:r w:rsidRPr="00C31549">
        <w:tab/>
        <w:t>mivel 2024 júniusában megkezdődtek a Moldova uniós csatlakozásáról szóló tárgyalások;</w:t>
      </w:r>
    </w:p>
    <w:p w14:paraId="1E019667" w14:textId="77777777" w:rsidR="00FA3A57" w:rsidRPr="00C31549" w:rsidRDefault="00FA3A57" w:rsidP="00E33E46">
      <w:pPr>
        <w:pStyle w:val="NormalHanging12a"/>
        <w:widowControl/>
      </w:pPr>
      <w:r w:rsidRPr="00C31549">
        <w:t>C.</w:t>
      </w:r>
      <w:r w:rsidRPr="00C31549">
        <w:tab/>
        <w:t>mivel Moldova 2024. október 20-án népszavazást tartott, amelynek eredménye megerősítette az uniós csatlakozás Moldova alkotmányába való belefoglalását az ország destabilizálását célzó manipulatív beavatkozás különböző formái, a politikai szereplők jogellenes finanszírozása, a dezinformációs kampányok és a kibertámadások ellenére;</w:t>
      </w:r>
    </w:p>
    <w:p w14:paraId="3DF39D99" w14:textId="77777777" w:rsidR="00FA3A57" w:rsidRPr="00C31549" w:rsidRDefault="00FA3A57" w:rsidP="00E33E46">
      <w:pPr>
        <w:pStyle w:val="NormalHanging12a"/>
        <w:widowControl/>
      </w:pPr>
      <w:r w:rsidRPr="00C31549">
        <w:t>D.</w:t>
      </w:r>
      <w:r w:rsidRPr="00C31549">
        <w:tab/>
        <w:t>mivel a mélyreható és átfogó szabadkereskedelmi térséget is magában foglaló társulási megállapodás</w:t>
      </w:r>
      <w:r w:rsidRPr="00C31549">
        <w:rPr>
          <w:rStyle w:val="FootnoteReference"/>
          <w:color w:val="000000"/>
        </w:rPr>
        <w:footnoteReference w:id="2"/>
      </w:r>
      <w:r w:rsidRPr="00C31549">
        <w:t xml:space="preserve"> továbbra is az EU és Moldova közötti politikai társulás és gazdasági integráció alapja, és a két fél között rendszeres politikai és gazdasági párbeszéd zajlik;</w:t>
      </w:r>
    </w:p>
    <w:p w14:paraId="45F1C88E" w14:textId="77777777" w:rsidR="00FA3A57" w:rsidRPr="00C31549" w:rsidRDefault="00FA3A57" w:rsidP="00E33E46">
      <w:pPr>
        <w:pStyle w:val="NormalHanging12a"/>
        <w:widowControl/>
        <w:ind w:left="0" w:firstLine="0"/>
        <w:rPr>
          <w:b/>
        </w:rPr>
      </w:pPr>
      <w:r w:rsidRPr="00C31549">
        <w:rPr>
          <w:b/>
          <w:i/>
        </w:rPr>
        <w:t>Az uniós csatlakozással kapcsolatos reformok terén elért eredmények, különös tekintettel a jogállamiságra és a kormányzásra</w:t>
      </w:r>
    </w:p>
    <w:p w14:paraId="67A7BE7C" w14:textId="77777777" w:rsidR="00FA3A57" w:rsidRPr="00C31549" w:rsidRDefault="00FA3A57" w:rsidP="00E33E46">
      <w:pPr>
        <w:pStyle w:val="NormalHanging12a"/>
        <w:widowControl/>
        <w:rPr>
          <w:shd w:val="clear" w:color="auto" w:fill="FFFFFF"/>
        </w:rPr>
      </w:pPr>
      <w:r w:rsidRPr="00C31549">
        <w:t>1.</w:t>
      </w:r>
      <w:r w:rsidRPr="00C31549">
        <w:tab/>
      </w:r>
      <w:r w:rsidRPr="00C31549">
        <w:rPr>
          <w:shd w:val="clear" w:color="auto" w:fill="FFFFFF"/>
        </w:rPr>
        <w:t xml:space="preserve">elismerését fejezi ki Moldova példamutató elkötelezettségéért és az uniós csatlakozással kapcsolatos reformok terén a jelentős belső és külső kihívások – például Oroszország Ukrajna elleni teljes körű agressziós háborúja – ellenére elért folyamatos előrehaladásért, ami lehetővé tette, hogy 2024 júniusában megkezdődjenek a csatlakozási tárgyalások, </w:t>
      </w:r>
      <w:r w:rsidRPr="00C31549">
        <w:rPr>
          <w:rStyle w:val="highlight-diff"/>
          <w:color w:val="000000"/>
          <w:shd w:val="clear" w:color="auto" w:fill="FFFFFF"/>
        </w:rPr>
        <w:t>fél évvel az Európai Tanács 2023. december 14-i vonatkozó határozatát, és kevesebb, mint két évvel az ország 2022. március 3-i uniós tagság iránti kérelmét követően</w:t>
      </w:r>
      <w:r w:rsidRPr="00C31549">
        <w:rPr>
          <w:shd w:val="clear" w:color="auto" w:fill="FFFFFF"/>
        </w:rPr>
        <w:t>;</w:t>
      </w:r>
    </w:p>
    <w:p w14:paraId="29437F27" w14:textId="77777777" w:rsidR="00FA3A57" w:rsidRPr="00C31549" w:rsidRDefault="00FA3A57" w:rsidP="00E33E46">
      <w:pPr>
        <w:pStyle w:val="NormalHanging12a"/>
        <w:widowControl/>
      </w:pPr>
      <w:r w:rsidRPr="00C31549">
        <w:t>2.</w:t>
      </w:r>
      <w:r w:rsidRPr="00C31549">
        <w:tab/>
        <w:t xml:space="preserve">elismeri, hogy az EU és Moldova közötti kapcsolatok új szakaszba léptek, ami szorosabb együttműködést, fokozatos közelítést foglal magában az uniós vívmányok valamennyi szakpolitikai területén, és előrelépést jelent az uniós integráció útján; üdvözli a kétoldalú átvilágítási folyamat 2024. júliusi kezdete óta elért eredményeket, valamint az 1. témakörre (alapkérdések) és a 2. témakörre (belső piac) vonatkozó átvilágítási folyamat közelmúltbeli lezárását; üdvözli és támogatja a moldovai kormány azon törekvését, hogy az elkövetkező hónapokban tárgyalásokat kezdjen az 1. témakörről (alapkérdések), a 2. témakörről (belső piac) és a 6. témakörről (külkapcsolatok), valamint hogy 2025 végéig valamennyi témakörre vonatkozóan befejezze az átvilágítási folyamatot; felhívja a Bizottságot, hogy fokozza a moldovai kormánynak nyújtott támogatását e kulcsfontosságú célkitűzések sikeres elérésének biztosítása érdekében; bátorítja a Tanácsot, hogy a Moldova tárgyalási folyamatáról </w:t>
      </w:r>
      <w:r w:rsidRPr="00C31549">
        <w:lastRenderedPageBreak/>
        <w:t>szóló határozatai során alkalmazzon érdemeken alapuló megközelítést; sajnálatát fejezi ki az uniós csatlakozási folyamat kétoldalúvá tétele és eszközként való felhasználása miatt, így például amiatt, hogy a magyar kormány ellenezte az 1., 2. és 6. témakörről szóló tárgyalások megkezdését, ami késedelmet okozott, és Oroszország azon célkitűzését szolgálta, hogy akadályozza a régió európai integrációját;</w:t>
      </w:r>
    </w:p>
    <w:p w14:paraId="1D71C86C" w14:textId="77777777" w:rsidR="00FA3A57" w:rsidRPr="00C31549" w:rsidRDefault="00FA3A57" w:rsidP="00E33E46">
      <w:pPr>
        <w:pStyle w:val="NormalHanging12a"/>
        <w:widowControl/>
      </w:pPr>
      <w:r w:rsidRPr="00C31549">
        <w:t>3.</w:t>
      </w:r>
      <w:r w:rsidRPr="00C31549">
        <w:tab/>
        <w:t>úgy véli, hogy Moldova csak akkor lesz képes arra, hogy megszilárdítsa az uniós csatlakozással kapcsolatos reformok terén elért jelenlegi előrehaladását, és fenntartsa az uniós tagság felé vezető ambiciózus ütemet, ha ezt a 2025. őszi választásokat követően a parlamenti többség határozottan és ténylegesen támogatja;</w:t>
      </w:r>
    </w:p>
    <w:p w14:paraId="31229520" w14:textId="434C9327" w:rsidR="00FA3A57" w:rsidRPr="00C31549" w:rsidRDefault="00FA3A57" w:rsidP="00E33E46">
      <w:pPr>
        <w:pStyle w:val="NormalHanging12a"/>
        <w:widowControl/>
      </w:pPr>
      <w:r w:rsidRPr="00C31549">
        <w:t>4.</w:t>
      </w:r>
      <w:r w:rsidRPr="00C31549">
        <w:tab/>
        <w:t>megjegyzi, hogy mind az uniós csatlakozásról szóló, 202</w:t>
      </w:r>
      <w:r w:rsidR="003172DE">
        <w:t>4</w:t>
      </w:r>
      <w:r w:rsidRPr="00C31549">
        <w:t xml:space="preserve">. október 20-án tartott alkotmányos népszavazás, mind a 2024. október 20-án és november 3-án tartott elnökválasztás eredménye megerősítette, hogy a moldovai nép többsége támogatja az ország uniós tagságra irányuló célját és a szükséges EU-párti reformokat; hangsúlyozza, hogy ezt a népszavazást és választást szakszerűen, rendkívüli kötelességtudattal és elhivatottsággal tartották meg annak ellenére, hogy Oroszország és csatlósai </w:t>
      </w:r>
      <w:r w:rsidR="006261D2">
        <w:t xml:space="preserve">kiterjedt </w:t>
      </w:r>
      <w:r w:rsidRPr="00C31549">
        <w:t>hibrid kampányt folytattak különböző eszközök használatával, például a közösségi média stratégiai felhasználásával, mesterséges intelligencia által generált tartalmakkal, hamis dokumentumok „kiszivárogtatásával”, megfélemlítéssel – amely az ország destabilizálására irányuló manipulatív beavatkozás különböző formáit foglalta magában –, politikai szereplők jogellenes finanszírozásával, szavazatvásárlással – többek között azáltal, hogy Oroszország eszközként használta fel a Chișinău városában és Moldova egészében a papság egyes részeit –, dezinformációs kampányokkal és kibertámadásokkal; emlékeztet arra, hogy ezek a támadások négy kulcsfontosságú stratégiát alkalmaztak: a társadalom megosztása, az intézmények legitimitásának megkérdőjelezése, a demokratikus szereplők hiteltelenítése és az orosz befolyás előmozdítása; üdvözli a Moldovában tartott 2024. évi alkotmányos népszavazás eredményét, amelynek nyomán az ország alkotmányában rögzítették az EU-csatlakozás iránti elkötelezettséget; határozottan elítéli Oroszország, az oroszbarát oligarchák és az Oroszország által támogatott helyi megbízottak a Moldovai Köztársaság destabilizálására, a moldovai társadalmon belüli ellentétek szítására és az ország Unió-párti irányultságának eltérítésére irányuló, egyre intenzívebb kísérleteit, amelyeket hibrid támadások, az energiaellátás eszközként való felhasználása, dezinformáció, manipuláció, valamint a civil társadalmi szervezeteket és a független média megfélemlítését célzó kampányok révén hajtanak végre;</w:t>
      </w:r>
    </w:p>
    <w:p w14:paraId="16BFC7D1" w14:textId="77777777" w:rsidR="00FA3A57" w:rsidRPr="00C31549" w:rsidRDefault="00FA3A57" w:rsidP="00E33E46">
      <w:pPr>
        <w:pStyle w:val="NormalHanging12a"/>
        <w:widowControl/>
      </w:pPr>
      <w:r w:rsidRPr="00C31549">
        <w:t>5.</w:t>
      </w:r>
      <w:r w:rsidRPr="00C31549">
        <w:tab/>
      </w:r>
      <w:r w:rsidRPr="00C31549">
        <w:rPr>
          <w:rStyle w:val="NormalHanging12aChar"/>
          <w:color w:val="000000"/>
        </w:rPr>
        <w:t xml:space="preserve">megjegyzi, hogy a közelgő, 2025. szeptember 28-án tartandó parlamenti választások döntő fontosságúak lesznek Moldova EU-párti pályájának folytatása szempontjából; aggodalmát fejezi ki amiatt, hogy a választások előtt valószínűleg fokozódni fognak a rosszindulatú külföldi, különösen az orosz beavatkozások és a hibrid támadások; felhívja az EU-t, hogy növelje a moldovai kormánynak az ország demokratikus folyamatába való ilyen beavatkozás elleni küzdelemre irányuló erőfeszítéseihez nyújtott támogatását, a pénzügyi és a technikai támogatást is beleértve, többek között további szankciós listák elfogadása, az EU moldovai partnerségi missziója (EUPM) megbízatásának és forrásainak meghosszabbítása és megerősítése, és annak további támogatása, valamint a külföldi információmanipulációval és beavatkozással kapcsolatos szakértelem megosztása révén, a hibrid fenyegetések ellensúlyozása és a reziliencia megerősítése érdekében; </w:t>
      </w:r>
      <w:bookmarkStart w:id="7" w:name="_Hlk194942091"/>
      <w:r w:rsidRPr="00C31549">
        <w:rPr>
          <w:rStyle w:val="NormalHanging12aChar"/>
          <w:color w:val="000000"/>
        </w:rPr>
        <w:t xml:space="preserve">hasonlóképpen kéri, hogy a moldovai hatóságok és az EU fokozzák a független média és a demokráciapárti civil társadalom támogatására irányuló erőfeszítéseiket annak érdekében, hogy lehetővé tegyék a nemzeti és regionális </w:t>
      </w:r>
      <w:r w:rsidRPr="00C31549">
        <w:rPr>
          <w:rStyle w:val="NormalHanging12aChar"/>
          <w:color w:val="000000"/>
        </w:rPr>
        <w:lastRenderedPageBreak/>
        <w:t>szintű újságírók számára a külföldi információmanipuláció és beavatkozás elleni küzdelmet, és megerősítsék a digitális jártasságot;</w:t>
      </w:r>
      <w:bookmarkEnd w:id="7"/>
    </w:p>
    <w:p w14:paraId="56615293" w14:textId="77777777" w:rsidR="00FA3A57" w:rsidRPr="00C31549" w:rsidRDefault="00FA3A57" w:rsidP="00E33E46">
      <w:pPr>
        <w:pStyle w:val="NormalHanging12a"/>
        <w:widowControl/>
      </w:pPr>
      <w:r w:rsidRPr="00C31549">
        <w:t>6.</w:t>
      </w:r>
      <w:r w:rsidRPr="00C31549">
        <w:tab/>
        <w:t xml:space="preserve">hangsúlyozza a stratégiai kommunikáció fontosságát, amelynek része az EU-val és politikáival kapcsolatos hamis, Oroszország által előmozdított narratívák cáfolása és az azok elleni küzdelem, valamint annak kiemelése, hogy az uniós csatlakozás milyen konkrét rövid és hosszú távú előnyökkel jár Moldova népe számára, </w:t>
      </w:r>
      <w:bookmarkStart w:id="8" w:name="_Hlk196923727"/>
      <w:r w:rsidRPr="00C31549">
        <w:t xml:space="preserve">különös tekintettel az olyan régiókra, mint Gagauzia, valamint a társadalmi-gazdasági szempontból hátrányos helyzetű vidéki közösségekre; </w:t>
      </w:r>
      <w:bookmarkEnd w:id="8"/>
      <w:r w:rsidRPr="00C31549">
        <w:t>felszólítja az EU-t, hogy fokozza a Moldovának nyújtott támogatását e tekintetben;</w:t>
      </w:r>
    </w:p>
    <w:p w14:paraId="6EA9AD56" w14:textId="77777777" w:rsidR="00FA3A57" w:rsidRPr="00E33E46" w:rsidRDefault="00FA3A57" w:rsidP="00E33E46">
      <w:pPr>
        <w:pStyle w:val="NormalHanging12a"/>
        <w:widowControl/>
        <w:rPr>
          <w:b/>
          <w:i/>
        </w:rPr>
      </w:pPr>
      <w:r w:rsidRPr="00E33E46">
        <w:rPr>
          <w:b/>
          <w:i/>
        </w:rPr>
        <w:t>Társadalmi-gazdasági reformok</w:t>
      </w:r>
    </w:p>
    <w:p w14:paraId="7E6BB792" w14:textId="77777777" w:rsidR="00FA3A57" w:rsidRPr="00C31549" w:rsidRDefault="00FA3A57" w:rsidP="00E33E46">
      <w:pPr>
        <w:pStyle w:val="NormalHanging12a"/>
        <w:widowControl/>
        <w:rPr>
          <w:rStyle w:val="NormalHanging12aChar"/>
          <w:color w:val="000000"/>
        </w:rPr>
      </w:pPr>
      <w:r w:rsidRPr="00C31549">
        <w:t>7.</w:t>
      </w:r>
      <w:r w:rsidRPr="00C31549">
        <w:tab/>
      </w:r>
      <w:r w:rsidRPr="00C31549">
        <w:rPr>
          <w:rStyle w:val="NormalHanging12aChar"/>
          <w:color w:val="000000"/>
        </w:rPr>
        <w:t>üdvözli a Bizottság Moldovára vonatkozó növekedési tervét, amelynek célja Moldova társadalmi-gazdasági és alapvető reformjainak támogatása, valamint az EU egységes piacához való hozzáférés javítása; üdvözli a Moldovai Reform- és Növekedéstámogató Eszközt, amely a növekedési terv alapját képezi, és értéke 2,02 milliárd EUR, amely ezáltal függetlensége óta a legnagyobb uniós pénzügyi támogatási csomag Moldova számára; hangsúlyozza, hogy az eszköz 520 millió EUR vissza nem térítendő támogatást és 18%-os előfinanszírozási arány mellett legfeljebb 1,5 milliárd EUR kölcsönt biztosít Moldovának, ami azt mutatja, hogy az EU elismeri, hogy sürgősen támogatni kell Moldova reformjait és rezilienciáját; felhívja a Bizottságot, hogy támogassa a moldovai hatóságokat az ezen eszközből származó források hatékony felhasználásához szükséges reformprogram végrehajtásában, biztosítva, hogy Moldova polgárai azonnal érezzék e támogatás előnyeit; várakozással tekint a Moldovai Reform- és Növekedéstámogató Eszköz bejelentett hatásvizsgálata elé, amelyre a kapcsolódó rendelet elfogadásától számított három hónapon belül bizottsági szolgálati munkadokumentum formájában kerül sor;</w:t>
      </w:r>
    </w:p>
    <w:p w14:paraId="056E5BA5" w14:textId="77777777" w:rsidR="00FA3A57" w:rsidRPr="00C31549" w:rsidRDefault="00FA3A57" w:rsidP="00E33E46">
      <w:pPr>
        <w:pStyle w:val="NormalHanging12a"/>
        <w:widowControl/>
      </w:pPr>
      <w:r w:rsidRPr="00C31549">
        <w:t>8.</w:t>
      </w:r>
      <w:r w:rsidRPr="00C31549">
        <w:tab/>
        <w:t xml:space="preserve">felhívja az Európai Bizottságot, hogy az EU következő többéves pénzügyi keretébe foglaljon bele megfelelő előcsatlakozási alapokat Moldova számára, </w:t>
      </w:r>
      <w:proofErr w:type="gramStart"/>
      <w:r w:rsidRPr="00C31549">
        <w:t>valamint</w:t>
      </w:r>
      <w:proofErr w:type="gramEnd"/>
      <w:r w:rsidRPr="00C31549">
        <w:t xml:space="preserve"> hogy kezdje meg Moldova mint új uniós tagjelölt ország felkészítését a jövőbeli előcsatlakozási alapok hatékony felhasználására;</w:t>
      </w:r>
    </w:p>
    <w:p w14:paraId="75BE894D" w14:textId="77777777" w:rsidR="00FA3A57" w:rsidRPr="00C31549" w:rsidRDefault="00FA3A57" w:rsidP="00E33E46">
      <w:pPr>
        <w:pStyle w:val="NormalHanging12a"/>
        <w:widowControl/>
      </w:pPr>
      <w:r w:rsidRPr="00C31549">
        <w:t>9.</w:t>
      </w:r>
      <w:r w:rsidRPr="00C31549">
        <w:tab/>
        <w:t>megismétli, hogy a moldovai nép európai integráció iránti támogatását meg lehet erősíteni megélhetésük kézzelfogható javításával, az állami intézmények és a közigazgatás annak érdekében történő megerősítésével, hogy a projektfinanszírozás hatékonyan kerüljön felhasználásra, továbbá hogy végrehajtsák és érvényesítsék az uniós vívmányokat, szilárd jóléti rendszer biztosításával, valamint a korrupció és az oligarchikus befolyás elleni küzdelemmel és az elszámoltathatóság biztosításával; felhívja a moldovai hatóságokat, hogy a demokratikus intézményekbe és folyamatokba vetett bizalom megerősítése, valamint az uniós csatlakozással kapcsolatos reformok nyilvánosság általi támogatottságának növelése érdekében továbbra is biztosítsák a civil társadalmi szervezetek, a diaszpórák, a sérülékeny csoportok és a szociális partnerek, köztük a szakszervezetek érdemi bevonását;</w:t>
      </w:r>
    </w:p>
    <w:p w14:paraId="29A6504D" w14:textId="77777777" w:rsidR="00FA3A57" w:rsidRPr="00C31549" w:rsidRDefault="00FA3A57" w:rsidP="00E33E46">
      <w:pPr>
        <w:pStyle w:val="NormalHanging12a"/>
        <w:widowControl/>
      </w:pPr>
      <w:r w:rsidRPr="00C31549">
        <w:t>10.</w:t>
      </w:r>
      <w:r w:rsidRPr="00C31549">
        <w:tab/>
        <w:t>hangsúlyozza a civil társadalmi szervezetek fontosságát az EU-val kapcsolatos reformok irányításának és előrehaladásának nyomon követésében, az átláthatóság előmozdításában, az emberi jogok védelmében, valamint a reformellenes politikai szereplők és az orosz csatlósok általi dezinformáció és külső rosszindulatú befolyás elleni küzdelemben;</w:t>
      </w:r>
    </w:p>
    <w:p w14:paraId="6C63613A" w14:textId="77777777" w:rsidR="00FA3A57" w:rsidRPr="00C31549" w:rsidRDefault="00FA3A57" w:rsidP="00E33E46">
      <w:pPr>
        <w:pStyle w:val="NormalHanging12a"/>
        <w:widowControl/>
      </w:pPr>
      <w:r w:rsidRPr="00C31549">
        <w:lastRenderedPageBreak/>
        <w:t>11.</w:t>
      </w:r>
      <w:r w:rsidRPr="00C31549">
        <w:tab/>
        <w:t>olyan átfogó szociálpolitikai reformokra szólít fel, amelyek kezelik a szegénységet és a tartós nagyarányú kivándorlást, bővítik az egészségügyi ellátást, megerősítik a közoktatást, javítják a munkakörülményeket és megfelelő szociális védelmi rendszereket alakítanak ki; hangsúlyozza, hogy a gazdasági fejlődésnek inkluzívnak és fenntarthatónak kell lennie, és lehetőségeket kell biztosítania a kis- és középvállalkozások számára; hangsúlyozza, hogy a regionális egyenlőtlenségek csökkentése és a társadalmi kohézió megőrzése érdekében a moldovai fiatalokat és a vidéki területeket megcélzó szociális beruházásokra van szükség;</w:t>
      </w:r>
    </w:p>
    <w:p w14:paraId="3B95E44F" w14:textId="77777777" w:rsidR="00FA3A57" w:rsidRPr="00C31549" w:rsidRDefault="00FA3A57" w:rsidP="00E33E46">
      <w:pPr>
        <w:pStyle w:val="NormalHanging12a"/>
        <w:widowControl/>
      </w:pPr>
      <w:r w:rsidRPr="00C31549">
        <w:t>12.</w:t>
      </w:r>
      <w:r w:rsidRPr="00C31549">
        <w:tab/>
      </w:r>
      <w:r w:rsidRPr="00C31549">
        <w:rPr>
          <w:rStyle w:val="NormalHanging12aChar"/>
          <w:color w:val="000000"/>
        </w:rPr>
        <w:t>kéri, hogy helyezzenek különös hangsúlyt Moldova szociális, oktatási és kulturális uniós programokban való részvételére a társadalmi konvergencia, az innováció és a technológiai fejlődés támogatása érdekében;</w:t>
      </w:r>
    </w:p>
    <w:p w14:paraId="00647675" w14:textId="77777777" w:rsidR="00FA3A57" w:rsidRPr="00C31549" w:rsidRDefault="00FA3A57" w:rsidP="00E33E46">
      <w:pPr>
        <w:pStyle w:val="NormalHanging12a"/>
        <w:widowControl/>
      </w:pPr>
      <w:r w:rsidRPr="00C31549">
        <w:t>13.</w:t>
      </w:r>
      <w:r w:rsidRPr="00C31549">
        <w:tab/>
        <w:t>felszólítja Moldovát, hogy a társulási megállapodás/mélyreható és átfogó szabadkereskedelmi megállapodás megerősített végrehajtása alapján hajtsa végre a reformprogramot, amely felvázolja a moldovai gazdaság növekedésének és versenyképességének, valamint az Unióval való konvergenciájának felgyorsítását célzó kulcsfontosságú társadalmi-gazdasági és alapvető reformokat;</w:t>
      </w:r>
    </w:p>
    <w:p w14:paraId="29210C1F" w14:textId="77777777" w:rsidR="00FA3A57" w:rsidRPr="00C31549" w:rsidRDefault="00FA3A57" w:rsidP="00E33E46">
      <w:pPr>
        <w:pStyle w:val="NormalHanging12a"/>
        <w:widowControl/>
        <w:rPr>
          <w:rStyle w:val="NormalHanging12aChar"/>
          <w:color w:val="000000"/>
        </w:rPr>
      </w:pPr>
      <w:r w:rsidRPr="00C31549">
        <w:t>14.</w:t>
      </w:r>
      <w:r w:rsidRPr="00C31549">
        <w:tab/>
      </w:r>
      <w:r w:rsidRPr="00C31549">
        <w:rPr>
          <w:rStyle w:val="NormalHanging12aChar"/>
          <w:color w:val="000000"/>
        </w:rPr>
        <w:t xml:space="preserve">határozottan felszólít, hogy gyorsítsák fel Moldova fokozatos uniós és egységes piaci integrációját azáltal, hogy Moldova folytatja jogi és szabályozási keretének az uniós vívmányokkal való összehangolását, valamint azáltal, hogy az ország több uniós programhoz és kezdeményezéshez társul, többek között úgy, hogy megfigyelői státuszt biztosítanak a moldovai tisztviselők és az érintett uniós szervek szakértői számára, ami már az ország EU-hoz való hivatalos csatlakozása előtt kézzelfogható társadalmi-gazdasági előnyökkel járna; gratulál Moldovának ahhoz, hogy bevonták az egységes eurófizetési térség fizetési rendszereinek földrajzi hatálya alá, ami egyszerűsíti az euróban történő átutalásokat, és csökkenti a moldovai polgárok és vállalkozások költségeit; </w:t>
      </w:r>
      <w:r w:rsidR="00A72AF3" w:rsidRPr="00A72AF3">
        <w:rPr>
          <w:rStyle w:val="NormalHanging12aChar"/>
          <w:color w:val="000000"/>
        </w:rPr>
        <w:t xml:space="preserve">elismerését fejezi ki amiatt, hogy a barangolás liberalizációja bekerült az aktualizált EU–Moldova társulási megállapodásba; </w:t>
      </w:r>
      <w:r w:rsidRPr="00C31549">
        <w:rPr>
          <w:rStyle w:val="NormalHanging12aChar"/>
          <w:color w:val="000000"/>
        </w:rPr>
        <w:t>üdvözli, hogy Moldova a közelmúltban előrelépést tett a barangolásra és a távközlésre vonatkozó uniós vívmányok átültetése terén, és támogatását fejezi ki arra vonatkozóan, hogy gyors döntés szülessen Moldova bevonásáról a belföldi díjszabás szerinti barangolást biztosító uniós térségbe; felhívja a szolgáltatókat, hogy jóhiszeműen működjenek együtt a moldovai hatóságokkal a „belföldi díjszabás szerinti barangolás” megvalósításában;</w:t>
      </w:r>
    </w:p>
    <w:p w14:paraId="73DABBC8" w14:textId="77777777" w:rsidR="00FA3A57" w:rsidRPr="00C31549" w:rsidRDefault="00FA3A57" w:rsidP="00E33E46">
      <w:pPr>
        <w:pStyle w:val="NormalHanging12a"/>
        <w:widowControl/>
      </w:pPr>
      <w:r w:rsidRPr="00C31549">
        <w:t>15.</w:t>
      </w:r>
      <w:r w:rsidRPr="00C31549">
        <w:tab/>
      </w:r>
      <w:r w:rsidRPr="00C31549">
        <w:rPr>
          <w:rStyle w:val="NormalHanging12aChar"/>
          <w:color w:val="000000"/>
        </w:rPr>
        <w:t>üdvözli, hogy Moldova gazdaságának támogatása érdekében 2024 júliusában megújították az EU ideiglenes kereskedelemliberalizációs intézkedéseit, helyettesítve az Oroszország Ukrajna elleni agressziós háborúja és a Moldovával szembeni barátságtalan politikái által okozott kereskedelmi veszteségeket; felszólítja az EU-t, hogy tegyen gyors és jelentős lépéseket a vámkontingensek tartós liberalizálása felé, hogy biztosítsa a kiszámíthatóságot, és növelje az ország vonzerejét a befektetők számára;</w:t>
      </w:r>
    </w:p>
    <w:p w14:paraId="2962CA90" w14:textId="77777777" w:rsidR="00FA3A57" w:rsidRPr="00C31549" w:rsidRDefault="00FA3A57" w:rsidP="00E33E46">
      <w:pPr>
        <w:pStyle w:val="NormalHanging12a"/>
        <w:widowControl/>
      </w:pPr>
      <w:r w:rsidRPr="00C31549">
        <w:t>16.</w:t>
      </w:r>
      <w:r w:rsidRPr="00C31549">
        <w:tab/>
        <w:t xml:space="preserve">megjegyzi, hogy az Egyesült Államok kormányának azon közelmúltbeli döntése, hogy felfüggeszti a civil társadalom, a független média, a kulcsfontosságú reformok és az infrastrukturális projektek támogatását, további sürgős szükségleteket teremtett Moldovában, amelyekkel kapcsolatban az EU-nak lépéseket kell tennie; e tekintetben felhívja a Bizottságot, hogy növelje a demokráciát támogató uniós eszközök, például a Demokráciáért Európai Alapítvány, valamint az egyéb olyan kulcsfontosságú projektek </w:t>
      </w:r>
      <w:r w:rsidRPr="00C31549">
        <w:lastRenderedPageBreak/>
        <w:t>finanszírozását, amelyet egészen a közelmúltig az Egyesült Államok Nemzetközi Fejlesztési Ügynöksége (USAID) és más amerikai ügynökségek finanszíroztak;</w:t>
      </w:r>
    </w:p>
    <w:p w14:paraId="4E01C729" w14:textId="77777777" w:rsidR="00FA3A57" w:rsidRPr="00C31549" w:rsidRDefault="00FA3A57" w:rsidP="00E33E46">
      <w:pPr>
        <w:widowControl/>
        <w:spacing w:after="240"/>
        <w:ind w:left="567" w:hanging="567"/>
        <w:rPr>
          <w:b/>
          <w:i/>
        </w:rPr>
      </w:pPr>
      <w:r w:rsidRPr="00C31549">
        <w:rPr>
          <w:b/>
          <w:i/>
        </w:rPr>
        <w:t>Emberi jogok</w:t>
      </w:r>
    </w:p>
    <w:p w14:paraId="3542495C" w14:textId="77777777" w:rsidR="00FA3A57" w:rsidRPr="00C31549" w:rsidRDefault="00FA3A57" w:rsidP="00E33E46">
      <w:pPr>
        <w:pStyle w:val="NormalHanging12a"/>
        <w:widowControl/>
      </w:pPr>
      <w:r w:rsidRPr="00C31549">
        <w:t>17.</w:t>
      </w:r>
      <w:r w:rsidRPr="00C31549">
        <w:tab/>
        <w:t>tudomásul veszi a Moldova által a nemek közötti egyenlőség megvalósítása terén elért eredményeket, beleértve a nők és férfiak közötti egyenlőség előmozdítására és biztosítására irányuló, a 2023–2027-es időszakra szóló program elfogadását, és további erőfeszítésekre szólít fel e tekintetben, különösen a nemek közötti bérszakadék csökkentése, a sztereotípiák, a megkülönböztetés és a nemi alapú erőszak elleni küzdelem, valamint a nők politikában és vállalkozásokban való képviseletének növelése érdekében;</w:t>
      </w:r>
    </w:p>
    <w:p w14:paraId="4B05239D" w14:textId="77777777" w:rsidR="00FA3A57" w:rsidRPr="00C31549" w:rsidRDefault="00FA3A57" w:rsidP="00E33E46">
      <w:pPr>
        <w:pStyle w:val="NormalHanging12a"/>
        <w:widowControl/>
      </w:pPr>
      <w:r w:rsidRPr="00C31549">
        <w:t>18.</w:t>
      </w:r>
      <w:r w:rsidRPr="00C31549">
        <w:tab/>
        <w:t>üdvözli a moldovai hatóságok által a nőkkel szembeni erőszak elleni küzdelem és a túlélők védelmének javítása érdekében tett erőfeszítéseket, különösen a nőkkel szembeni erőszak és a kapcsolati erőszak megelőzésére és leküzdésére irányuló, a 2023–2027-es időszakra szóló nemzeti program elfogadását; megjegyzi azonban, hogy ennek hatását tekintve még mindig hiányosságok tapasztalhatók, és ezért kéri, hogy hozzanak létre több menedékhelyet a kapcsolati erőszak túlélői számára, az igazságszolgáltatási rendszer fordítson megfelelő figyelmet a nők elleni erőszakra, valamint eszközöljenek szakpolitikai változásokat és a hívják fel a figyelmet a férfiak körében a nemi alapú erőszakkal kapcsolatban;</w:t>
      </w:r>
    </w:p>
    <w:p w14:paraId="1F342C08" w14:textId="77777777" w:rsidR="00FA3A57" w:rsidRPr="00C31549" w:rsidRDefault="00FA3A57" w:rsidP="00E33E46">
      <w:pPr>
        <w:pStyle w:val="NormalHanging12a"/>
        <w:widowControl/>
      </w:pPr>
      <w:r w:rsidRPr="00C31549">
        <w:t>19.</w:t>
      </w:r>
      <w:r w:rsidRPr="00C31549">
        <w:tab/>
        <w:t>felhívja a moldovai kormányt, hogy fokozza az etnikai kisebbségi csoportok tagjait, köztük a romákat célzó faji megkülönböztetés, marginalizáció, rasszista gyűlöletbeszéd és gyűlölet-bűncselekmények elleni küzdelemre irányuló erőfeszítéseit, beleértve jogalkotási keretének hatékony végrehajtását is;</w:t>
      </w:r>
    </w:p>
    <w:p w14:paraId="2F89FB42" w14:textId="77777777" w:rsidR="00FA3A57" w:rsidRPr="00C31549" w:rsidRDefault="00FA3A57" w:rsidP="00E33E46">
      <w:pPr>
        <w:pStyle w:val="NormalHanging12a"/>
        <w:widowControl/>
      </w:pPr>
      <w:r w:rsidRPr="00C31549">
        <w:t>20.</w:t>
      </w:r>
      <w:r w:rsidRPr="00C31549">
        <w:tab/>
        <w:t>elismerését fejezi ki Moldovának az LMBTIQ+-közösség jogainak javítása érdekében az elmúlt években tett erőfeszítéseiért;</w:t>
      </w:r>
    </w:p>
    <w:p w14:paraId="5B78F056" w14:textId="77777777" w:rsidR="00FA3A57" w:rsidRPr="00C31549" w:rsidRDefault="00FA3A57" w:rsidP="00E33E46">
      <w:pPr>
        <w:pStyle w:val="NormalHanging12a"/>
        <w:widowControl/>
      </w:pPr>
      <w:r w:rsidRPr="00C31549">
        <w:t>21.</w:t>
      </w:r>
      <w:r w:rsidRPr="00C31549">
        <w:tab/>
        <w:t>felhívja a moldovai kormányt, hogy teljes mértékben hangolja össze a fogyatékossággal élő személyek jogairól szóló jogszabályait az uniós vívmányokkal, és lépjen fel az értelmi fogyatékos gyermekek pszichiátriai intézményekbe helyezésének rendszerszintű problémájával szemben;</w:t>
      </w:r>
    </w:p>
    <w:p w14:paraId="49A8F985" w14:textId="77777777" w:rsidR="00FA3A57" w:rsidRPr="00C31549" w:rsidRDefault="00FA3A57" w:rsidP="00E33E46">
      <w:pPr>
        <w:pStyle w:val="NormalHanging12a"/>
        <w:widowControl/>
        <w:rPr>
          <w:b/>
          <w:i/>
        </w:rPr>
      </w:pPr>
      <w:r w:rsidRPr="00C31549">
        <w:rPr>
          <w:b/>
          <w:i/>
        </w:rPr>
        <w:t>Energia, környezetvédelem és konnektivitás</w:t>
      </w:r>
    </w:p>
    <w:p w14:paraId="72793AD4" w14:textId="77777777" w:rsidR="00FA3A57" w:rsidRPr="00C31549" w:rsidRDefault="00FA3A57" w:rsidP="00E33E46">
      <w:pPr>
        <w:pStyle w:val="NormalHanging12a"/>
        <w:widowControl/>
        <w:rPr>
          <w:bCs/>
          <w:iCs/>
        </w:rPr>
      </w:pPr>
      <w:r w:rsidRPr="00C31549">
        <w:t>22.</w:t>
      </w:r>
      <w:r w:rsidRPr="00C31549">
        <w:tab/>
      </w:r>
      <w:r w:rsidRPr="00C31549">
        <w:rPr>
          <w:rStyle w:val="NormalHanging12aChar"/>
          <w:color w:val="000000"/>
        </w:rPr>
        <w:t>elítéli, hogy Oroszország eszközként használja az energiát Moldova ellen, legutóbb azáltal, hogy – szerződéses kötelezettségeket megszegve – 2025. január 1-jén leállította a Dnyeszteren túli régió gázellátását, és ezáltal súlyos válságot okozott a régióban; üdvözli, hogy a Bizottság rendkívül gyorsan egy energiafüggetlenségre és rezilienciára vonatkozó átfogó stratégiára és egy 250 millió EUR összegű támogatási csomagra tett javaslatot, amely csökkenteni fogja a moldovai fogyasztók energiaszámláit – többek között a Dnyeszteren túli régióban is –, támogatni fogja Moldova függetlenítését az orosz energiaellátástól, és integrálja Moldovát az uniós energiapiacba; hangsúlyozza, hogy az EU-nak és a moldovai hatóságoknak hatékonyan kell kommunikálniuk a Moldova energiaválságának kezelésére irányuló jelentős uniós támogatási csomagról;</w:t>
      </w:r>
    </w:p>
    <w:p w14:paraId="2FD2DD37" w14:textId="77777777" w:rsidR="00FA3A57" w:rsidRPr="00C31549" w:rsidRDefault="00FA3A57" w:rsidP="00E33E46">
      <w:pPr>
        <w:pStyle w:val="NormalHanging12a"/>
        <w:widowControl/>
      </w:pPr>
      <w:r w:rsidRPr="00C31549">
        <w:t>23.</w:t>
      </w:r>
      <w:r w:rsidRPr="00C31549">
        <w:tab/>
        <w:t xml:space="preserve">elismerését fejezi ki a moldovai energiaágazat uniós vívmányokkal való összehangolásáért; felhívja a moldovai kormányt, hogy Moldova energiabiztonságának </w:t>
      </w:r>
      <w:r w:rsidRPr="00C31549">
        <w:lastRenderedPageBreak/>
        <w:t>és rezilienciájának garantálása érdekében a Moldovai Reform- és Növekedéstámogató Eszközből rendelkezésre álló eszközöket is magában foglaló uniós támogatással folytassa a gáz- és villamosenergia-ellátási útvonalak diverzifikálása, az összeköttetések fejlesztése, az energiahatékonyság és a belső termelési és tárolási kapacitás növelése, valamint az uniós energiapiacba való teljes integráció felé tett lépések érdekében történő erőfeszítéseit; hangsúlyozza annak fontosságát, hogy a Vulcanesti-Chisinau 400 kV-os felsővezeték 2025 végéig elkészüljön annak érdekében, hogy Moldova kisebb mértékben támaszkodjon a Dnyeszteren túli régió energetikai infrastruktúrájára; felhívja az EU-t, hogy mozgósítsa a szükséges forrásokat a moldovai energiaágazatnak nyújtott USAID-támogatás visszavonásának ellensúlyozására;</w:t>
      </w:r>
    </w:p>
    <w:p w14:paraId="477D46BF" w14:textId="77777777" w:rsidR="00FA3A57" w:rsidRPr="00C31549" w:rsidRDefault="00FA3A57" w:rsidP="00E33E46">
      <w:pPr>
        <w:pStyle w:val="NormalHanging12a"/>
        <w:widowControl/>
        <w:rPr>
          <w:rStyle w:val="NormalHanging12aChar"/>
          <w:color w:val="000000"/>
        </w:rPr>
      </w:pPr>
      <w:r w:rsidRPr="00C31549">
        <w:t>24.</w:t>
      </w:r>
      <w:r w:rsidRPr="00C31549">
        <w:tab/>
      </w:r>
      <w:r w:rsidRPr="00C31549">
        <w:rPr>
          <w:rStyle w:val="NormalHanging12aChar"/>
          <w:color w:val="000000"/>
        </w:rPr>
        <w:t>elismerését fejezi ki a moldovai kormány felé a dekarbonizációval, az energiahatékonysággal és a zöld gazdaságra való átállással kapcsolatos előrehaladásáért, beleértve a megújuló energia részarányának 2030-ig 30 %-ra történő megkétszerezését; ösztönzi az EU-t és tagállamait, hogy továbbra is biztosítsanak pénzügyi támogatást és szakértelmet a moldovai partnerek számára ezen a területen; üdvözli, hogy 2023-ban elfogadták Moldova 2030-ig szóló, az éghajlatváltozáshoz való alkalmazkodásra irányuló nemzeti programját és az e célt szolgáló cselekvési tervét; felhívja a moldovai kormányt, hogy fogadja el a 2025–2030-as időszakra vonatkozó nemzeti energia- és klímatervét és kezdje meg annak megvalósítását; megjegyzi, hogy fontos az Energiaközösség dekarbonizációs ütemtervében foglalt kötelezettségvállalások végrehajtása, valamint a nyomonkövetési, jelentéstételi, hitelesítési és akkreditációs csomag végrehajtása a szén-dioxid-árazás bevezetése és az EU kibocsátáskereskedelmi rendszeréhez való igazodás érdekében;</w:t>
      </w:r>
    </w:p>
    <w:p w14:paraId="2C0FD6F8" w14:textId="77777777" w:rsidR="00FA3A57" w:rsidRPr="00C31549" w:rsidRDefault="00FA3A57" w:rsidP="00E33E46">
      <w:pPr>
        <w:pStyle w:val="NormalHanging12a"/>
        <w:widowControl/>
        <w:rPr>
          <w:bCs/>
          <w:iCs/>
          <w:color w:val="000000"/>
        </w:rPr>
      </w:pPr>
      <w:r w:rsidRPr="00C31549">
        <w:t>25.</w:t>
      </w:r>
      <w:r w:rsidRPr="00C31549">
        <w:tab/>
        <w:t>úgy véli, hogy a transzeurópai közlekedési hálózati (TEN-T) folyosónak a „Balti-tenger – Fekete-tenger – Égei-tenger (IX. folyosó) Chișinău-Konstanca-Várna-Burgasz útvonalra történő kiterjesztése a régió közlekedési infrastruktúrájába való stratégiai beruházást jelentene, bővítené az összeköttetéseket és előmozdítaná a gazdasági növekedést, tekintettel az EU keleti bővítésére és e kiterjesztésnek a régió biztonságára és stabilitására gyakorolt lehetséges pozitív hatására, kulcsfontosságú logisztikai útvonalként szolgálna a NATO számára és fokozná az EU geostratégiai autonómiáját;</w:t>
      </w:r>
    </w:p>
    <w:p w14:paraId="76B6A9CE" w14:textId="77777777" w:rsidR="00FA3A57" w:rsidRPr="00C31549" w:rsidRDefault="00FA3A57" w:rsidP="00E33E46">
      <w:pPr>
        <w:pStyle w:val="NormalHanging12a"/>
        <w:widowControl/>
        <w:rPr>
          <w:b/>
          <w:i/>
        </w:rPr>
      </w:pPr>
      <w:r w:rsidRPr="00C31549">
        <w:rPr>
          <w:b/>
          <w:i/>
        </w:rPr>
        <w:t>Jogállamiság és jó kormányzás</w:t>
      </w:r>
    </w:p>
    <w:p w14:paraId="589D2923" w14:textId="77777777" w:rsidR="00FA3A57" w:rsidRPr="00C31549" w:rsidRDefault="00FA3A57" w:rsidP="00E33E46">
      <w:pPr>
        <w:pStyle w:val="NormalHanging12a"/>
        <w:widowControl/>
      </w:pPr>
      <w:r w:rsidRPr="00C31549">
        <w:t>26.</w:t>
      </w:r>
      <w:r w:rsidRPr="00C31549">
        <w:tab/>
        <w:t>hangsúlyozza, hogy az átfogó igazságügyi reform továbbra is kulcsfontosságú Moldova demokratikus és uniós csatlakozással kapcsolatos reformjainak sikeréhez; elismeri Moldova arra irányuló folyamatos erőfeszítéseit, hogy független, pártatlan, elszámoltatható és professzionális igazságszolgáltatási rendszert építsen ki, és 2026 végéig lezárja az átvilágítási folyamatot; felhívja ezért az EU-t, hogy továbbra is aktívan támogassa az igazságügyi reformot és a bírák és ügyészek átvilágításának folyamatát, többek között a képzett igazságügyi személyzet vonzását, képzését és felvételét, valamint az igazságszolgáltatás kapacitásának növelését;</w:t>
      </w:r>
    </w:p>
    <w:p w14:paraId="204013BC" w14:textId="77777777" w:rsidR="00FA3A57" w:rsidRPr="00C31549" w:rsidRDefault="00FA3A57" w:rsidP="00E33E46">
      <w:pPr>
        <w:pStyle w:val="NormalHanging12a"/>
        <w:widowControl/>
      </w:pPr>
      <w:r w:rsidRPr="00C31549">
        <w:t>27.</w:t>
      </w:r>
      <w:r w:rsidRPr="00C31549">
        <w:tab/>
        <w:t xml:space="preserve">megjegyzi, hogy Moldova előrelépést ért el a korrupció elleni küzdelem és a korrupció megelőzése terén, de hangsúlyozza, hogy tovább kell folytatni a pénzmosás elleni küzdelmet; üdvözli, hogy 2024 februárjában hatályba lépett Moldova 2024–2028-as időszakra vonatkozó nemzeti integritási és korrupcióellenes programja; hangsúlyozza, hogy biztosítani kell az összes kulcsfontosságú korrupcióellenes és igazságügyi intézmény közötti fokozott koordinációt az átfogó reformok végrehajtása, valamint a megfelelő erőforrások és kapacitások rendelkezésre állásának biztosítása érdekében; </w:t>
      </w:r>
      <w:r w:rsidRPr="00C31549">
        <w:lastRenderedPageBreak/>
        <w:t>hangsúlyozza, hogy a folyamatban lévő reformokba vetett közbizalom biztosítása érdekében eredményeket kell felmutatni a korrupciós ügyekben folytatott büntetőeljárások és az elmarasztaló ítéletek terén;</w:t>
      </w:r>
    </w:p>
    <w:p w14:paraId="5541DBFA" w14:textId="77777777" w:rsidR="00FA3A57" w:rsidRPr="00C31549" w:rsidRDefault="00FA3A57" w:rsidP="00E33E46">
      <w:pPr>
        <w:pStyle w:val="NormalHanging12a"/>
        <w:widowControl/>
      </w:pPr>
      <w:r w:rsidRPr="00C31549">
        <w:t>28.</w:t>
      </w:r>
      <w:r w:rsidRPr="00C31549">
        <w:tab/>
        <w:t>emlékeztet a 2014-es banki csalással kapcsolatos vizsgálat folytatásának és a felelős személyek bíróság elé állításának fontosságára; üdvözli, hogy a moldovai hatóságok tartós erőfeszítéseit követően az Interpol végre felvette az egyik állítólagos elkövetőt, Vlagyimir Plahotniucot a nemzetközileg körözött személyek listájára;</w:t>
      </w:r>
    </w:p>
    <w:p w14:paraId="5AA0E700" w14:textId="77777777" w:rsidR="00FA3A57" w:rsidRPr="00C31549" w:rsidRDefault="00FA3A57" w:rsidP="00E33E46">
      <w:pPr>
        <w:widowControl/>
        <w:spacing w:after="240"/>
        <w:ind w:left="567" w:hanging="567"/>
      </w:pPr>
      <w:r w:rsidRPr="00C31549">
        <w:t>29.</w:t>
      </w:r>
      <w:r w:rsidRPr="00C31549">
        <w:tab/>
      </w:r>
      <w:r w:rsidRPr="00C31549">
        <w:rPr>
          <w:rStyle w:val="NormalHanging12aChar"/>
        </w:rPr>
        <w:t>üdvözli, hogy Moldova 2023-ban elfogadta az emberkereskedelem megelőzésére és az ellene folytatott küzdelemre vonatkozó, az uniós vívmányokkal összehangolt új nemzeti stratégiát, üdvözli továbbá Moldova együttműködését az Europollal a kábítószer-kereskedelem elleni küzdelem terén;</w:t>
      </w:r>
    </w:p>
    <w:p w14:paraId="69CADB64" w14:textId="77777777" w:rsidR="00FA3A57" w:rsidRPr="00C31549" w:rsidRDefault="00FA3A57" w:rsidP="00E33E46">
      <w:pPr>
        <w:pStyle w:val="NormalHanging12a"/>
        <w:widowControl/>
      </w:pPr>
      <w:r w:rsidRPr="00C31549">
        <w:t>30.</w:t>
      </w:r>
      <w:r w:rsidRPr="00C31549">
        <w:tab/>
        <w:t>készségét fejezi ki arra, hogy továbbra is támogassa a moldovai parlamentet olyan kölcsönösen elfogadott demokráciatámogató tevékenységek révén, amelyek megfelelnek az intézmény, annak választott tagjai és személyzete szükségleteinek; hangsúlyozza a moldovai parlament fontos szerepét az ország európai jövőjéről szóló nyilvános vita előmozdításában, a politikai pártok és a társadalom szélesebb körében az uniós csatlakozással kapcsolatos reformokról való konszenzus elérésében, valamint e reformok demokratikus legitimitásának biztosításában; kiemeli a 2025. március 10-i határozatot, amely szerint az Európai Parlament Chișinăuban irodát nyit, hogy tovább erősítse a Parlament együttműködését a keleti partnerségi régióval;</w:t>
      </w:r>
    </w:p>
    <w:p w14:paraId="264F76DA" w14:textId="77777777" w:rsidR="00FA3A57" w:rsidRPr="00C31549" w:rsidRDefault="00FA3A57" w:rsidP="00E33E46">
      <w:pPr>
        <w:pStyle w:val="NormalHanging12a"/>
        <w:widowControl/>
        <w:ind w:left="0" w:firstLine="0"/>
        <w:rPr>
          <w:b/>
          <w:i/>
        </w:rPr>
      </w:pPr>
      <w:r w:rsidRPr="00C31549">
        <w:rPr>
          <w:b/>
          <w:i/>
        </w:rPr>
        <w:t>Együttműködés a közös kül- és biztonságpolitika (KKBP) terén és a Dnyeszter-melléki konfliktus megoldása terén elért eredmények</w:t>
      </w:r>
    </w:p>
    <w:p w14:paraId="518F55C5" w14:textId="77777777" w:rsidR="00FA3A57" w:rsidRPr="00C31549" w:rsidRDefault="00FA3A57" w:rsidP="00E33E46">
      <w:pPr>
        <w:widowControl/>
        <w:shd w:val="clear" w:color="auto" w:fill="FFFFFF" w:themeFill="background1"/>
        <w:spacing w:after="240"/>
        <w:ind w:left="567" w:hanging="567"/>
        <w:rPr>
          <w:rStyle w:val="NormalHanging12aChar"/>
        </w:rPr>
      </w:pPr>
      <w:r w:rsidRPr="00C31549">
        <w:t>31.</w:t>
      </w:r>
      <w:r w:rsidRPr="00C31549">
        <w:tab/>
      </w:r>
      <w:r w:rsidRPr="00C31549">
        <w:rPr>
          <w:rStyle w:val="NormalHanging12aChar"/>
        </w:rPr>
        <w:t>üdvözli Moldova külpolitikai kérdésekben folytatott következetes együttműködését, valamint az EU KKBP álláspontjaihoz és korlátozó intézkedéseihez való igazodásának jelentősen – nevezetesen a 2022-es 54 %-ról 2024-ben 86 %-ra – megnövekedett arányát; felkéri a Bizottságot, hogy javítsa tovább ezt az igazodást, többek között az Oroszországgal szembeni korlátozó intézkedések tekintetében, és továbbra is működjön együtt az Oroszországgal és Belarusszal szembeni, Oroszország Ukrajna elleni agressziós háborújához kapcsolódó szankciók kijátszásának megelőzése érdekében;</w:t>
      </w:r>
    </w:p>
    <w:p w14:paraId="02DA58D6" w14:textId="77777777" w:rsidR="00FA3A57" w:rsidRPr="00C31549" w:rsidRDefault="00FA3A57" w:rsidP="00E33E46">
      <w:pPr>
        <w:pStyle w:val="NormalHanging12a"/>
        <w:widowControl/>
      </w:pPr>
      <w:r w:rsidRPr="00C31549">
        <w:t>32.</w:t>
      </w:r>
      <w:r w:rsidRPr="00C31549">
        <w:tab/>
        <w:t xml:space="preserve">hangsúlyozza, hogy Moldova kulcsszerepet játszik a regionális és európai biztonságban, többek között azáltal, hogy Oroszország agressziós háborújának kezdete óta rendíthetetlenül támogatja Ukrajnát, például ukrán háborús menekülteket fogad be, </w:t>
      </w:r>
      <w:proofErr w:type="gramStart"/>
      <w:r w:rsidRPr="00C31549">
        <w:t>továbbá</w:t>
      </w:r>
      <w:proofErr w:type="gramEnd"/>
      <w:r w:rsidRPr="00C31549">
        <w:t xml:space="preserve"> hogy hozzájárul az uniós polgári védelmi mechanizmushoz, például akként, hogy tűzoltó csapatokat küldött a görögországi súlyos erdőtüzek leküzdésére;</w:t>
      </w:r>
    </w:p>
    <w:p w14:paraId="0D8EBD4C" w14:textId="77777777" w:rsidR="00FA3A57" w:rsidRPr="00C31549" w:rsidRDefault="00FA3A57" w:rsidP="00E33E46">
      <w:pPr>
        <w:widowControl/>
        <w:shd w:val="clear" w:color="auto" w:fill="FFFFFF" w:themeFill="background1"/>
        <w:spacing w:after="240"/>
        <w:ind w:left="567" w:hanging="567"/>
        <w:rPr>
          <w:rStyle w:val="NormalHanging12aChar"/>
        </w:rPr>
      </w:pPr>
      <w:r w:rsidRPr="00C31549">
        <w:t>33.</w:t>
      </w:r>
      <w:r w:rsidRPr="00C31549">
        <w:tab/>
      </w:r>
      <w:r w:rsidRPr="00C31549">
        <w:rPr>
          <w:rStyle w:val="NormalHanging12aChar"/>
        </w:rPr>
        <w:t xml:space="preserve">támogatását fejezi ki az Európai Unió moldovai partnerségi missziója iránt, és felhívja a tagállamokat, hogy a hibrid fenyegetések potenciális fokozódására való felkészülés érdekében bocsássák rendelkezésre a szükséges szakértőket és pénzügyi forrásokat; üdvözli, hogy a közelmúltban 2026 áprilisáig meghosszabbították az EUPM megbízatását; bátorítja a moldovai hatóságokat, hogy teljes mértékben használják ki az EUPM szakértelmét felkészültségük fokozása érdekében, különös tekintettel a 2025. szeptember 28-án tartandó parlamenti választásokat megelőző ismételt választási beavatkozásra; felhívja az EU-t, hogy használja fel a Moldovai Köztársaságban szerzett tapasztalatokat a választási folyamatok és a demokratikus intézmények védelmére magában az EU-ban; ösztönzi az Európai Külügyi Szolgálatot és a Bizottságot, hogy </w:t>
      </w:r>
      <w:r w:rsidRPr="00C31549">
        <w:rPr>
          <w:rStyle w:val="NormalHanging12aChar"/>
        </w:rPr>
        <w:lastRenderedPageBreak/>
        <w:t>használjanak fel minden rendelkezésre álló uniós eszközt a hibrid fenyegetésekkel szembeni fellépés területén Moldova további támogatása érdekében, többek között hibrid gyorsreagálású csoportok gyors bevetésével; üdvözli a moldovai stratégiai kommunikációval és a dezinformáció elleni küzdelemmel foglalkozó központ létrehozását – amely a külföldi beavatkozás elleni küzdelem különböző moldovai intézmények közötti koordinálásának eszköze –, valamint a Nemzeti Kiberbiztonsági Ügynökség és a Nemzeti Kiberbiztonsági Innovációs Intézet létrehozását; megjegyzi, hogy Moldova 2023 decemberében elfogadott nemzetbiztonsági stratégiája az uniós csatlakozást kulcsfontosságú célkitűzésként jelöli meg, és első alkalommal azonosítja Oroszországot Moldova biztonságát fenyegető jelentős fenyegetések forrásaként; hangsúlyozza, hogy javítani kell a Moldova, valamint az EU és tagállamai közötti információmegosztást és hírszerzési együttműködést a biztonsági fenyegetésekkel kapcsolatban;</w:t>
      </w:r>
    </w:p>
    <w:p w14:paraId="3800BEE4" w14:textId="77777777" w:rsidR="00FA3A57" w:rsidRPr="00C31549" w:rsidRDefault="00FA3A57" w:rsidP="00E33E46">
      <w:pPr>
        <w:widowControl/>
        <w:shd w:val="clear" w:color="auto" w:fill="FFFFFF" w:themeFill="background1"/>
        <w:spacing w:after="240"/>
        <w:ind w:left="567" w:hanging="567"/>
      </w:pPr>
      <w:r w:rsidRPr="00C31549">
        <w:t>34.</w:t>
      </w:r>
      <w:r w:rsidRPr="00C31549">
        <w:tab/>
      </w:r>
      <w:r w:rsidRPr="00C31549">
        <w:rPr>
          <w:rStyle w:val="NormalHanging12aChar"/>
        </w:rPr>
        <w:t>ismételten hangsúlyozza, hogy teljes mértékben elkötelezett Moldova területi integritása és a konfliktus átfogó rendezése mellett, a Moldovai Köztársaság nemzetközileg elismert határain belüli szuverenitása és területi integritása alapján;</w:t>
      </w:r>
    </w:p>
    <w:p w14:paraId="0FA7F6BD" w14:textId="77777777" w:rsidR="00FA3A57" w:rsidRPr="00C31549" w:rsidRDefault="00FA3A57" w:rsidP="00E33E46">
      <w:pPr>
        <w:widowControl/>
        <w:shd w:val="clear" w:color="auto" w:fill="FFFFFF" w:themeFill="background1"/>
        <w:spacing w:after="240"/>
        <w:ind w:left="567" w:hanging="567"/>
        <w:rPr>
          <w:rStyle w:val="NormalHanging12aChar"/>
        </w:rPr>
      </w:pPr>
      <w:r w:rsidRPr="00C31549">
        <w:t>35.</w:t>
      </w:r>
      <w:r w:rsidRPr="00C31549">
        <w:tab/>
      </w:r>
      <w:r w:rsidRPr="00C31549">
        <w:rPr>
          <w:rStyle w:val="NormalHanging12aChar"/>
        </w:rPr>
        <w:t>üdvözli a Bizottság arra irányuló kezdeményezéseit, hogy az energetikai szükséghelyzeti támogatási csomagjaiba belefoglalja a Dnyeszteren túli régió proaktív támogatását, valamint a moldovai kormány és a Dnyeszteren túli régió de facto hatóságai közötti információcserét és gyakorlati együttműködést az Oroszország által okozott energiaválság során; üdvözli a Tiraspolra vonatkozó feltételek tekintetében a közelmúltbeli gázszállítási megállapodás fényében elért eredményeket, és felszólít e feltételek teljes körű végrehajtására, beleértve valamennyi politikai fogoly Tiraspol általi szabadon bocsátását és a fennmaradó illegális ellenőrző pontok felszámolását;</w:t>
      </w:r>
    </w:p>
    <w:p w14:paraId="39B17632" w14:textId="77777777" w:rsidR="00FA3A57" w:rsidRPr="00C31549" w:rsidRDefault="00FA3A57" w:rsidP="00E33E46">
      <w:pPr>
        <w:widowControl/>
        <w:shd w:val="clear" w:color="auto" w:fill="FFFFFF" w:themeFill="background1"/>
        <w:spacing w:after="240"/>
        <w:ind w:left="567" w:hanging="567"/>
        <w:rPr>
          <w:rStyle w:val="NormalHanging12aChar"/>
        </w:rPr>
      </w:pPr>
      <w:r w:rsidRPr="00C31549">
        <w:t>36.</w:t>
      </w:r>
      <w:r w:rsidRPr="00C31549">
        <w:tab/>
      </w:r>
      <w:r w:rsidRPr="00C31549">
        <w:rPr>
          <w:rStyle w:val="NormalHanging12aChar"/>
        </w:rPr>
        <w:t xml:space="preserve">üdvözli Moldova határozott érdeklődését az iránt, hogy hozzájáruljon az EU közös biztonság- és védelempolitikájához (KBVP), valamint azt, hogy Moldova az első olyan ország, amely biztonsági és védelmi partnerséget írt alá az EU-val; üdvözli Moldova folyamatos aktív részvételét a KBVP keretébe tartozó uniós missziókban és műveletekben, </w:t>
      </w:r>
      <w:r w:rsidR="00A72AF3" w:rsidRPr="00A72AF3">
        <w:rPr>
          <w:rStyle w:val="NormalHanging12aChar"/>
        </w:rPr>
        <w:t xml:space="preserve">nevezetesen az Európai Unió bosznia-hercegovinai katonai műveletében (EUFOR Althaia) és az EU szomáliai kiképző missziójában, üdvözli továbbá </w:t>
      </w:r>
      <w:r w:rsidRPr="00C31549">
        <w:rPr>
          <w:rStyle w:val="NormalHanging12aChar"/>
        </w:rPr>
        <w:t>a PESCO-projektekben való részvétel iránti érdeklődését, valamint az Európai Védelmi Ügynökséggel kötendő keretmegállapodásról szóló, folyamatban lévő tárgyalásokat; felhívja az EU-t, hogy vonja be Moldovát az uniós biztonsági és védelmi programokba és a kapcsolódó költségvetési előirányzatokba, többek között az európai védelmi ipari programba és a Készenlét 2030 tervbe, lehetővé téve az ország számára, hogy a tagállamokkal együtt közös beszerzésekben vegyen részt;</w:t>
      </w:r>
    </w:p>
    <w:p w14:paraId="68102538" w14:textId="77777777" w:rsidR="00FA3A57" w:rsidRPr="00C31549" w:rsidRDefault="00FA3A57" w:rsidP="00E33E46">
      <w:pPr>
        <w:pStyle w:val="NormalHanging12a"/>
        <w:widowControl/>
      </w:pPr>
      <w:r w:rsidRPr="00C31549">
        <w:t>37.</w:t>
      </w:r>
      <w:r w:rsidRPr="00C31549">
        <w:tab/>
        <w:t>üdvözli, hogy az Európai Békekereten keresztül 2024-re 50 millió EUR-t különítettek el a moldovai fegyveres erők védelmi kapacitásainak korszerűsítésére a jelenlegi biztonsági kihívásokkal összefüggésben; megjegyzi, hogy Moldova Ukrajna után az Európai Békekeret második legnagyobb kedvezményezettje, és 2021 óta összesen 137 millió EUR-t különítettek el részére; üdvözli a bejelentett 60 millió EUR összegű támogatást, amelyet az Európai Békekeret költségvetéséből 2025-ben nyújtanak Moldovának; felhívja a tagállamokat, hogy fokozatosan növeljék az Európai Békekeret Moldovának nyújtott finanszírozását az ország védelmi képességeinek további javítása érdekében;</w:t>
      </w:r>
    </w:p>
    <w:p w14:paraId="4E70B301" w14:textId="77777777" w:rsidR="00FA3A57" w:rsidRPr="00C31549" w:rsidRDefault="00FA3A57" w:rsidP="00E33E46">
      <w:pPr>
        <w:pStyle w:val="NormalHanging12a"/>
        <w:widowControl/>
        <w:jc w:val="center"/>
      </w:pPr>
      <w:r w:rsidRPr="00C31549">
        <w:t>°</w:t>
      </w:r>
    </w:p>
    <w:p w14:paraId="54900926" w14:textId="77777777" w:rsidR="00FA3A57" w:rsidRPr="00C31549" w:rsidRDefault="00FA3A57" w:rsidP="00E33E46">
      <w:pPr>
        <w:pStyle w:val="NormalHanging12a"/>
        <w:widowControl/>
        <w:jc w:val="center"/>
      </w:pPr>
      <w:r w:rsidRPr="00C31549">
        <w:lastRenderedPageBreak/>
        <w:t>°</w:t>
      </w:r>
      <w:r w:rsidRPr="00C31549">
        <w:tab/>
        <w:t>°</w:t>
      </w:r>
    </w:p>
    <w:p w14:paraId="34BBE433" w14:textId="77777777" w:rsidR="00C31549" w:rsidRPr="00C31549" w:rsidRDefault="00FA3A57" w:rsidP="00E33E46">
      <w:pPr>
        <w:pStyle w:val="NormalHanging12a"/>
        <w:widowControl/>
      </w:pPr>
      <w:r w:rsidRPr="00C31549">
        <w:t>38.</w:t>
      </w:r>
      <w:r w:rsidRPr="00C31549">
        <w:tab/>
        <w:t>utasítja elnökét, hogy továbbítsa ezt az állásfoglalást a Tanácsnak, a Bizottságnak és a Bizottság alelnökének/az Unió külügyi és biztonságpolitikai főképviselőjének, valamint a Moldovai Köztársaság elnökének, kormányának és parlamentjének.</w:t>
      </w:r>
    </w:p>
    <w:sectPr w:rsidR="00C31549" w:rsidRPr="00C31549" w:rsidSect="00C3154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477D6D" w14:textId="77777777" w:rsidR="00E87E18" w:rsidRPr="00C31549" w:rsidRDefault="00E87E18">
      <w:r w:rsidRPr="00C31549">
        <w:separator/>
      </w:r>
    </w:p>
  </w:endnote>
  <w:endnote w:type="continuationSeparator" w:id="0">
    <w:p w14:paraId="110A3C32" w14:textId="77777777" w:rsidR="00E87E18" w:rsidRPr="00C31549" w:rsidRDefault="00E87E18">
      <w:r w:rsidRPr="00C3154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32D85" w14:textId="77777777" w:rsidR="00064002" w:rsidRPr="00C3154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C8AEF" w14:textId="77777777" w:rsidR="00064002" w:rsidRPr="00C3154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D493F" w14:textId="77777777" w:rsidR="00064002" w:rsidRPr="00C3154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B79BB6" w14:textId="77777777" w:rsidR="00E87E18" w:rsidRPr="00C31549" w:rsidRDefault="00E87E18">
      <w:r w:rsidRPr="00C31549">
        <w:separator/>
      </w:r>
    </w:p>
  </w:footnote>
  <w:footnote w:type="continuationSeparator" w:id="0">
    <w:p w14:paraId="499160AC" w14:textId="77777777" w:rsidR="00E87E18" w:rsidRPr="00C31549" w:rsidRDefault="00E87E18">
      <w:r w:rsidRPr="00C31549">
        <w:continuationSeparator/>
      </w:r>
    </w:p>
  </w:footnote>
  <w:footnote w:id="1">
    <w:p w14:paraId="30E13F15" w14:textId="77777777" w:rsidR="00FA3A57" w:rsidRPr="00C31549" w:rsidRDefault="00FA3A57" w:rsidP="00C31549">
      <w:pPr>
        <w:pStyle w:val="FootnoteText"/>
        <w:ind w:left="567" w:hanging="567"/>
        <w:rPr>
          <w:sz w:val="24"/>
          <w:lang w:val="hu-HU"/>
        </w:rPr>
      </w:pPr>
      <w:r w:rsidRPr="00C31549">
        <w:rPr>
          <w:rStyle w:val="FootnoteReference"/>
          <w:sz w:val="24"/>
          <w:lang w:val="hu-HU"/>
        </w:rPr>
        <w:footnoteRef/>
      </w:r>
      <w:r w:rsidR="00C31549" w:rsidRPr="00C31549">
        <w:rPr>
          <w:sz w:val="24"/>
          <w:lang w:val="hu-HU"/>
        </w:rPr>
        <w:t xml:space="preserve"> </w:t>
      </w:r>
      <w:r w:rsidR="00C31549" w:rsidRPr="00C31549">
        <w:rPr>
          <w:sz w:val="24"/>
          <w:lang w:val="hu-HU"/>
        </w:rPr>
        <w:tab/>
      </w:r>
      <w:r w:rsidRPr="00C31549">
        <w:rPr>
          <w:sz w:val="24"/>
          <w:lang w:val="hu-HU"/>
        </w:rPr>
        <w:t xml:space="preserve">HL L, 2025/535, 2025.3.21., ELI: </w:t>
      </w:r>
      <w:hyperlink r:id="rId1" w:history="1">
        <w:r w:rsidRPr="00C31549">
          <w:rPr>
            <w:rStyle w:val="Hyperlink"/>
            <w:sz w:val="24"/>
            <w:lang w:val="hu-HU"/>
          </w:rPr>
          <w:t>http://data.europa.eu/eli/reg/2025/535/oj</w:t>
        </w:r>
      </w:hyperlink>
      <w:r w:rsidRPr="00C31549">
        <w:rPr>
          <w:sz w:val="24"/>
          <w:lang w:val="hu-HU"/>
        </w:rPr>
        <w:t>.</w:t>
      </w:r>
    </w:p>
  </w:footnote>
  <w:footnote w:id="2">
    <w:p w14:paraId="4C3DCF10" w14:textId="77777777" w:rsidR="00FA3A57" w:rsidRPr="00C31549" w:rsidRDefault="00FA3A57" w:rsidP="00C31549">
      <w:pPr>
        <w:pStyle w:val="FootnoteText"/>
        <w:ind w:left="567" w:hanging="567"/>
        <w:rPr>
          <w:sz w:val="24"/>
          <w:lang w:val="hu-HU"/>
        </w:rPr>
      </w:pPr>
      <w:r w:rsidRPr="00C31549">
        <w:rPr>
          <w:rStyle w:val="FootnoteReference"/>
          <w:sz w:val="24"/>
          <w:lang w:val="hu-HU"/>
        </w:rPr>
        <w:footnoteRef/>
      </w:r>
      <w:r w:rsidR="00C31549" w:rsidRPr="00C31549">
        <w:rPr>
          <w:sz w:val="24"/>
          <w:shd w:val="clear" w:color="auto" w:fill="FFFFFF"/>
          <w:lang w:val="hu-HU"/>
        </w:rPr>
        <w:t xml:space="preserve"> </w:t>
      </w:r>
      <w:r w:rsidR="00C31549" w:rsidRPr="00C31549">
        <w:rPr>
          <w:sz w:val="24"/>
          <w:shd w:val="clear" w:color="auto" w:fill="FFFFFF"/>
          <w:lang w:val="hu-HU"/>
        </w:rPr>
        <w:tab/>
      </w:r>
      <w:r w:rsidRPr="00C31549">
        <w:rPr>
          <w:sz w:val="24"/>
          <w:shd w:val="clear" w:color="auto" w:fill="FFFFFF"/>
          <w:lang w:val="hu-HU"/>
        </w:rPr>
        <w:t>Társulási megállapodás egyrészről az Európai Unió, az Európai Atomenergia-közösség és tagállamaik, másrészről a Moldovai Köztársaság között</w:t>
      </w:r>
      <w:r w:rsidRPr="00E33E46">
        <w:rPr>
          <w:sz w:val="24"/>
          <w:shd w:val="clear" w:color="auto" w:fill="FFFFFF"/>
          <w:lang w:val="hu-HU"/>
        </w:rPr>
        <w:t xml:space="preserve"> </w:t>
      </w:r>
      <w:r w:rsidRPr="00E33E46">
        <w:rPr>
          <w:rStyle w:val="Emphasis"/>
          <w:i w:val="0"/>
          <w:sz w:val="24"/>
          <w:shd w:val="clear" w:color="auto" w:fill="FFFFFF"/>
          <w:lang w:val="hu-HU"/>
        </w:rPr>
        <w:t xml:space="preserve">(HL L 260., 2014.8.30., 4. o., </w:t>
      </w:r>
      <w:r w:rsidRPr="00C31549">
        <w:rPr>
          <w:sz w:val="24"/>
          <w:shd w:val="clear" w:color="auto" w:fill="FFFFFF"/>
          <w:lang w:val="hu-HU"/>
        </w:rPr>
        <w:t>ELI: </w:t>
      </w:r>
      <w:hyperlink r:id="rId2" w:tooltip="Az ELI (európai jogszabály-azonosító) URI-hivatkozása révén biztosít hozzáférést a dokumentumhoz." w:history="1">
        <w:r w:rsidRPr="00C31549">
          <w:rPr>
            <w:rStyle w:val="Hyperlink"/>
            <w:sz w:val="24"/>
            <w:shd w:val="clear" w:color="auto" w:fill="FFFFFF"/>
            <w:lang w:val="hu-HU"/>
          </w:rPr>
          <w:t>http://data.europa.eu/eli/agree_internation/2014/492/oj</w:t>
        </w:r>
      </w:hyperlink>
      <w:r w:rsidR="00E33E46">
        <w:rPr>
          <w:rStyle w:val="Hyperlink"/>
          <w:color w:val="auto"/>
          <w:sz w:val="24"/>
          <w:u w:val="none"/>
          <w:shd w:val="clear" w:color="auto" w:fill="FFFFFF"/>
          <w:lang w:val="hu-HU"/>
        </w:rPr>
        <w:t>)</w:t>
      </w:r>
      <w:r w:rsidRPr="00C31549">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3028E" w14:textId="77777777" w:rsidR="00064002" w:rsidRPr="00C3154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81FF8" w14:textId="77777777" w:rsidR="00064002" w:rsidRPr="00C3154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A271E" w14:textId="77777777" w:rsidR="00064002" w:rsidRPr="00C3154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68675245">
    <w:abstractNumId w:val="9"/>
  </w:num>
  <w:num w:numId="2" w16cid:durableId="812253328">
    <w:abstractNumId w:val="9"/>
  </w:num>
  <w:num w:numId="3" w16cid:durableId="1629510895">
    <w:abstractNumId w:val="7"/>
  </w:num>
  <w:num w:numId="4" w16cid:durableId="1754667144">
    <w:abstractNumId w:val="7"/>
  </w:num>
  <w:num w:numId="5" w16cid:durableId="444692175">
    <w:abstractNumId w:val="6"/>
  </w:num>
  <w:num w:numId="6" w16cid:durableId="1812138846">
    <w:abstractNumId w:val="6"/>
  </w:num>
  <w:num w:numId="7" w16cid:durableId="1529367892">
    <w:abstractNumId w:val="5"/>
  </w:num>
  <w:num w:numId="8" w16cid:durableId="698313647">
    <w:abstractNumId w:val="5"/>
  </w:num>
  <w:num w:numId="9" w16cid:durableId="213124202">
    <w:abstractNumId w:val="4"/>
  </w:num>
  <w:num w:numId="10" w16cid:durableId="1309939416">
    <w:abstractNumId w:val="4"/>
  </w:num>
  <w:num w:numId="11" w16cid:durableId="1555696041">
    <w:abstractNumId w:val="8"/>
  </w:num>
  <w:num w:numId="12" w16cid:durableId="788739354">
    <w:abstractNumId w:val="8"/>
  </w:num>
  <w:num w:numId="13" w16cid:durableId="929388698">
    <w:abstractNumId w:val="3"/>
  </w:num>
  <w:num w:numId="14" w16cid:durableId="1473717240">
    <w:abstractNumId w:val="3"/>
  </w:num>
  <w:num w:numId="15" w16cid:durableId="1332678357">
    <w:abstractNumId w:val="2"/>
  </w:num>
  <w:num w:numId="16" w16cid:durableId="949431317">
    <w:abstractNumId w:val="2"/>
  </w:num>
  <w:num w:numId="17" w16cid:durableId="1273440748">
    <w:abstractNumId w:val="1"/>
  </w:num>
  <w:num w:numId="18" w16cid:durableId="836461759">
    <w:abstractNumId w:val="1"/>
  </w:num>
  <w:num w:numId="19" w16cid:durableId="849103664">
    <w:abstractNumId w:val="0"/>
  </w:num>
  <w:num w:numId="20" w16cid:durableId="2105687609">
    <w:abstractNumId w:val="0"/>
  </w:num>
  <w:num w:numId="21" w16cid:durableId="1835874566">
    <w:abstractNumId w:val="9"/>
  </w:num>
  <w:num w:numId="22" w16cid:durableId="469789134">
    <w:abstractNumId w:val="7"/>
  </w:num>
  <w:num w:numId="23" w16cid:durableId="955985740">
    <w:abstractNumId w:val="6"/>
  </w:num>
  <w:num w:numId="24" w16cid:durableId="971520688">
    <w:abstractNumId w:val="5"/>
  </w:num>
  <w:num w:numId="25" w16cid:durableId="2031370084">
    <w:abstractNumId w:val="4"/>
  </w:num>
  <w:num w:numId="26" w16cid:durableId="1191796618">
    <w:abstractNumId w:val="8"/>
  </w:num>
  <w:num w:numId="27" w16cid:durableId="615212019">
    <w:abstractNumId w:val="3"/>
  </w:num>
  <w:num w:numId="28" w16cid:durableId="1886259624">
    <w:abstractNumId w:val="2"/>
  </w:num>
  <w:num w:numId="29" w16cid:durableId="738598832">
    <w:abstractNumId w:val="1"/>
  </w:num>
  <w:num w:numId="30" w16cid:durableId="824318908">
    <w:abstractNumId w:val="0"/>
  </w:num>
  <w:num w:numId="31" w16cid:durableId="154689638">
    <w:abstractNumId w:val="9"/>
  </w:num>
  <w:num w:numId="32" w16cid:durableId="2055306785">
    <w:abstractNumId w:val="7"/>
  </w:num>
  <w:num w:numId="33" w16cid:durableId="358699661">
    <w:abstractNumId w:val="6"/>
  </w:num>
  <w:num w:numId="34" w16cid:durableId="636029161">
    <w:abstractNumId w:val="5"/>
  </w:num>
  <w:num w:numId="35" w16cid:durableId="1797488331">
    <w:abstractNumId w:val="4"/>
  </w:num>
  <w:num w:numId="36" w16cid:durableId="1500123646">
    <w:abstractNumId w:val="8"/>
  </w:num>
  <w:num w:numId="37" w16cid:durableId="2012873198">
    <w:abstractNumId w:val="3"/>
  </w:num>
  <w:num w:numId="38" w16cid:durableId="285820347">
    <w:abstractNumId w:val="2"/>
  </w:num>
  <w:num w:numId="39" w16cid:durableId="1722707215">
    <w:abstractNumId w:val="1"/>
  </w:num>
  <w:num w:numId="40" w16cid:durableId="272444094">
    <w:abstractNumId w:val="0"/>
  </w:num>
  <w:num w:numId="41" w16cid:durableId="1714423526">
    <w:abstractNumId w:val="10"/>
  </w:num>
  <w:num w:numId="42" w16cid:durableId="224344113">
    <w:abstractNumId w:val="10"/>
  </w:num>
  <w:num w:numId="43" w16cid:durableId="1405492583">
    <w:abstractNumId w:val="10"/>
  </w:num>
  <w:num w:numId="44" w16cid:durableId="7444965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96/2025"/>
    <w:docVar w:name="dvlangue" w:val="HU"/>
    <w:docVar w:name="dvnumam" w:val="0"/>
    <w:docVar w:name="dvpe" w:val="768.179"/>
    <w:docVar w:name="dvrapporteur" w:val="Előadó: "/>
    <w:docVar w:name="dvtitre" w:val="Az Európai Parlament 2025.  ...-i állásfoglalása a Bizottság Moldováról szóló 2023. és 2024. évi jelentéseiről(2025/2025(INI))"/>
  </w:docVars>
  <w:rsids>
    <w:rsidRoot w:val="00E87E18"/>
    <w:rsid w:val="00002272"/>
    <w:rsid w:val="00064002"/>
    <w:rsid w:val="000677B9"/>
    <w:rsid w:val="000831BA"/>
    <w:rsid w:val="000A42CC"/>
    <w:rsid w:val="000E7DD9"/>
    <w:rsid w:val="0010095E"/>
    <w:rsid w:val="00125B37"/>
    <w:rsid w:val="00187494"/>
    <w:rsid w:val="001F32AE"/>
    <w:rsid w:val="002767FF"/>
    <w:rsid w:val="002B18FE"/>
    <w:rsid w:val="002B5493"/>
    <w:rsid w:val="003172DE"/>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261D2"/>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4092"/>
    <w:rsid w:val="009304B0"/>
    <w:rsid w:val="00930C23"/>
    <w:rsid w:val="0093193B"/>
    <w:rsid w:val="009509D8"/>
    <w:rsid w:val="00950B64"/>
    <w:rsid w:val="00981893"/>
    <w:rsid w:val="00A1687D"/>
    <w:rsid w:val="00A43E52"/>
    <w:rsid w:val="00A4678D"/>
    <w:rsid w:val="00A72AF3"/>
    <w:rsid w:val="00A778C7"/>
    <w:rsid w:val="00AB441E"/>
    <w:rsid w:val="00AB6293"/>
    <w:rsid w:val="00AE0928"/>
    <w:rsid w:val="00AF3B82"/>
    <w:rsid w:val="00B12E95"/>
    <w:rsid w:val="00B22876"/>
    <w:rsid w:val="00B558F0"/>
    <w:rsid w:val="00BD48FE"/>
    <w:rsid w:val="00BD7BD8"/>
    <w:rsid w:val="00BE6ADC"/>
    <w:rsid w:val="00C05BFE"/>
    <w:rsid w:val="00C23CD4"/>
    <w:rsid w:val="00C250B1"/>
    <w:rsid w:val="00C31549"/>
    <w:rsid w:val="00C61C0C"/>
    <w:rsid w:val="00C941CB"/>
    <w:rsid w:val="00CC2357"/>
    <w:rsid w:val="00CF071A"/>
    <w:rsid w:val="00D058B8"/>
    <w:rsid w:val="00D56C11"/>
    <w:rsid w:val="00D834A0"/>
    <w:rsid w:val="00D872DF"/>
    <w:rsid w:val="00D91E21"/>
    <w:rsid w:val="00DA7FCD"/>
    <w:rsid w:val="00E33E46"/>
    <w:rsid w:val="00E365E1"/>
    <w:rsid w:val="00E820A4"/>
    <w:rsid w:val="00E87E18"/>
    <w:rsid w:val="00EB006A"/>
    <w:rsid w:val="00EB4772"/>
    <w:rsid w:val="00ED169E"/>
    <w:rsid w:val="00ED4235"/>
    <w:rsid w:val="00F04346"/>
    <w:rsid w:val="00F075DC"/>
    <w:rsid w:val="00F149E9"/>
    <w:rsid w:val="00F447FA"/>
    <w:rsid w:val="00F5134D"/>
    <w:rsid w:val="00F74202"/>
    <w:rsid w:val="00F87713"/>
    <w:rsid w:val="00FA3A57"/>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034394"/>
  <w15:chartTrackingRefBased/>
  <w15:docId w15:val="{AAB763EA-C68C-42EE-A7AD-866CBDA00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A3A57"/>
    <w:pPr>
      <w:spacing w:after="240"/>
      <w:ind w:left="567" w:hanging="567"/>
    </w:pPr>
  </w:style>
  <w:style w:type="paragraph" w:customStyle="1" w:styleId="EPComma">
    <w:name w:val="EPComma"/>
    <w:basedOn w:val="Normal"/>
    <w:rsid w:val="00FA3A57"/>
    <w:pPr>
      <w:spacing w:before="480" w:after="240"/>
    </w:pPr>
  </w:style>
  <w:style w:type="character" w:customStyle="1" w:styleId="NormalHanging12aChar">
    <w:name w:val="NormalHanging12a Char"/>
    <w:basedOn w:val="DefaultParagraphFont"/>
    <w:link w:val="NormalHanging12a"/>
    <w:locked/>
    <w:rsid w:val="00FA3A57"/>
    <w:rPr>
      <w:sz w:val="24"/>
      <w:lang w:val="hu-HU"/>
    </w:rPr>
  </w:style>
  <w:style w:type="character" w:styleId="Emphasis">
    <w:name w:val="Emphasis"/>
    <w:basedOn w:val="DefaultParagraphFont"/>
    <w:uiPriority w:val="20"/>
    <w:qFormat/>
    <w:rsid w:val="00FA3A57"/>
    <w:rPr>
      <w:i/>
      <w:iCs/>
    </w:rPr>
  </w:style>
  <w:style w:type="character" w:styleId="Hyperlink">
    <w:name w:val="Hyperlink"/>
    <w:basedOn w:val="DefaultParagraphFont"/>
    <w:uiPriority w:val="99"/>
    <w:unhideWhenUsed/>
    <w:rsid w:val="00FA3A57"/>
    <w:rPr>
      <w:color w:val="0000FF"/>
      <w:u w:val="single"/>
    </w:rPr>
  </w:style>
  <w:style w:type="character" w:customStyle="1" w:styleId="highlight-diff">
    <w:name w:val="highlight-diff"/>
    <w:basedOn w:val="DefaultParagraphFont"/>
    <w:rsid w:val="00FA3A57"/>
  </w:style>
  <w:style w:type="paragraph" w:styleId="BalloonText">
    <w:name w:val="Balloon Text"/>
    <w:basedOn w:val="Normal"/>
    <w:link w:val="BalloonTextChar"/>
    <w:rsid w:val="00E33E46"/>
    <w:rPr>
      <w:rFonts w:ascii="Segoe UI" w:hAnsi="Segoe UI" w:cs="Segoe UI"/>
      <w:sz w:val="18"/>
      <w:szCs w:val="18"/>
    </w:rPr>
  </w:style>
  <w:style w:type="character" w:customStyle="1" w:styleId="BalloonTextChar">
    <w:name w:val="Balloon Text Char"/>
    <w:basedOn w:val="DefaultParagraphFont"/>
    <w:link w:val="BalloonText"/>
    <w:rsid w:val="00E33E46"/>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agree_internation/2014/492/oj" TargetMode="External"/><Relationship Id="rId1" Type="http://schemas.openxmlformats.org/officeDocument/2006/relationships/hyperlink" Target="http://data.europa.eu/eli/reg/2025/53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1B2E32-B2E6-4823-A5F6-D4D86E5EF6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3520</Words>
  <Characters>25975</Characters>
  <Application>Microsoft Office Word</Application>
  <DocSecurity>0</DocSecurity>
  <Lines>216</Lines>
  <Paragraphs>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KOVACS-BOKOR Karoly</cp:lastModifiedBy>
  <cp:revision>2</cp:revision>
  <cp:lastPrinted>2004-11-19T15:42:00Z</cp:lastPrinted>
  <dcterms:created xsi:type="dcterms:W3CDTF">2025-07-16T15:02:00Z</dcterms:created>
  <dcterms:modified xsi:type="dcterms:W3CDTF">2025-07-16T15:02:00Z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A10-0096/2025</vt:lpwstr>
  </property>
  <property fmtid="{D5CDD505-2E9C-101B-9397-08002B2CF9AE}" pid="4" name="&lt;Type&gt;">
    <vt:lpwstr>RR</vt:lpwstr>
  </property>
</Properties>
</file>