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61BF" w:rsidTr="0010095E">
        <w:trPr>
          <w:trHeight w:hRule="exact" w:val="1418"/>
        </w:trPr>
        <w:tc>
          <w:tcPr>
            <w:tcW w:w="6804" w:type="dxa"/>
            <w:shd w:val="clear" w:color="auto" w:fill="auto"/>
            <w:vAlign w:val="center"/>
          </w:tcPr>
          <w:p w:rsidR="00751A4A" w:rsidRPr="00A061BF" w:rsidRDefault="00670C30" w:rsidP="0010095E">
            <w:pPr>
              <w:pStyle w:val="EPName"/>
            </w:pPr>
            <w:r w:rsidRPr="00A061BF">
              <w:t>Parlament Europejski</w:t>
            </w:r>
          </w:p>
          <w:p w:rsidR="00751A4A" w:rsidRPr="00A061BF" w:rsidRDefault="005F1B17" w:rsidP="005F1B17">
            <w:pPr>
              <w:pStyle w:val="EPTerm"/>
              <w:rPr>
                <w:rStyle w:val="HideTWBExt"/>
                <w:noProof w:val="0"/>
                <w:vanish w:val="0"/>
                <w:color w:val="auto"/>
              </w:rPr>
            </w:pPr>
            <w:r w:rsidRPr="00A061BF">
              <w:t>2024</w:t>
            </w:r>
            <w:r w:rsidR="00817416" w:rsidRPr="00A061BF">
              <w:t>-202</w:t>
            </w:r>
            <w:r w:rsidRPr="00A061BF">
              <w:t>9</w:t>
            </w:r>
          </w:p>
        </w:tc>
        <w:tc>
          <w:tcPr>
            <w:tcW w:w="2268" w:type="dxa"/>
            <w:shd w:val="clear" w:color="auto" w:fill="auto"/>
          </w:tcPr>
          <w:p w:rsidR="00751A4A" w:rsidRPr="00A061BF" w:rsidRDefault="00187494" w:rsidP="0010095E">
            <w:pPr>
              <w:pStyle w:val="EPLogo"/>
            </w:pPr>
            <w:r w:rsidRPr="00A061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61BF" w:rsidRDefault="00D058B8" w:rsidP="004C5D52">
      <w:pPr>
        <w:pStyle w:val="LineTop"/>
      </w:pPr>
    </w:p>
    <w:p w:rsidR="00A47CDE" w:rsidRDefault="00670C30" w:rsidP="00680577">
      <w:pPr>
        <w:pStyle w:val="EPBodyTA1"/>
      </w:pPr>
      <w:r w:rsidRPr="00A061BF">
        <w:t>TEKSTY PRZYJĘTE</w:t>
      </w:r>
    </w:p>
    <w:p w:rsidR="00670C30" w:rsidRPr="00A061BF" w:rsidRDefault="00670C30" w:rsidP="00670C30">
      <w:pPr>
        <w:pStyle w:val="ATHeading1"/>
      </w:pPr>
      <w:bookmarkStart w:id="0" w:name="TANumber"/>
      <w:r w:rsidRPr="00A061BF">
        <w:t>P10_TA(2025)0</w:t>
      </w:r>
      <w:bookmarkEnd w:id="0"/>
      <w:r w:rsidR="00C6615F">
        <w:t>131</w:t>
      </w:r>
    </w:p>
    <w:p w:rsidR="00670C30" w:rsidRPr="00A061BF" w:rsidRDefault="00670C30" w:rsidP="00670C30">
      <w:pPr>
        <w:pStyle w:val="ATHeading2"/>
      </w:pPr>
      <w:bookmarkStart w:id="1" w:name="title"/>
      <w:r w:rsidRPr="00A061BF">
        <w:t>Sprawozdania Komisji w sprawie Mołdawii za lata 2023 i 2024</w:t>
      </w:r>
      <w:bookmarkEnd w:id="1"/>
    </w:p>
    <w:p w:rsidR="00670C30" w:rsidRPr="00A061BF" w:rsidRDefault="00670C30" w:rsidP="00670C30">
      <w:pPr>
        <w:rPr>
          <w:i/>
          <w:vanish/>
        </w:rPr>
      </w:pPr>
      <w:r w:rsidRPr="00A061BF">
        <w:rPr>
          <w:i/>
        </w:rPr>
        <w:fldChar w:fldCharType="begin"/>
      </w:r>
      <w:r w:rsidRPr="00A061BF">
        <w:rPr>
          <w:i/>
        </w:rPr>
        <w:instrText xml:space="preserve"> TC"(</w:instrText>
      </w:r>
      <w:bookmarkStart w:id="2" w:name="DocNumber"/>
      <w:r w:rsidRPr="00A061BF">
        <w:rPr>
          <w:i/>
        </w:rPr>
        <w:instrText>A10-0096/2025</w:instrText>
      </w:r>
      <w:bookmarkEnd w:id="2"/>
      <w:r w:rsidRPr="00A061BF">
        <w:rPr>
          <w:i/>
        </w:rPr>
        <w:instrText xml:space="preserve"> - Sprawozdawca: Sven Mikser</w:instrText>
      </w:r>
      <w:proofErr w:type="gramStart"/>
      <w:r w:rsidRPr="00A061BF">
        <w:rPr>
          <w:i/>
        </w:rPr>
        <w:instrText>)"\l</w:instrText>
      </w:r>
      <w:proofErr w:type="gramEnd"/>
      <w:r w:rsidRPr="00A061BF">
        <w:rPr>
          <w:i/>
        </w:rPr>
        <w:instrText xml:space="preserve">3 \n&gt; \* MERGEFORMAT </w:instrText>
      </w:r>
      <w:r w:rsidRPr="00A061BF">
        <w:rPr>
          <w:i/>
        </w:rPr>
        <w:fldChar w:fldCharType="end"/>
      </w:r>
    </w:p>
    <w:p w:rsidR="00670C30" w:rsidRPr="00A061BF" w:rsidRDefault="00670C30" w:rsidP="00670C30">
      <w:pPr>
        <w:rPr>
          <w:vanish/>
        </w:rPr>
      </w:pPr>
      <w:bookmarkStart w:id="3" w:name="Commission"/>
      <w:r w:rsidRPr="00A061BF">
        <w:rPr>
          <w:vanish/>
        </w:rPr>
        <w:t>Komisja Spraw Zagranicznych</w:t>
      </w:r>
      <w:bookmarkEnd w:id="3"/>
    </w:p>
    <w:p w:rsidR="00670C30" w:rsidRPr="00A061BF" w:rsidRDefault="00670C30" w:rsidP="00670C30">
      <w:pPr>
        <w:rPr>
          <w:vanish/>
        </w:rPr>
      </w:pPr>
      <w:bookmarkStart w:id="4" w:name="PE"/>
      <w:r w:rsidRPr="00A061BF">
        <w:rPr>
          <w:vanish/>
        </w:rPr>
        <w:t>PE768.179</w:t>
      </w:r>
      <w:bookmarkEnd w:id="4"/>
    </w:p>
    <w:p w:rsidR="00670C30" w:rsidRPr="00A061BF" w:rsidRDefault="00670C30" w:rsidP="00670C30">
      <w:pPr>
        <w:pStyle w:val="ATHeading3"/>
      </w:pPr>
      <w:bookmarkStart w:id="5" w:name="Sujet"/>
      <w:r w:rsidRPr="00A061BF">
        <w:t xml:space="preserve">Rezolucja Parlamentu Europejskiego z dnia </w:t>
      </w:r>
      <w:r w:rsidR="00A47CDE">
        <w:t>18 czerwca</w:t>
      </w:r>
      <w:r w:rsidRPr="00A061BF">
        <w:t xml:space="preserve"> 2025 r. w sprawie sprawozdań Komisji dotyczących Mołdawii za lata 2023 i 2024</w:t>
      </w:r>
      <w:bookmarkEnd w:id="5"/>
      <w:r w:rsidRPr="00A061BF">
        <w:t xml:space="preserve"> </w:t>
      </w:r>
      <w:bookmarkStart w:id="6" w:name="References"/>
      <w:r w:rsidRPr="00A061BF">
        <w:t>(2025/2025(INI))</w:t>
      </w:r>
      <w:bookmarkEnd w:id="6"/>
    </w:p>
    <w:p w:rsidR="00B60E73" w:rsidRPr="00A061BF" w:rsidRDefault="00B60E73" w:rsidP="00B60E73">
      <w:pPr>
        <w:pStyle w:val="EPComma"/>
      </w:pPr>
      <w:r w:rsidRPr="00A061BF">
        <w:rPr>
          <w:i/>
        </w:rPr>
        <w:t>Parlament Europejski</w:t>
      </w:r>
      <w:r w:rsidRPr="00A061BF">
        <w:t>,</w:t>
      </w:r>
    </w:p>
    <w:p w:rsidR="00B60E73" w:rsidRPr="00A061BF" w:rsidRDefault="00B60E73" w:rsidP="00B60E73">
      <w:pPr>
        <w:pStyle w:val="NormalHanging12a"/>
      </w:pPr>
      <w:r w:rsidRPr="00A061BF">
        <w:t>–</w:t>
      </w:r>
      <w:r w:rsidRPr="00A061BF">
        <w:tab/>
        <w:t>uwzględniając komunikat Komisji z dnia 30 października 2024 r. pt. „Komunikat w sprawie polityki rozszerzenia UE w 2024 r.” (COM</w:t>
      </w:r>
      <w:proofErr w:type="gramStart"/>
      <w:r w:rsidRPr="00A061BF">
        <w:t>(2024)0690), któremu</w:t>
      </w:r>
      <w:proofErr w:type="gramEnd"/>
      <w:r w:rsidRPr="00A061BF">
        <w:t xml:space="preserve"> towarzyszy dokument roboczy służb Komisji „Sprawozdanie dotyczące Republiki Mołdawii za rok 2024” (SWD(2024)0698), </w:t>
      </w:r>
    </w:p>
    <w:p w:rsidR="00B60E73" w:rsidRPr="00A061BF" w:rsidRDefault="00B60E73" w:rsidP="00B60E73">
      <w:pPr>
        <w:pStyle w:val="NormalHanging12a"/>
      </w:pPr>
      <w:r w:rsidRPr="00A061BF">
        <w:t>–</w:t>
      </w:r>
      <w:r w:rsidRPr="00A061BF">
        <w:tab/>
        <w:t>uwzględniając opinię Komisji z dnia 17 czerwca 2022 r. w sprawie wniosku Republiki Mołdawii (zwanej dalej „Mołdawią”) o członkostwo w Unii Europejskiej (COM</w:t>
      </w:r>
      <w:proofErr w:type="gramStart"/>
      <w:r w:rsidRPr="00A061BF">
        <w:t>(2022)0406) oraz</w:t>
      </w:r>
      <w:proofErr w:type="gramEnd"/>
      <w:r w:rsidRPr="00A061BF">
        <w:t xml:space="preserve"> wspólny dokument roboczy służb z dnia 6 lutego 2023 r. dotyczący sprawozdania z realizacji układu o stowarzyszeniu z Republiką Mołdawii (SWD(2023)0041),</w:t>
      </w:r>
    </w:p>
    <w:p w:rsidR="00B60E73" w:rsidRPr="00A061BF" w:rsidRDefault="00B60E73" w:rsidP="00B60E73">
      <w:pPr>
        <w:pStyle w:val="NormalHanging12a"/>
        <w:rPr>
          <w:i/>
        </w:rPr>
      </w:pPr>
      <w:r w:rsidRPr="00A061BF">
        <w:rPr>
          <w:i/>
        </w:rPr>
        <w:t>–</w:t>
      </w:r>
      <w:r w:rsidRPr="00A061BF">
        <w:tab/>
        <w:t>uwzględniając rozporządzenie Parlamentu Europejskiego i Rady (UE) 2025/535 z dnia 18 marca 2025 r. w sprawie ustanowienia Instrumentu Wsparcia Reform i Wzrostu Gospodarczego w Republice Mołdawii</w:t>
      </w:r>
      <w:r w:rsidRPr="00A061BF">
        <w:rPr>
          <w:rStyle w:val="FootnoteReference"/>
        </w:rPr>
        <w:footnoteReference w:id="1"/>
      </w:r>
      <w:r w:rsidRPr="00A061BF">
        <w:t>,</w:t>
      </w:r>
    </w:p>
    <w:p w:rsidR="00B60E73" w:rsidRPr="00A061BF" w:rsidRDefault="00B60E73" w:rsidP="00B60E73">
      <w:pPr>
        <w:pStyle w:val="NormalHanging12a"/>
      </w:pPr>
      <w:r w:rsidRPr="00A061BF">
        <w:t>–</w:t>
      </w:r>
      <w:r w:rsidRPr="00A061BF">
        <w:tab/>
        <w:t>uwzględniając poprzednie rezolucje w sprawie Mołdawii,</w:t>
      </w:r>
    </w:p>
    <w:p w:rsidR="00B60E73" w:rsidRPr="00A061BF" w:rsidRDefault="00B60E73" w:rsidP="00B60E73">
      <w:pPr>
        <w:pStyle w:val="NormalHanging12a"/>
      </w:pPr>
      <w:r w:rsidRPr="00A061BF">
        <w:t>–</w:t>
      </w:r>
      <w:r w:rsidRPr="00A061BF">
        <w:tab/>
        <w:t>uwzględniając sprawozdanie analityczne Komisji z dnia 1 lutego 2023 r. w sprawie dostosowania Mołdawii do dorobku prawnego UE (SWD(2023)0032),</w:t>
      </w:r>
    </w:p>
    <w:p w:rsidR="00B60E73" w:rsidRPr="00A061BF" w:rsidRDefault="00B60E73" w:rsidP="00B60E73">
      <w:pPr>
        <w:pStyle w:val="NormalHanging12a"/>
      </w:pPr>
      <w:r w:rsidRPr="00A061BF">
        <w:t>–</w:t>
      </w:r>
      <w:r w:rsidRPr="00A061BF">
        <w:tab/>
        <w:t>uwzględniając wniosek z dnia 9 października 2024 r. dotyczący rozporządzenia Parlamentu Europejskiego i Rady w sprawie ustanowienia Instrumentu Wsparcia Reform i Wzrostu Gospodarczego w Republice Mołdawii (COM(2024)0469),</w:t>
      </w:r>
    </w:p>
    <w:p w:rsidR="00B60E73" w:rsidRPr="00A061BF" w:rsidRDefault="00B60E73" w:rsidP="00B60E73">
      <w:pPr>
        <w:pStyle w:val="NormalHanging12a"/>
      </w:pPr>
      <w:r w:rsidRPr="00A061BF">
        <w:t>–</w:t>
      </w:r>
      <w:r w:rsidRPr="00A061BF">
        <w:tab/>
        <w:t>uwzględniając komunikat Komisji z dnia 9 października 2024 r. w sprawie Planu wzrostu gospodarczego dla Mołdawii (COM(2024)0470),</w:t>
      </w:r>
    </w:p>
    <w:p w:rsidR="00B60E73" w:rsidRPr="00A061BF" w:rsidRDefault="00B60E73" w:rsidP="00B60E73">
      <w:pPr>
        <w:pStyle w:val="NormalHanging12a"/>
      </w:pPr>
      <w:r w:rsidRPr="00A061BF">
        <w:t>–</w:t>
      </w:r>
      <w:r w:rsidRPr="00A061BF">
        <w:tab/>
        <w:t>uwzględniając konkluzje Rady z dnia 17 grudnia 2024 r. w sprawie rozszerzenia,</w:t>
      </w:r>
    </w:p>
    <w:p w:rsidR="00B60E73" w:rsidRPr="00A061BF" w:rsidRDefault="00B60E73" w:rsidP="00B60E73">
      <w:pPr>
        <w:pStyle w:val="NormalHanging12a"/>
      </w:pPr>
      <w:r w:rsidRPr="00A061BF">
        <w:lastRenderedPageBreak/>
        <w:t>–</w:t>
      </w:r>
      <w:r w:rsidRPr="00A061BF">
        <w:tab/>
        <w:t>uwzględniając wizytę delegacji Komisji Spraw Zagranicznych w Mołdawii w dniach 25–27 lutego 2025 r.,</w:t>
      </w:r>
    </w:p>
    <w:p w:rsidR="00B60E73" w:rsidRPr="00A061BF" w:rsidRDefault="00B60E73" w:rsidP="00B60E73">
      <w:pPr>
        <w:pStyle w:val="NormalHanging12a"/>
      </w:pPr>
      <w:r w:rsidRPr="00A061BF">
        <w:t>–</w:t>
      </w:r>
      <w:r w:rsidRPr="00A061BF">
        <w:tab/>
        <w:t>uwzględniając art. 55 Regulaminu,</w:t>
      </w:r>
    </w:p>
    <w:p w:rsidR="00B60E73" w:rsidRPr="00A061BF" w:rsidRDefault="00B60E73" w:rsidP="00B60E73">
      <w:pPr>
        <w:pStyle w:val="NormalHanging12a"/>
      </w:pPr>
      <w:r w:rsidRPr="00A061BF">
        <w:t>–</w:t>
      </w:r>
      <w:r w:rsidRPr="00A061BF">
        <w:tab/>
        <w:t>uwzględniając sprawozdanie Komisji Spraw Zagranicznych (A10-0096/2025),</w:t>
      </w:r>
    </w:p>
    <w:p w:rsidR="00B60E73" w:rsidRPr="00A061BF" w:rsidRDefault="00B60E73" w:rsidP="00A47CDE">
      <w:pPr>
        <w:pStyle w:val="NormalHanging12a"/>
        <w:spacing w:before="120" w:after="120"/>
      </w:pPr>
      <w:r w:rsidRPr="00A061BF">
        <w:t>A.</w:t>
      </w:r>
      <w:r w:rsidRPr="00A061BF">
        <w:tab/>
      </w:r>
      <w:proofErr w:type="gramStart"/>
      <w:r w:rsidRPr="00A061BF">
        <w:t>mając</w:t>
      </w:r>
      <w:proofErr w:type="gramEnd"/>
      <w:r w:rsidRPr="00A061BF">
        <w:t xml:space="preserve"> na uwadze, że po tym, jak 3 marca 2022 r. Mołdawia złożyła wniosek o członkostwo w UE, 23 czerwca 2022 r. Rada Europejska przyznała jej status kraju kandydującego, a następnie 14 grudnia 2023 r. postanowiła rozpocząć negocjacje akcesyjne;</w:t>
      </w:r>
    </w:p>
    <w:p w:rsidR="00B60E73" w:rsidRPr="00A061BF" w:rsidRDefault="00B60E73" w:rsidP="00A47CDE">
      <w:pPr>
        <w:pStyle w:val="NormalHanging12a"/>
        <w:spacing w:before="120" w:after="120"/>
      </w:pPr>
      <w:r w:rsidRPr="00A061BF">
        <w:t>B.</w:t>
      </w:r>
      <w:r w:rsidRPr="00A061BF">
        <w:tab/>
        <w:t>mając na uwadze, że w czerwcu 2024 r. rozpoczęły się negocjacje w sprawie przystąpienia Mołdawii do UE;</w:t>
      </w:r>
    </w:p>
    <w:p w:rsidR="00B60E73" w:rsidRPr="00A061BF" w:rsidRDefault="00B60E73" w:rsidP="00A47CDE">
      <w:pPr>
        <w:pStyle w:val="NormalHanging12a"/>
        <w:spacing w:before="120" w:after="120"/>
      </w:pPr>
      <w:r w:rsidRPr="00A061BF">
        <w:t>C.</w:t>
      </w:r>
      <w:r w:rsidRPr="00A061BF">
        <w:tab/>
      </w:r>
      <w:proofErr w:type="gramStart"/>
      <w:r w:rsidRPr="00A061BF">
        <w:t>mając</w:t>
      </w:r>
      <w:proofErr w:type="gramEnd"/>
      <w:r w:rsidRPr="00A061BF">
        <w:t xml:space="preserve"> na uwadze, że 20 października 2024 r. w Mołdawii odbyło się referendum, którego wynik potwierdził zamiar włączenia kwestii integracji z UE do konstytucji pomimo różnych form manipulacji mających na celu destabilizację kraju, nielegalnego finansowania podmiotów politycznych, kampanii dezinformacyjnych i cyberataków;</w:t>
      </w:r>
    </w:p>
    <w:p w:rsidR="00B60E73" w:rsidRPr="00A061BF" w:rsidRDefault="00B60E73" w:rsidP="00A47CDE">
      <w:pPr>
        <w:pStyle w:val="NormalHanging12a"/>
        <w:spacing w:before="120" w:after="120"/>
      </w:pPr>
      <w:r w:rsidRPr="00A061BF">
        <w:t>D.</w:t>
      </w:r>
      <w:r w:rsidRPr="00A061BF">
        <w:tab/>
      </w:r>
      <w:proofErr w:type="gramStart"/>
      <w:r w:rsidRPr="00A061BF">
        <w:t>mając</w:t>
      </w:r>
      <w:proofErr w:type="gramEnd"/>
      <w:r w:rsidRPr="00A061BF">
        <w:t xml:space="preserve"> na uwadze, że układ o stowarzyszeniu</w:t>
      </w:r>
      <w:r w:rsidRPr="00A061BF">
        <w:rPr>
          <w:rStyle w:val="FootnoteReference"/>
          <w:color w:val="000000"/>
        </w:rPr>
        <w:footnoteReference w:id="2"/>
      </w:r>
      <w:r w:rsidRPr="00A061BF">
        <w:t>, który przewiduje pogłębioną i kompleksową strefę wolnego handlu (AA/DCFTA), pozostaje podstawą politycznego stowarzyszenia i integracji gospodarczej między UE a Mołdawią oraz że obie strony prowadzą regularny dialog polityczny i gospodarczy;</w:t>
      </w:r>
    </w:p>
    <w:p w:rsidR="00B60E73" w:rsidRPr="00A061BF" w:rsidRDefault="00B60E73" w:rsidP="00A47CDE">
      <w:pPr>
        <w:pStyle w:val="NormalHanging12a"/>
        <w:spacing w:before="120" w:after="120"/>
        <w:ind w:left="0" w:firstLine="0"/>
        <w:rPr>
          <w:b/>
        </w:rPr>
      </w:pPr>
      <w:r w:rsidRPr="00A061BF">
        <w:rPr>
          <w:b/>
          <w:i/>
        </w:rPr>
        <w:t>Postępy w realizacji reform związanych z przystąpieniem do UE, w szczególności dotyczących praworządności i sprawowania rządów</w:t>
      </w:r>
    </w:p>
    <w:p w:rsidR="00B60E73" w:rsidRPr="00A061BF" w:rsidRDefault="00B60E73" w:rsidP="00A47CDE">
      <w:pPr>
        <w:pStyle w:val="NormalHanging12a"/>
        <w:spacing w:before="120" w:after="120"/>
        <w:rPr>
          <w:shd w:val="clear" w:color="auto" w:fill="FFFFFF"/>
        </w:rPr>
      </w:pPr>
      <w:r w:rsidRPr="00A061BF">
        <w:t>1.</w:t>
      </w:r>
      <w:r w:rsidRPr="00A061BF">
        <w:tab/>
      </w:r>
      <w:proofErr w:type="gramStart"/>
      <w:r w:rsidRPr="00A061BF">
        <w:rPr>
          <w:shd w:val="clear" w:color="auto" w:fill="FFFFFF"/>
        </w:rPr>
        <w:t>wyraża</w:t>
      </w:r>
      <w:proofErr w:type="gramEnd"/>
      <w:r w:rsidRPr="00A061BF">
        <w:rPr>
          <w:shd w:val="clear" w:color="auto" w:fill="FFFFFF"/>
        </w:rPr>
        <w:t xml:space="preserve"> uznanie dla stanowiącego przykład do naśladowania zaangażowania Mołdawii w reformy związane z przystąpieniem do UE oraz dla postępów, które kraj ten czyni w tej dziedzinie pomimo poważnych wyzwań wewnętrznych i zewnętrznych, takich jak </w:t>
      </w:r>
      <w:proofErr w:type="spellStart"/>
      <w:r w:rsidRPr="00A061BF">
        <w:rPr>
          <w:shd w:val="clear" w:color="auto" w:fill="FFFFFF"/>
        </w:rPr>
        <w:t>pełnoskalowa</w:t>
      </w:r>
      <w:proofErr w:type="spellEnd"/>
      <w:r w:rsidRPr="00A061BF">
        <w:rPr>
          <w:shd w:val="clear" w:color="auto" w:fill="FFFFFF"/>
        </w:rPr>
        <w:t xml:space="preserve"> wojna napastnicza Rosji przeciwko Ukrainie, które umożliwiły rozpoczęcie negocjacji akcesyjnych w czerwcu 2024 r., </w:t>
      </w:r>
      <w:r w:rsidRPr="00A061BF">
        <w:rPr>
          <w:rStyle w:val="highlight-diff"/>
          <w:color w:val="000000"/>
          <w:shd w:val="clear" w:color="auto" w:fill="FFFFFF"/>
        </w:rPr>
        <w:t>czyli pół roku po przyjęciu odpowiedniej decyzji przez Radę Europejską 14 grudnia 2023 r. i niecałe dwa lata po złożeniu przez Mołdawię wniosku o członkostwo w UE 3 marca 2022 r.;</w:t>
      </w:r>
    </w:p>
    <w:p w:rsidR="00B60E73" w:rsidRPr="00A061BF" w:rsidRDefault="00B60E73" w:rsidP="00A47CDE">
      <w:pPr>
        <w:pStyle w:val="NormalHanging12a"/>
        <w:spacing w:before="120" w:after="120"/>
      </w:pPr>
      <w:r w:rsidRPr="00A061BF">
        <w:t>2.</w:t>
      </w:r>
      <w:r w:rsidRPr="00A061BF">
        <w:tab/>
      </w:r>
      <w:proofErr w:type="gramStart"/>
      <w:r w:rsidRPr="00A061BF">
        <w:t>stwierdza</w:t>
      </w:r>
      <w:proofErr w:type="gramEnd"/>
      <w:r w:rsidRPr="00A061BF">
        <w:t xml:space="preserve">, że stosunki między UE a Mołdawią weszły w nowy etap, w którym zacieśnia się współpracę, stopniowo dostosowuje wszystkie obszary polityki związane z dorobkiem UE i czyni się postępy na ścieżce integracji z UE; z zadowoleniem przyjmuje postępy w dwustronnym przeglądzie zgodności prawa krajowego z prawem unijnym od czasu jego rozpoczęcia w lipcu 2024 r. oraz niedawne zamknięcie przeglądu dotyczącego klastra 1 (kwestie podstawowe) i klastra 2 (rynek wewnętrzny); wyraża uznanie i wsparcie dla ambicji rządu mołdawskiego, by w nadchodzących miesiącach rozpocząć negocjacje w sprawie klastra 1 (kwestie podstawowe), klastra 2 (rynek wewnętrzny) i klastra 6 (stosunki zewnętrzne), a także zakończyć proces przeglądu wszystkich klastrów do </w:t>
      </w:r>
      <w:proofErr w:type="gramStart"/>
      <w:r w:rsidRPr="00A061BF">
        <w:t>końca</w:t>
      </w:r>
      <w:proofErr w:type="gramEnd"/>
      <w:r w:rsidRPr="00A061BF">
        <w:t xml:space="preserve"> 2025 r.; wzywa Komisję do zwiększenia wsparcia dla rządu Mołdawii, aby zapewnić pomyślne osiągnięcie tych kluczowych celów; zachęca Radę do przyjęcia podejścia opartego na osiągnięciach, jeżeli chodzi o decyzje dotyczące negocjacji z Mołdawią; ubolewa nad dwustronnością i instrumentalizacją procesu przystępowania do UE, na przykład z powodu sprzeciwu rządu węgierskiego wobec otwarcia negocjacji w sprawie klastrów 1, 2 i 6, co doprowadziło do opóźnienia i służy celowi Rosji, jakim jest utrudnianie europejskiej integracji regionu;</w:t>
      </w:r>
    </w:p>
    <w:p w:rsidR="00B60E73" w:rsidRPr="00A061BF" w:rsidRDefault="00B60E73" w:rsidP="00A47CDE">
      <w:pPr>
        <w:pStyle w:val="NormalHanging12a"/>
        <w:spacing w:before="120" w:after="120"/>
      </w:pPr>
      <w:r w:rsidRPr="00A061BF">
        <w:t>3.</w:t>
      </w:r>
      <w:r w:rsidRPr="00A061BF">
        <w:tab/>
      </w:r>
      <w:proofErr w:type="gramStart"/>
      <w:r w:rsidRPr="00A061BF">
        <w:t>uważa</w:t>
      </w:r>
      <w:proofErr w:type="gramEnd"/>
      <w:r w:rsidRPr="00A061BF">
        <w:t>, że aby Mołdawia była w stanie skonsolidować obecne postępy w reformach związanych z przystąpieniem do UE i utrzymać ambitne tempo zbliżania się do członkostwa w UE, konieczne będzie zdecydowane i rzeczywiste wsparcie większości parlamentarnej po wyborach zaplanowanych na jesień 2025 r.;</w:t>
      </w:r>
    </w:p>
    <w:p w:rsidR="00B60E73" w:rsidRPr="00A061BF" w:rsidRDefault="00B60E73" w:rsidP="00A47CDE">
      <w:pPr>
        <w:pStyle w:val="NormalHanging12a"/>
        <w:spacing w:before="120" w:after="120"/>
      </w:pPr>
      <w:r w:rsidRPr="00A061BF">
        <w:t>4.</w:t>
      </w:r>
      <w:r w:rsidRPr="00A061BF">
        <w:tab/>
      </w:r>
      <w:proofErr w:type="gramStart"/>
      <w:r w:rsidRPr="00A061BF">
        <w:t>zauważa</w:t>
      </w:r>
      <w:proofErr w:type="gramEnd"/>
      <w:r w:rsidRPr="00A061BF">
        <w:t xml:space="preserve">, że wynik zarówno referendum konstytucyjnego w sprawie integracji europejskiej z 20 października 2024 r., jak i wyborów prezydenckich, które odbyły się 20 października i 3 listopada 2024 r., potwierdził poparcie większości narodu mołdawskiego dla celu, jakim jest członkostwo tego kraju w UE, oraz dla wymaganych reform </w:t>
      </w:r>
      <w:proofErr w:type="spellStart"/>
      <w:r w:rsidRPr="00A061BF">
        <w:t>prounijnych</w:t>
      </w:r>
      <w:proofErr w:type="spellEnd"/>
      <w:r w:rsidRPr="00A061BF">
        <w:t xml:space="preserve">; podkreśla, że referendum i wybory przeprowadzono w sposób profesjonalny oraz z wyjątkowym poczuciem obowiązku i poświęceniem, a to mimo hybrydowej kampanii Rosji i jej popleczników, w której użyto różnych narzędzi, takich jak strategiczne wykorzystanie mediów społecznościowych, treści generowane przez sztuczną inteligencję, „wycieki” fałszywych dokumentów czy zastraszanie, i która to kampania obejmowała różne formy manipulacyjnej ingerencji w celu </w:t>
      </w:r>
      <w:proofErr w:type="gramStart"/>
      <w:r w:rsidRPr="00A061BF">
        <w:t>destabilizacji</w:t>
      </w:r>
      <w:proofErr w:type="gramEnd"/>
      <w:r w:rsidRPr="00A061BF">
        <w:t xml:space="preserve"> kraju, nielegalne finansowanie podmiotów politycznych, kupowanie głosów, w tym również dlatego, że Rosja posłużyła się częścią duchowieństwa Mołdawskiego Kościoła Prawosławnego, oraz kampanie dezinformacyjne i cyberataki; przypomina, że ataki te miały cztery kluczowe cele strategiczne: podział społeczeństwa, delegitymizacja instytucji, dyskredytacja podmiotów demokratycznych i promowanie rosyjskich wpływów; z zadowoleniem przyjmuje wynik referendum z 2024 r., w wyniku którego zobowiązanie do przystąpienia do UE zapisano w konstytucji tego kraju; zdecydowanie potępia – podejmowane przez Rosję, prorosyjskich oligarchów i sponsorowanych przez Rosję lokalnych popleczników – coraz częstsze próby destabilizacji Mołdawii, podzielenia mołdawskiego społeczeństwa i zachwiania </w:t>
      </w:r>
      <w:proofErr w:type="spellStart"/>
      <w:r w:rsidRPr="00A061BF">
        <w:t>prounijnego</w:t>
      </w:r>
      <w:proofErr w:type="spellEnd"/>
      <w:r w:rsidRPr="00A061BF">
        <w:t xml:space="preserve"> kursu Mołdawii poprzez ataki hybrydowe, instrumentalizację dostaw energii, dezinformację, manipulację </w:t>
      </w:r>
      <w:proofErr w:type="gramStart"/>
      <w:r w:rsidRPr="00A061BF">
        <w:t>i</w:t>
      </w:r>
      <w:proofErr w:type="gramEnd"/>
      <w:r w:rsidRPr="00A061BF">
        <w:t xml:space="preserve"> kampanie mające na celu zastraszenie organizacji społeczeństwa obywatelskiego i niezależnych mediów;</w:t>
      </w:r>
    </w:p>
    <w:p w:rsidR="00B60E73" w:rsidRPr="00A061BF" w:rsidRDefault="00B60E73" w:rsidP="00A47CDE">
      <w:pPr>
        <w:pStyle w:val="NormalHanging12a"/>
        <w:spacing w:before="120" w:after="120"/>
      </w:pPr>
      <w:r w:rsidRPr="00A061BF">
        <w:t>5.</w:t>
      </w:r>
      <w:r w:rsidRPr="00A061BF">
        <w:tab/>
      </w:r>
      <w:proofErr w:type="gramStart"/>
      <w:r w:rsidRPr="00A061BF">
        <w:rPr>
          <w:rStyle w:val="NormalHanging12aChar"/>
          <w:color w:val="000000"/>
        </w:rPr>
        <w:t>zauważa</w:t>
      </w:r>
      <w:proofErr w:type="gramEnd"/>
      <w:r w:rsidRPr="00A061BF">
        <w:rPr>
          <w:rStyle w:val="NormalHanging12aChar"/>
          <w:color w:val="000000"/>
        </w:rPr>
        <w:t xml:space="preserve">, że wybory parlamentarne zaplanowane na 28 września 2025 r. będą miały zasadnicze znaczenie dla kontynuacji </w:t>
      </w:r>
      <w:proofErr w:type="spellStart"/>
      <w:r w:rsidRPr="00A061BF">
        <w:rPr>
          <w:rStyle w:val="NormalHanging12aChar"/>
          <w:color w:val="000000"/>
        </w:rPr>
        <w:t>prounijnego</w:t>
      </w:r>
      <w:proofErr w:type="spellEnd"/>
      <w:r w:rsidRPr="00A061BF">
        <w:rPr>
          <w:rStyle w:val="NormalHanging12aChar"/>
          <w:color w:val="000000"/>
        </w:rPr>
        <w:t xml:space="preserve"> kursu obranego przez Mołdawię; jest zaniepokojony prawdopodobną intensyfikacją obcych, w szczególności rosyjskich, wrogich ingerencji i ataków hybrydowych przed wyborami; wzywa UE do zwiększenia wsparcia, w tym również finansowego i technicznego, dla działań rządu Mołdawii, które mają przeciwdziałać tego typu ingerencjom w procesy demokratyczne w kraju, w tym przez nakładanie dodatkowych sankcji, przedłużenie i konsolidację mandatu i zasobów partnerskiej misji UE w Mołdawii (EUPM) i udzielenie jej dodatkowego wsparcia, a także wymianę wiedzy fachowej na temat zagranicznych manipulacji informacjami i ingerencji w informacje, przeciwdziałanie zagrożeniom hybrydowym </w:t>
      </w:r>
      <w:proofErr w:type="gramStart"/>
      <w:r w:rsidRPr="00A061BF">
        <w:rPr>
          <w:rStyle w:val="NormalHanging12aChar"/>
          <w:color w:val="000000"/>
        </w:rPr>
        <w:t>i</w:t>
      </w:r>
      <w:proofErr w:type="gramEnd"/>
      <w:r w:rsidRPr="00A061BF">
        <w:rPr>
          <w:rStyle w:val="NormalHanging12aChar"/>
          <w:color w:val="000000"/>
        </w:rPr>
        <w:t xml:space="preserve"> wzmacnianie odporności; </w:t>
      </w:r>
      <w:bookmarkStart w:id="7" w:name="_Hlk194942091"/>
      <w:r w:rsidRPr="00A061BF">
        <w:rPr>
          <w:rStyle w:val="NormalHanging12aChar"/>
          <w:color w:val="000000"/>
        </w:rPr>
        <w:t>wzywa również władze mołdawskie i UE do zintensyfikowania wysiłków na rzecz wspierania niezależnych mediów i prodemokratycznego społeczeństwa obywatelskiego, aby umożliwić dziennikarzom na szczeblu krajowym i regionalnym przeciwdziałanie zagranicznym manipulacjom informacjami i ingerencjom w informacje oraz podnieść poziom umiejętności cyfrowych;</w:t>
      </w:r>
      <w:bookmarkEnd w:id="7"/>
    </w:p>
    <w:p w:rsidR="00B60E73" w:rsidRPr="00A061BF" w:rsidRDefault="00B60E73" w:rsidP="00A47CDE">
      <w:pPr>
        <w:pStyle w:val="NormalHanging12a"/>
        <w:spacing w:before="120" w:after="120"/>
      </w:pPr>
      <w:r w:rsidRPr="00A061BF">
        <w:t>6.</w:t>
      </w:r>
      <w:r w:rsidRPr="00A061BF">
        <w:tab/>
      </w:r>
      <w:proofErr w:type="gramStart"/>
      <w:r w:rsidRPr="00A061BF">
        <w:t>podkreśla</w:t>
      </w:r>
      <w:proofErr w:type="gramEnd"/>
      <w:r w:rsidRPr="00A061BF">
        <w:t xml:space="preserve"> znaczenie komunikacji strategicznej, zwalczania i obalania fałszywych, propagowanych przez Rosję narracji na temat UE i jej polityki oraz podkreślania konkretnych krótko- i długoterminowych korzyści dla ludności Mołdawii płynących z przystąpienia do UE; </w:t>
      </w:r>
      <w:bookmarkStart w:id="8" w:name="_Hlk196923727"/>
      <w:r w:rsidRPr="00A061BF">
        <w:t xml:space="preserve">szczególną uwagę należy przy tym zwrócić na regiony takie jak Gagauzja oraz na społeczności obszarów wiejskich, które są w niekorzystnej sytuacji społeczno-gospodarczej; </w:t>
      </w:r>
      <w:bookmarkEnd w:id="8"/>
      <w:r w:rsidRPr="00A061BF">
        <w:t>wzywa UE do zwiększenia wsparcia dla Mołdawii w tym obszarze;</w:t>
      </w:r>
    </w:p>
    <w:p w:rsidR="00B60E73" w:rsidRPr="00A47CDE" w:rsidRDefault="00B60E73" w:rsidP="00A47CDE">
      <w:pPr>
        <w:pStyle w:val="NormalHanging12a"/>
        <w:spacing w:before="120" w:after="120"/>
        <w:rPr>
          <w:b/>
          <w:i/>
        </w:rPr>
      </w:pPr>
      <w:r w:rsidRPr="00A47CDE">
        <w:rPr>
          <w:b/>
          <w:i/>
        </w:rPr>
        <w:t>Reformy społeczno-gospodarcze</w:t>
      </w:r>
    </w:p>
    <w:p w:rsidR="00B60E73" w:rsidRPr="00A061BF" w:rsidRDefault="00B60E73" w:rsidP="00A47CDE">
      <w:pPr>
        <w:pStyle w:val="NormalHanging12a"/>
        <w:spacing w:before="120" w:after="120"/>
        <w:rPr>
          <w:rStyle w:val="NormalHanging12aChar"/>
          <w:color w:val="000000"/>
        </w:rPr>
      </w:pPr>
      <w:r w:rsidRPr="00A061BF">
        <w:t>7.</w:t>
      </w:r>
      <w:r w:rsidRPr="00A061BF">
        <w:tab/>
      </w:r>
      <w:proofErr w:type="gramStart"/>
      <w:r w:rsidRPr="00A061BF">
        <w:rPr>
          <w:rStyle w:val="NormalHanging12aChar"/>
          <w:color w:val="000000"/>
        </w:rPr>
        <w:t>z</w:t>
      </w:r>
      <w:proofErr w:type="gramEnd"/>
      <w:r w:rsidRPr="00A061BF">
        <w:rPr>
          <w:rStyle w:val="NormalHanging12aChar"/>
          <w:color w:val="000000"/>
        </w:rPr>
        <w:t xml:space="preserve"> zadowoleniem przyjmuje opracowany przez Komisję plan wzrostu gospodarczego dla Mołdawii, który ma wspierać mołdawskie reformy społeczno-gospodarcze i reformy w kwestiach podstawowych oraz poprawić dostęp do jednolitego rynku UE; z zadowoleniem przyjmuje Instrument Wsparcia Reform i Wzrostu Gospodarczego w Mołdawii, który jest podstawą planu wzrostu gospodarczego i który ma wartość 2,02 mld EUR, a zatem jest największym unijnym pakietem wsparcia finansowego dla Mołdawii, od kiedy kraj ten ogłosił niepodległość; podkreśla, że dzięki temu instrumentowi Mołdawia korzysta z bezzwrotnego wsparcia w wysokości 520 mln EUR oraz ze wsparcia w postaci pożyczek w wysokości maksymalnie 1,5 mld EUR ze stawką płatności zaliczkowych w wysokości 18%, co </w:t>
      </w:r>
      <w:proofErr w:type="gramStart"/>
      <w:r w:rsidRPr="00A061BF">
        <w:rPr>
          <w:rStyle w:val="NormalHanging12aChar"/>
          <w:color w:val="000000"/>
        </w:rPr>
        <w:t>dowodzi</w:t>
      </w:r>
      <w:proofErr w:type="gramEnd"/>
      <w:r w:rsidRPr="00A061BF">
        <w:rPr>
          <w:rStyle w:val="NormalHanging12aChar"/>
          <w:color w:val="000000"/>
        </w:rPr>
        <w:t>, że UE zauważa, iż należy pilnie wspierać reformy w Mołdawii oraz odporność tego kraju; wzywa Komisję do wspieranie władz Mołdawii we wdrażaniu programu reform niezbędnego do skutecznej absorpcji środków z tego instrumentu, aby korzyści z tego wsparcia były szybko odczuwalne dla obywateli Mołdawii; oczekuje zapowiedzianej oceny skutków Instrumentu na rzecz Mołdawii w formie dokumentu roboczego służb Komisji w ciągu trzech miesięcy od przyjęcia odpowiedniego rozporządzenia;</w:t>
      </w:r>
    </w:p>
    <w:p w:rsidR="00B60E73" w:rsidRPr="00A061BF" w:rsidRDefault="00B60E73" w:rsidP="00A47CDE">
      <w:pPr>
        <w:pStyle w:val="NormalHanging12a"/>
        <w:spacing w:before="120" w:after="120"/>
      </w:pPr>
      <w:r w:rsidRPr="00A061BF">
        <w:t>8.</w:t>
      </w:r>
      <w:r w:rsidRPr="00A061BF">
        <w:tab/>
      </w:r>
      <w:proofErr w:type="gramStart"/>
      <w:r w:rsidRPr="00A061BF">
        <w:t>wzywa</w:t>
      </w:r>
      <w:proofErr w:type="gramEnd"/>
      <w:r w:rsidRPr="00A061BF">
        <w:t xml:space="preserve"> Komisję do uwzględnienia odpowiednich funduszy przedakcesyjnych dla Mołdawii w kolejnych wieloletnich ramach finansowych UE, a także do rozpoczęcia przygotowań Mołdawii do skutecznego wykorzystania przyszłych funduszy przedakcesyjnych jako nowo wyznaczonego kraju kandydującego do UE;</w:t>
      </w:r>
    </w:p>
    <w:p w:rsidR="00B60E73" w:rsidRPr="00A061BF" w:rsidRDefault="00B60E73" w:rsidP="00A47CDE">
      <w:pPr>
        <w:pStyle w:val="NormalHanging12a"/>
        <w:spacing w:before="120" w:after="120"/>
      </w:pPr>
      <w:r w:rsidRPr="00A061BF">
        <w:t>9.</w:t>
      </w:r>
      <w:r w:rsidRPr="00A061BF">
        <w:tab/>
      </w:r>
      <w:proofErr w:type="gramStart"/>
      <w:r w:rsidRPr="00A061BF">
        <w:t>przypomina</w:t>
      </w:r>
      <w:proofErr w:type="gramEnd"/>
      <w:r w:rsidRPr="00A061BF">
        <w:t>, że poparcie narodu mołdawskiego dla integracji europejskiej można zwiększyć dzięki wymiernej poprawie jego sytuacji bytowej poprzez wzmocnienie instytucji państwowych i administracji publicznej w celu skutecznego wykorzystania środków na finansowanie projektów oraz wdrożenia i egzekwowania dorobku prawnego UE, poprzez zbudowanie solidnego systemu opieki społecznej oraz poprzez zwalczanie korupcji i wpływów oligarchicznych oraz zadbanie o rozliczalność; wzywa władze mołdawskie, aby w dalszym ciągu dbały o konstruktywne zaangażowanie organizacji społeczeństwa obywatelskiego, diaspory, słabszych grup i partnerów społecznych, w tym związków zawodowych, aby zwiększyć zaufanie do instytucji i procesów demokratycznych oraz poparcie społeczeństwa dla reform związanych z przystąpieniem do UE;</w:t>
      </w:r>
    </w:p>
    <w:p w:rsidR="00B60E73" w:rsidRPr="00A061BF" w:rsidRDefault="00B60E73" w:rsidP="00A47CDE">
      <w:pPr>
        <w:pStyle w:val="NormalHanging12a"/>
        <w:spacing w:before="120" w:after="120"/>
      </w:pPr>
      <w:r w:rsidRPr="00A061BF">
        <w:t>10.</w:t>
      </w:r>
      <w:r w:rsidRPr="00A061BF">
        <w:tab/>
      </w:r>
      <w:proofErr w:type="gramStart"/>
      <w:r w:rsidRPr="00A061BF">
        <w:t>podkreśla</w:t>
      </w:r>
      <w:proofErr w:type="gramEnd"/>
      <w:r w:rsidRPr="00A061BF">
        <w:t xml:space="preserve"> rolę organizacji społeczeństwa obywatelskiego w monitorowaniu sprawowania rządów i postępów w realizacji reform związanych z UE, w promowaniu przejrzystości, w obronie praw człowieka oraz w przeciwdziałaniu dezinformacji i wrogim wpływom zewnętrznym ze strony podmiotów politycznych przeciwnych reformom i rosyjskich popleczników;</w:t>
      </w:r>
    </w:p>
    <w:p w:rsidR="00B60E73" w:rsidRPr="00A061BF" w:rsidRDefault="00B60E73" w:rsidP="00A47CDE">
      <w:pPr>
        <w:pStyle w:val="NormalHanging12a"/>
        <w:spacing w:before="120" w:after="120"/>
      </w:pPr>
      <w:r w:rsidRPr="00A061BF">
        <w:t>11.</w:t>
      </w:r>
      <w:r w:rsidRPr="00A061BF">
        <w:tab/>
      </w:r>
      <w:proofErr w:type="gramStart"/>
      <w:r w:rsidRPr="00A061BF">
        <w:t>wzywa</w:t>
      </w:r>
      <w:proofErr w:type="gramEnd"/>
      <w:r w:rsidRPr="00A061BF">
        <w:t xml:space="preserve"> do kompleksowych reform społecznych, aby zmniejszyć skalę ubóstwa i trwałej emigracji, poprawić opiekę zdrowotną, usprawnić system edukacji publicznej, poprawić warunki pracy i opracować odpowiednie systemy ochrony socjalnej; podkreśla, że rozwój gospodarczy musi sprzyjać włączeniu społecznemu i być zrównoważony, a także stwarzać możliwości dla małych i średnich przedsiębiorstw; podkreśla potrzebę ukierunkowanych inwestycji społecznych na rzecz młodych ludzi w Mołdawii i na obszarach wiejskich w celu zmniejszenia różnic regionalnych i zapewnienia spójności społecznej;</w:t>
      </w:r>
    </w:p>
    <w:p w:rsidR="00B60E73" w:rsidRPr="00A061BF" w:rsidRDefault="00B60E73" w:rsidP="00A47CDE">
      <w:pPr>
        <w:pStyle w:val="NormalHanging12a"/>
        <w:spacing w:before="120" w:after="120"/>
      </w:pPr>
      <w:r w:rsidRPr="00A061BF">
        <w:t>12.</w:t>
      </w:r>
      <w:r w:rsidRPr="00A061BF">
        <w:tab/>
      </w:r>
      <w:proofErr w:type="gramStart"/>
      <w:r w:rsidRPr="00A061BF">
        <w:rPr>
          <w:rStyle w:val="NormalHanging12aChar"/>
          <w:color w:val="000000"/>
        </w:rPr>
        <w:t>wzywa</w:t>
      </w:r>
      <w:proofErr w:type="gramEnd"/>
      <w:r w:rsidRPr="00A061BF">
        <w:rPr>
          <w:rStyle w:val="NormalHanging12aChar"/>
          <w:color w:val="000000"/>
        </w:rPr>
        <w:t xml:space="preserve"> do położenia szczególnego nacisku na udział Mołdawii w programach społecznych, edukacyjnych i kulturalnych UE z myślą o konwergencji społecznej, innowacjach i postępie technologicznym;</w:t>
      </w:r>
    </w:p>
    <w:p w:rsidR="00B60E73" w:rsidRPr="00A061BF" w:rsidRDefault="00B60E73" w:rsidP="00A47CDE">
      <w:pPr>
        <w:pStyle w:val="NormalHanging12a"/>
        <w:spacing w:before="120" w:after="120"/>
      </w:pPr>
      <w:r w:rsidRPr="00A061BF">
        <w:t>13.</w:t>
      </w:r>
      <w:r w:rsidRPr="00A061BF">
        <w:tab/>
      </w:r>
      <w:proofErr w:type="gramStart"/>
      <w:r w:rsidRPr="00A061BF">
        <w:t>wzywa</w:t>
      </w:r>
      <w:proofErr w:type="gramEnd"/>
      <w:r w:rsidRPr="00A061BF">
        <w:t xml:space="preserve"> Mołdawię do wdrożenia programu reform, w którym nakreślono najważniejsze reformy społeczno-gospodarcze i reformy w kwestiach podstawowych mające przyspieszyć wzrost i konkurencyjność gospodarki Mołdawii oraz jej konwergencję z UE w oparciu o wzmocnione wdrażanie AA/DCFTA;</w:t>
      </w:r>
    </w:p>
    <w:p w:rsidR="00B60E73" w:rsidRPr="00A061BF" w:rsidRDefault="00B60E73" w:rsidP="00A47CDE">
      <w:pPr>
        <w:pStyle w:val="NormalHanging12a"/>
        <w:spacing w:before="120" w:after="120"/>
        <w:rPr>
          <w:rStyle w:val="NormalHanging12aChar"/>
          <w:color w:val="000000"/>
        </w:rPr>
      </w:pPr>
      <w:r w:rsidRPr="00A061BF">
        <w:t>14.</w:t>
      </w:r>
      <w:r w:rsidRPr="00A061BF">
        <w:tab/>
      </w:r>
      <w:proofErr w:type="gramStart"/>
      <w:r w:rsidRPr="00A061BF">
        <w:rPr>
          <w:rStyle w:val="NormalHanging12aChar"/>
          <w:color w:val="000000"/>
        </w:rPr>
        <w:t>zdecydowanie</w:t>
      </w:r>
      <w:proofErr w:type="gramEnd"/>
      <w:r w:rsidRPr="00A061BF">
        <w:rPr>
          <w:rStyle w:val="NormalHanging12aChar"/>
          <w:color w:val="000000"/>
        </w:rPr>
        <w:t xml:space="preserve"> wzywa do przyspieszenia stopniowej integracji Mołdawii z UE i jednolitym rynkiem poprzez dalsze dostosowywanie jej ram prawnych i regulacyjnych do dorobku prawnego UE oraz włączenie tego kraju do większej liczby unijnych programów i inicjatyw, w tym poprzez przyznanie mołdawskim urzędnikom i ekspertom statusu obserwatora w odpowiednich organach UE, co przyniosłoby wymierne korzyści społeczno-gospodarcze nawet przed formalnym przystąpieniem tego kraju do UE; gratuluje Mołdawii przyłączenia się do jednolitego obszaru płatności w euro, co ułatwi transfery w euro i obniży koszty ponoszone przez obywateli i przedsiębiorstwa w Mołdawii; </w:t>
      </w:r>
      <w:r w:rsidR="00C6615F" w:rsidRPr="00C6615F">
        <w:rPr>
          <w:rStyle w:val="NormalHanging12aChar"/>
          <w:color w:val="000000"/>
        </w:rPr>
        <w:t xml:space="preserve">z zadowoleniem przyjmuje włączenie do zaktualizowanego układu o stowarzyszeniu między UE a Mołdawią </w:t>
      </w:r>
      <w:proofErr w:type="gramStart"/>
      <w:r w:rsidR="00C6615F" w:rsidRPr="00C6615F">
        <w:rPr>
          <w:rStyle w:val="NormalHanging12aChar"/>
          <w:color w:val="000000"/>
        </w:rPr>
        <w:t>liberalizacji</w:t>
      </w:r>
      <w:proofErr w:type="gramEnd"/>
      <w:r w:rsidR="00C6615F" w:rsidRPr="00C6615F">
        <w:rPr>
          <w:rStyle w:val="NormalHanging12aChar"/>
          <w:color w:val="000000"/>
        </w:rPr>
        <w:t xml:space="preserve"> usług </w:t>
      </w:r>
      <w:proofErr w:type="spellStart"/>
      <w:r w:rsidR="00C6615F" w:rsidRPr="00C6615F">
        <w:rPr>
          <w:rStyle w:val="NormalHanging12aChar"/>
          <w:color w:val="000000"/>
        </w:rPr>
        <w:t>roamingu</w:t>
      </w:r>
      <w:proofErr w:type="spellEnd"/>
      <w:r w:rsidR="00C6615F" w:rsidRPr="00C6615F">
        <w:rPr>
          <w:rStyle w:val="NormalHanging12aChar"/>
          <w:color w:val="000000"/>
        </w:rPr>
        <w:t>;</w:t>
      </w:r>
      <w:r w:rsidR="00C6615F">
        <w:rPr>
          <w:rStyle w:val="NormalHanging12aChar"/>
          <w:color w:val="000000"/>
        </w:rPr>
        <w:t xml:space="preserve"> </w:t>
      </w:r>
      <w:r w:rsidRPr="00A061BF">
        <w:rPr>
          <w:rStyle w:val="NormalHanging12aChar"/>
          <w:color w:val="000000"/>
        </w:rPr>
        <w:t xml:space="preserve">z zadowoleniem przyjmuje niedawne postępy Mołdawii w transpozycji dorobku prawnego UE w zakresie </w:t>
      </w:r>
      <w:proofErr w:type="spellStart"/>
      <w:r w:rsidRPr="00A061BF">
        <w:rPr>
          <w:rStyle w:val="NormalHanging12aChar"/>
          <w:color w:val="000000"/>
        </w:rPr>
        <w:t>roamingu</w:t>
      </w:r>
      <w:proofErr w:type="spellEnd"/>
      <w:r w:rsidRPr="00A061BF">
        <w:rPr>
          <w:rStyle w:val="NormalHanging12aChar"/>
          <w:color w:val="000000"/>
        </w:rPr>
        <w:t xml:space="preserve"> i telekomunikacji oraz wyraża poparcie dla szybkiego podjęcia decyzji o włączeniu Mołdawii do unijnego obszaru </w:t>
      </w:r>
      <w:proofErr w:type="spellStart"/>
      <w:r w:rsidRPr="00A061BF">
        <w:rPr>
          <w:rStyle w:val="NormalHanging12aChar"/>
          <w:color w:val="000000"/>
        </w:rPr>
        <w:t>roamingu</w:t>
      </w:r>
      <w:proofErr w:type="spellEnd"/>
      <w:r w:rsidRPr="00A061BF">
        <w:rPr>
          <w:rStyle w:val="NormalHanging12aChar"/>
          <w:color w:val="000000"/>
        </w:rPr>
        <w:t xml:space="preserve"> po cenach krajowych; wzywa usługodawców do współpracy w dobrej wierze z władzami mołdawskimi przy wprowadzaniu </w:t>
      </w:r>
      <w:proofErr w:type="spellStart"/>
      <w:r w:rsidRPr="00A061BF">
        <w:rPr>
          <w:rStyle w:val="NormalHanging12aChar"/>
          <w:color w:val="000000"/>
        </w:rPr>
        <w:t>roamingu</w:t>
      </w:r>
      <w:proofErr w:type="spellEnd"/>
      <w:r w:rsidRPr="00A061BF">
        <w:rPr>
          <w:rStyle w:val="NormalHanging12aChar"/>
          <w:color w:val="000000"/>
        </w:rPr>
        <w:t xml:space="preserve"> po cenach krajowych;</w:t>
      </w:r>
    </w:p>
    <w:p w:rsidR="00B60E73" w:rsidRPr="00A061BF" w:rsidRDefault="00B60E73" w:rsidP="00A47CDE">
      <w:pPr>
        <w:pStyle w:val="NormalHanging12a"/>
        <w:spacing w:before="120" w:after="120"/>
      </w:pPr>
      <w:r w:rsidRPr="00A061BF">
        <w:t>15.</w:t>
      </w:r>
      <w:r w:rsidRPr="00A061BF">
        <w:tab/>
      </w:r>
      <w:proofErr w:type="gramStart"/>
      <w:r w:rsidRPr="00A061BF">
        <w:rPr>
          <w:rStyle w:val="NormalHanging12aChar"/>
          <w:color w:val="000000"/>
        </w:rPr>
        <w:t>z</w:t>
      </w:r>
      <w:proofErr w:type="gramEnd"/>
      <w:r w:rsidRPr="00A061BF">
        <w:rPr>
          <w:rStyle w:val="NormalHanging12aChar"/>
          <w:color w:val="000000"/>
        </w:rPr>
        <w:t xml:space="preserve"> zadowoleniem przyjmuje odnowienie tymczasowych środków liberalizacji handlu z UE w lipcu 2024 r., aby wesprzeć gospodarkę Mołdawii oraz zrekompensować utratę handlu spowodowaną rosyjską wojną napastniczą przeciwko Ukrainie i nieprzyjazną polityką Rosji wobec Mołdawii; wzywa UE, by po</w:t>
      </w:r>
      <w:bookmarkStart w:id="9" w:name="_GoBack"/>
      <w:bookmarkEnd w:id="9"/>
      <w:r w:rsidRPr="00A061BF">
        <w:rPr>
          <w:rStyle w:val="NormalHanging12aChar"/>
          <w:color w:val="000000"/>
        </w:rPr>
        <w:t>djęła szybkie i znaczące kroki w kierunku trwałej liberalizacji kontyngentów taryfowych, co pozwoli zapewnić przewidywalność i zwiększyć atrakcyjność Mołdawii dla inwestorów;</w:t>
      </w:r>
    </w:p>
    <w:p w:rsidR="00B60E73" w:rsidRPr="00A061BF" w:rsidRDefault="00B60E73" w:rsidP="00A47CDE">
      <w:pPr>
        <w:pStyle w:val="NormalHanging12a"/>
        <w:spacing w:before="120" w:after="120"/>
      </w:pPr>
      <w:r w:rsidRPr="00A061BF">
        <w:t>16.</w:t>
      </w:r>
      <w:r w:rsidRPr="00A061BF">
        <w:tab/>
      </w:r>
      <w:proofErr w:type="gramStart"/>
      <w:r w:rsidRPr="00A061BF">
        <w:t>zauważa</w:t>
      </w:r>
      <w:proofErr w:type="gramEnd"/>
      <w:r w:rsidRPr="00A061BF">
        <w:t>, że ze względu na niedawną decyzję administracji USA o zawieszeniu wsparcia dla społeczeństwa obywatelskiego, niezależnych mediów, najważniejszych reform i projektów infrastrukturalnych w Mołdawii pojawiły się pilne potrzeby, na które UE powinna zareagować; w związku z tym wzywa Komisję do zwiększenia finansowania na rzecz instrumentów UE wspierających demokrację, takich jak Europejski Fundusz na rzecz Demokracji, oraz innych kluczowych projektów, które do niedawna były finansowane przez amerykańską Agencję Rozwoju Międzynarodowego (USAID) i inne agencje z USA;</w:t>
      </w:r>
    </w:p>
    <w:p w:rsidR="00A47CDE" w:rsidRDefault="00B60E73" w:rsidP="00A47CDE">
      <w:pPr>
        <w:spacing w:before="120" w:after="120"/>
        <w:rPr>
          <w:b/>
          <w:i/>
        </w:rPr>
      </w:pPr>
      <w:r w:rsidRPr="00A061BF">
        <w:rPr>
          <w:b/>
          <w:i/>
        </w:rPr>
        <w:t>Prawa człowieka</w:t>
      </w:r>
    </w:p>
    <w:p w:rsidR="00B60E73" w:rsidRPr="00A061BF" w:rsidRDefault="00B60E73" w:rsidP="00A47CDE">
      <w:pPr>
        <w:pStyle w:val="NormalHanging12a"/>
        <w:spacing w:before="120" w:after="120"/>
      </w:pPr>
      <w:r w:rsidRPr="00A061BF">
        <w:t>17.</w:t>
      </w:r>
      <w:r w:rsidRPr="00A061BF">
        <w:tab/>
      </w:r>
      <w:proofErr w:type="gramStart"/>
      <w:r w:rsidRPr="00A061BF">
        <w:t>odnotowuje</w:t>
      </w:r>
      <w:proofErr w:type="gramEnd"/>
      <w:r w:rsidRPr="00A061BF">
        <w:t xml:space="preserve"> postępy Mołdawii na drodze do równouprawnienia płci, w tym przyjęcie programu na rzecz promowania i zapewniania równości kobiet i mężczyzn na lata 2023–2027, i wzywa do dalszych wysiłków w tym zakresie, w szczególności na rzecz zmniejszenia luki płacowej między kobietami a mężczyznami, zwalczania stereotypów, dyskryminacji i przemocy ze względu na płeć oraz na rzecz zwiększenia reprezentacji kobiet w polityce i biznesie;</w:t>
      </w:r>
    </w:p>
    <w:p w:rsidR="00B60E73" w:rsidRPr="00A061BF" w:rsidRDefault="00B60E73" w:rsidP="00A47CDE">
      <w:pPr>
        <w:pStyle w:val="NormalHanging12a"/>
        <w:spacing w:before="120" w:after="120"/>
      </w:pPr>
      <w:r w:rsidRPr="00A061BF">
        <w:t>18.</w:t>
      </w:r>
      <w:r w:rsidRPr="00A061BF">
        <w:tab/>
      </w:r>
      <w:proofErr w:type="gramStart"/>
      <w:r w:rsidRPr="00A061BF">
        <w:t>wyraża</w:t>
      </w:r>
      <w:proofErr w:type="gramEnd"/>
      <w:r w:rsidRPr="00A061BF">
        <w:t xml:space="preserve"> zadowolenie z wysiłków władz mołdawskich na rzecz zwalczania przemocy wobec kobiet i poprawy ochrony osób, które doświadczyły przemocy, w szczególności z przyjęcia krajowego programu zapobiegania i zwalczania przemocy wobec kobiet i przemocy domowej na lata 2023–2027; zauważa jednak, że skutki tych działań nadal nie są odczuwalne, i w związku z tym wzywa do zorganizowania większej liczby schronisk dla osób, które doświadczyły przemocy domowej, do zwrócenia uwagi wymiaru sprawiedliwości na przemoc wobec kobiet oraz do zmiany polityki i do intensywniejszych kampanii uświadamiających skierowanych do mężczyzn i poruszających kwestię przemocy ze względu na płeć;</w:t>
      </w:r>
    </w:p>
    <w:p w:rsidR="00B60E73" w:rsidRPr="00A061BF" w:rsidRDefault="00B60E73" w:rsidP="00A47CDE">
      <w:pPr>
        <w:pStyle w:val="NormalHanging12a"/>
        <w:spacing w:before="120" w:after="120"/>
      </w:pPr>
      <w:r w:rsidRPr="00A061BF">
        <w:t>19.</w:t>
      </w:r>
      <w:r w:rsidRPr="00A061BF">
        <w:tab/>
      </w:r>
      <w:proofErr w:type="gramStart"/>
      <w:r w:rsidRPr="00A061BF">
        <w:t>apeluje</w:t>
      </w:r>
      <w:proofErr w:type="gramEnd"/>
      <w:r w:rsidRPr="00A061BF">
        <w:t xml:space="preserve"> do rządu Mołdawii o zintensyfikowanie wysiłków, w tym skuteczne wdrażanie ram legislacyjnych, w celu zwalczania dyskryminacji rasowej, marginalizacji, rasistowskiej mowy nienawiści i przestępstw z nienawiści wymierzonych w członków mniejszości etnicznych, w tym społeczność romską;</w:t>
      </w:r>
    </w:p>
    <w:p w:rsidR="00B60E73" w:rsidRPr="00A061BF" w:rsidRDefault="00B60E73" w:rsidP="00A47CDE">
      <w:pPr>
        <w:pStyle w:val="NormalHanging12a"/>
        <w:spacing w:before="120" w:after="120"/>
      </w:pPr>
      <w:r w:rsidRPr="00A061BF">
        <w:t>20.</w:t>
      </w:r>
      <w:r w:rsidRPr="00A061BF">
        <w:tab/>
      </w:r>
      <w:proofErr w:type="gramStart"/>
      <w:r w:rsidRPr="00A061BF">
        <w:t>wyraża</w:t>
      </w:r>
      <w:proofErr w:type="gramEnd"/>
      <w:r w:rsidRPr="00A061BF">
        <w:t xml:space="preserve"> uznanie dla wysiłków Mołdawii na rzecz poprawy praw społeczności LGBTIQ+ w ostatnich latach;</w:t>
      </w:r>
    </w:p>
    <w:p w:rsidR="00B60E73" w:rsidRPr="00A061BF" w:rsidRDefault="00B60E73" w:rsidP="00A47CDE">
      <w:pPr>
        <w:pStyle w:val="NormalHanging12a"/>
        <w:spacing w:before="120" w:after="120"/>
      </w:pPr>
      <w:r w:rsidRPr="00A061BF">
        <w:t>21.</w:t>
      </w:r>
      <w:r w:rsidRPr="00A061BF">
        <w:tab/>
      </w:r>
      <w:proofErr w:type="gramStart"/>
      <w:r w:rsidRPr="00A061BF">
        <w:t>wzywa</w:t>
      </w:r>
      <w:proofErr w:type="gramEnd"/>
      <w:r w:rsidRPr="00A061BF">
        <w:t xml:space="preserve"> rząd Mołdawii do całkowitego dostosowania swojego ustawodawstwa dotyczącego praw osób niepełnosprawnych do dorobku prawnego UE oraz do rozwiązania systemowego problemu umieszczania dzieci z niepełnosprawnością intelektualną w zakładach psychiatrycznych;</w:t>
      </w:r>
    </w:p>
    <w:p w:rsidR="00B60E73" w:rsidRPr="00A061BF" w:rsidRDefault="00B60E73" w:rsidP="00A47CDE">
      <w:pPr>
        <w:pStyle w:val="NormalHanging12a"/>
        <w:spacing w:before="120" w:after="120"/>
        <w:rPr>
          <w:b/>
          <w:i/>
        </w:rPr>
      </w:pPr>
      <w:r w:rsidRPr="00A061BF">
        <w:rPr>
          <w:b/>
          <w:i/>
        </w:rPr>
        <w:t>Energia, środowisko i łączność</w:t>
      </w:r>
    </w:p>
    <w:p w:rsidR="00B60E73" w:rsidRPr="00A061BF" w:rsidRDefault="00B60E73" w:rsidP="00A47CDE">
      <w:pPr>
        <w:pStyle w:val="NormalHanging12a"/>
        <w:spacing w:before="120" w:after="120"/>
        <w:rPr>
          <w:bCs/>
          <w:iCs/>
        </w:rPr>
      </w:pPr>
      <w:r w:rsidRPr="00A061BF">
        <w:t>22.</w:t>
      </w:r>
      <w:r w:rsidRPr="00A061BF">
        <w:tab/>
      </w:r>
      <w:proofErr w:type="gramStart"/>
      <w:r w:rsidRPr="00A061BF">
        <w:rPr>
          <w:rStyle w:val="NormalHanging12aChar"/>
          <w:color w:val="000000"/>
        </w:rPr>
        <w:t>potępia</w:t>
      </w:r>
      <w:proofErr w:type="gramEnd"/>
      <w:r w:rsidRPr="00A061BF">
        <w:rPr>
          <w:rStyle w:val="NormalHanging12aChar"/>
          <w:color w:val="000000"/>
        </w:rPr>
        <w:t xml:space="preserve"> wykorzystywanie energii przez Rosję jako instrumentu przeciwko Mołdawii, ostatnio 1 stycznia 2025 r. przez wstrzymanie dostaw gazu do Naddniestrza, co stanowiło naruszenie zobowiązań umownych i wywołało poważny kryzys humanitarny; popiera błyskawicznie przedstawioną propozycję Komisji dotyczącą kompleksowej strategii na rzecz niezależności energetycznej i odporności oraz pakiet wsparcia o wartości 250 mln EUR, co przyczyni się do obniżenia rachunków mołdawskich konsumentów za energię, w tym w regionie Naddniestrza, pomoże Mołdawii uniezależnić się od rosyjskich dostaw energii i umożliwi integrację Mołdawii z unijnym rynkiem energii; podkreśla potrzebę skutecznej komunikacji ze strony UE i władz Mołdawii na temat istotnego unijnego pakietu wsparcia mającego na celu zaradzenie </w:t>
      </w:r>
      <w:proofErr w:type="gramStart"/>
      <w:r w:rsidRPr="00A061BF">
        <w:rPr>
          <w:rStyle w:val="NormalHanging12aChar"/>
          <w:color w:val="000000"/>
        </w:rPr>
        <w:t>kryzysowi</w:t>
      </w:r>
      <w:proofErr w:type="gramEnd"/>
      <w:r w:rsidRPr="00A061BF">
        <w:rPr>
          <w:rStyle w:val="NormalHanging12aChar"/>
          <w:color w:val="000000"/>
        </w:rPr>
        <w:t xml:space="preserve"> energetycznemu w Mołdawii;</w:t>
      </w:r>
    </w:p>
    <w:p w:rsidR="00B60E73" w:rsidRPr="00A061BF" w:rsidRDefault="00B60E73" w:rsidP="00A47CDE">
      <w:pPr>
        <w:pStyle w:val="NormalHanging12a"/>
        <w:spacing w:before="120" w:after="120"/>
      </w:pPr>
      <w:r w:rsidRPr="00A061BF">
        <w:t>23.</w:t>
      </w:r>
      <w:r w:rsidRPr="00A061BF">
        <w:tab/>
      </w:r>
      <w:proofErr w:type="gramStart"/>
      <w:r w:rsidRPr="00A061BF">
        <w:t>z</w:t>
      </w:r>
      <w:proofErr w:type="gramEnd"/>
      <w:r w:rsidRPr="00A061BF">
        <w:t xml:space="preserve"> zadowoleniem przyjmuje dostosowywanie sektora energetycznego Mołdawii do dorobku prawnego UE; wzywa rząd Mołdawii do kontynuowania starań przy wsparciu UE, które obejmuje środki z Instrumentu na rzecz Mołdawii, z myślą o dywersyfikacji dostaw gazu i energii elektrycznej, rozwoju łączności, poprawie efektywności energetycznej oraz zwiększeniu wewnętrznych zdolności produkcyjnych i możliwości magazynowania, a także o postępach w pełnej integracji z unijnym rynkiem energii, tak aby zapewnić Mołdawii bezpieczeństwo energetyczne i odporność; podkreśla znaczenie ukończenia napowietrznej linii elektroenergetycznej o mocy 400 </w:t>
      </w:r>
      <w:proofErr w:type="spellStart"/>
      <w:r w:rsidRPr="00A061BF">
        <w:t>kV</w:t>
      </w:r>
      <w:proofErr w:type="spellEnd"/>
      <w:r w:rsidRPr="00A061BF">
        <w:t xml:space="preserve"> </w:t>
      </w:r>
      <w:proofErr w:type="spellStart"/>
      <w:r w:rsidRPr="00A061BF">
        <w:t>Vulcănești</w:t>
      </w:r>
      <w:proofErr w:type="spellEnd"/>
      <w:r w:rsidRPr="00A061BF">
        <w:t xml:space="preserve">–Kiszyniów do końca 2025 r. w celu zmniejszenia zależności Mołdawii od infrastruktury energetycznej w regionie Naddniestrza; wzywa UE do pozyskania niezbędnych </w:t>
      </w:r>
      <w:proofErr w:type="gramStart"/>
      <w:r w:rsidRPr="00A061BF">
        <w:t>zasobów</w:t>
      </w:r>
      <w:proofErr w:type="gramEnd"/>
      <w:r w:rsidRPr="00A061BF">
        <w:t>, które pomogą zrekompensować wycofanie wsparcia USAID dla sektora energetycznego Mołdawii;</w:t>
      </w:r>
    </w:p>
    <w:p w:rsidR="00B60E73" w:rsidRPr="00A061BF" w:rsidRDefault="00B60E73" w:rsidP="00A47CDE">
      <w:pPr>
        <w:pStyle w:val="NormalHanging12a"/>
        <w:spacing w:before="120" w:after="120"/>
        <w:rPr>
          <w:rStyle w:val="NormalHanging12aChar"/>
          <w:color w:val="000000"/>
        </w:rPr>
      </w:pPr>
      <w:r w:rsidRPr="00A061BF">
        <w:t>24.</w:t>
      </w:r>
      <w:r w:rsidRPr="00A061BF">
        <w:tab/>
      </w:r>
      <w:proofErr w:type="gramStart"/>
      <w:r w:rsidRPr="00A061BF">
        <w:rPr>
          <w:rStyle w:val="NormalHanging12aChar"/>
          <w:color w:val="000000"/>
        </w:rPr>
        <w:t>wyraża</w:t>
      </w:r>
      <w:proofErr w:type="gramEnd"/>
      <w:r w:rsidRPr="00A061BF">
        <w:rPr>
          <w:rStyle w:val="NormalHanging12aChar"/>
          <w:color w:val="000000"/>
        </w:rPr>
        <w:t xml:space="preserve"> uznanie dla rządu Mołdawii za postępy w dziedzinie dekarbonizacji, efektywności energetycznej i przechodzenia na zieloną gospodarkę, w tym podwojenie udziału energii odnawialnej do 30% do 2030 r.; zachęca UE i jej państwa członkowskie do dalszego zapewniania wsparcia finansowego i wiedzy fachowej mołdawskim partnerom w tej dziedzinie; z zadowoleniem odnotowuje przyjęcie w 2023 r. przez Mołdawię w tym celu krajowego programu przystosowania się do zmiany klimatu do 2030 r. oraz planu działania w tym zakresie; wzywa rząd Mołdawii do przyjęcia i rozpoczęcia wdrażania krajowego planu w dziedzinie energii i klimatu na lata 2025–2030; zwraca uwagę na znaczenie realizacji zobowiązań wynikających z Planu dekarbonizacji dla umawiających </w:t>
      </w:r>
      <w:proofErr w:type="gramStart"/>
      <w:r w:rsidRPr="00A061BF">
        <w:rPr>
          <w:rStyle w:val="NormalHanging12aChar"/>
          <w:color w:val="000000"/>
        </w:rPr>
        <w:t>się</w:t>
      </w:r>
      <w:proofErr w:type="gramEnd"/>
      <w:r w:rsidRPr="00A061BF">
        <w:rPr>
          <w:rStyle w:val="NormalHanging12aChar"/>
          <w:color w:val="000000"/>
        </w:rPr>
        <w:t xml:space="preserve"> stron Wspólnoty Energetycznej oraz wdrożenia pakietu dotyczącego monitorowania, raportowania, weryfikacji i akredytacji w celu wprowadzenia systemu ustalania opłat za emisję gazów cieplarnianych i dostosowania się do unijnego systemu handlu emisjami;</w:t>
      </w:r>
    </w:p>
    <w:p w:rsidR="00B60E73" w:rsidRPr="00A061BF" w:rsidRDefault="00B60E73" w:rsidP="00A47CDE">
      <w:pPr>
        <w:pStyle w:val="NormalHanging12a"/>
        <w:spacing w:before="120" w:after="120"/>
        <w:rPr>
          <w:bCs/>
          <w:iCs/>
          <w:color w:val="000000"/>
        </w:rPr>
      </w:pPr>
      <w:r w:rsidRPr="00A061BF">
        <w:t>25.</w:t>
      </w:r>
      <w:r w:rsidRPr="00A061BF">
        <w:tab/>
      </w:r>
      <w:proofErr w:type="gramStart"/>
      <w:r w:rsidRPr="00A061BF">
        <w:t>uważa</w:t>
      </w:r>
      <w:proofErr w:type="gramEnd"/>
      <w:r w:rsidRPr="00A061BF">
        <w:t>, że rozszerzenie korytarza TEN-T Morze Bałtyckie–Morze Czarne–Morze Egejskie (korytarz IX) o trasę Kiszyniów–Konstanca–Warna–</w:t>
      </w:r>
      <w:proofErr w:type="spellStart"/>
      <w:r w:rsidRPr="00A061BF">
        <w:t>Burgas</w:t>
      </w:r>
      <w:proofErr w:type="spellEnd"/>
      <w:r w:rsidRPr="00A061BF">
        <w:t xml:space="preserve"> stanowiłoby strategiczną inwestycję w infrastrukturę transportową regionu, zwiększającą jego łączność i sprzyjającą wzrostowi gospodarczemu w kontekście rozszerzenia UE na Wschód oraz potencjalnego pozytywnego wpływu tego rozszerzenia na bezpieczeństwo i stabilność regionu, ponieważ korytarz ten stanowiłby kluczowy szlak logistyczny dla NATO i wzmocniłby autonomię geostrategiczną UE;</w:t>
      </w:r>
    </w:p>
    <w:p w:rsidR="00B60E73" w:rsidRPr="00A061BF" w:rsidRDefault="00B60E73" w:rsidP="00A47CDE">
      <w:pPr>
        <w:pStyle w:val="NormalHanging12a"/>
        <w:spacing w:before="120" w:after="120"/>
        <w:rPr>
          <w:b/>
          <w:i/>
        </w:rPr>
      </w:pPr>
      <w:r w:rsidRPr="00A061BF">
        <w:rPr>
          <w:b/>
          <w:i/>
        </w:rPr>
        <w:t>Praworządność i dobre rządy</w:t>
      </w:r>
    </w:p>
    <w:p w:rsidR="00B60E73" w:rsidRPr="00A061BF" w:rsidRDefault="00B60E73" w:rsidP="00A47CDE">
      <w:pPr>
        <w:pStyle w:val="NormalHanging12a"/>
        <w:spacing w:before="120" w:after="120"/>
      </w:pPr>
      <w:r w:rsidRPr="00A061BF">
        <w:t>26.</w:t>
      </w:r>
      <w:r w:rsidRPr="00A061BF">
        <w:tab/>
      </w:r>
      <w:proofErr w:type="gramStart"/>
      <w:r w:rsidRPr="00A061BF">
        <w:t>podkreśla</w:t>
      </w:r>
      <w:proofErr w:type="gramEnd"/>
      <w:r w:rsidRPr="00A061BF">
        <w:t xml:space="preserve">, że kompleksowa reforma wymiaru sprawiedliwości ma zasadnicze znaczenie dla powodzenia reform demokratycznych i reform związanych z przystąpieniem Mołdawii do UE; dostrzega nieustające wysiłki Mołdawii na rzecz zbudowania niezależnego, bezstronnego, </w:t>
      </w:r>
      <w:proofErr w:type="spellStart"/>
      <w:r w:rsidRPr="00A061BF">
        <w:t>rozliczalnego</w:t>
      </w:r>
      <w:proofErr w:type="spellEnd"/>
      <w:r w:rsidRPr="00A061BF">
        <w:t xml:space="preserve"> i profesjonalnego systemu sądowego oraz zakończenia procesu weryfikacji do końca 2026 r.; w związku z tym wzywa UE do dalszego aktywnego wspierania reformy wymiaru sprawiedliwości i procesu weryfikacji zarówno sędziów, jak i prokuratorów, w tym przyciągania, szkolenia i rekrutacji wykwalifikowanych pracowników wymiaru sprawiedliwości oraz zwiększania zdolności wymiaru sprawiedliwości;</w:t>
      </w:r>
    </w:p>
    <w:p w:rsidR="00B60E73" w:rsidRPr="00A061BF" w:rsidRDefault="00B60E73" w:rsidP="00A47CDE">
      <w:pPr>
        <w:pStyle w:val="NormalHanging12a"/>
        <w:spacing w:before="120" w:after="120"/>
      </w:pPr>
      <w:r w:rsidRPr="00A061BF">
        <w:t>27.</w:t>
      </w:r>
      <w:r w:rsidRPr="00A061BF">
        <w:tab/>
      </w:r>
      <w:proofErr w:type="gramStart"/>
      <w:r w:rsidRPr="00A061BF">
        <w:t>zauważa</w:t>
      </w:r>
      <w:proofErr w:type="gramEnd"/>
      <w:r w:rsidRPr="00A061BF">
        <w:t>, że Mołdawia osiągnęła postępy w walce z korupcją i w zapobieganiu jej, ale podkreśla potrzebę kontynuowania walki z praniem pieniędzy; z zadowoleniem przyjmuje wejście w życie w lutym 2024 r. mołdawskiego krajowego programu na rzecz uczciwości i walki z korupcją na lata 2024–2028; podkreśla, że należy poprawić koordynację między wszystkimi najważniejszymi instytucjami antykorupcyjnymi i sądowniczymi, tak aby wdrożyć kompleksowe reformy i zapewnić tym instytucjom odpowiednie zasoby i zdolności; podkreśla, że aby zapewnić zaufanie społeczeństwa do trwających reform, należy osiągnąć rezultaty w ściganiu i wydawaniu wyroków skazujących w sprawach dotyczących korupcji;</w:t>
      </w:r>
    </w:p>
    <w:p w:rsidR="00B60E73" w:rsidRPr="00A061BF" w:rsidRDefault="00B60E73" w:rsidP="00A47CDE">
      <w:pPr>
        <w:pStyle w:val="NormalHanging12a"/>
        <w:spacing w:before="120" w:after="120"/>
      </w:pPr>
      <w:r w:rsidRPr="00A061BF">
        <w:t>28.</w:t>
      </w:r>
      <w:r w:rsidRPr="00A061BF">
        <w:tab/>
      </w:r>
      <w:proofErr w:type="gramStart"/>
      <w:r w:rsidRPr="00A061BF">
        <w:t>przypomina</w:t>
      </w:r>
      <w:proofErr w:type="gramEnd"/>
      <w:r w:rsidRPr="00A061BF">
        <w:t xml:space="preserve"> o znaczeniu kontynuowania śledztwa i pociągnięcia do odpowiedzialności osób odpowiedzialnych za oszustwo bankowe z 2014 r.; z zadowoleniem przyjmuje fakt, że po długich staraniach władz Mołdawii Interpol ostatecznie umieścił jednego z podejrzewanych sprawców, Vladimira </w:t>
      </w:r>
      <w:proofErr w:type="spellStart"/>
      <w:r w:rsidRPr="00A061BF">
        <w:t>Plahotniuca</w:t>
      </w:r>
      <w:proofErr w:type="spellEnd"/>
      <w:r w:rsidRPr="00A061BF">
        <w:t>, w międzynarodowym wykazie osób poszukiwanych;</w:t>
      </w:r>
    </w:p>
    <w:p w:rsidR="00A47CDE" w:rsidRDefault="00B60E73" w:rsidP="00A47CDE">
      <w:pPr>
        <w:spacing w:before="120" w:after="120"/>
        <w:ind w:left="567" w:hanging="567"/>
      </w:pPr>
      <w:r w:rsidRPr="00A061BF">
        <w:t>29.</w:t>
      </w:r>
      <w:r w:rsidRPr="00A061BF">
        <w:tab/>
      </w:r>
      <w:proofErr w:type="gramStart"/>
      <w:r w:rsidRPr="00A061BF">
        <w:rPr>
          <w:rStyle w:val="NormalHanging12aChar"/>
        </w:rPr>
        <w:t>wyraża</w:t>
      </w:r>
      <w:proofErr w:type="gramEnd"/>
      <w:r w:rsidRPr="00A061BF">
        <w:rPr>
          <w:rStyle w:val="NormalHanging12aChar"/>
        </w:rPr>
        <w:t xml:space="preserve"> zadowolenie z przyjęcia przez Mołdawię w 2023 r. nowej krajowej strategii zapobiegania handlowi ludźmi i zwalczania tego procederu, dostosowanej do dorobku prawnego UE, oraz ze współpracy Mołdawii z Europolem w zakresie zwalczania handlu narkotykami;</w:t>
      </w:r>
    </w:p>
    <w:p w:rsidR="00B60E73" w:rsidRPr="00A061BF" w:rsidRDefault="00B60E73" w:rsidP="00A47CDE">
      <w:pPr>
        <w:pStyle w:val="NormalHanging12a"/>
        <w:spacing w:before="120" w:after="120"/>
      </w:pPr>
      <w:r w:rsidRPr="00A061BF">
        <w:t>30.</w:t>
      </w:r>
      <w:r w:rsidRPr="00A061BF">
        <w:tab/>
      </w:r>
      <w:proofErr w:type="gramStart"/>
      <w:r w:rsidRPr="00A061BF">
        <w:t>wyraża</w:t>
      </w:r>
      <w:proofErr w:type="gramEnd"/>
      <w:r w:rsidRPr="00A061BF">
        <w:t xml:space="preserve"> gotowość do dalszego wspierania parlamentu Mołdawii za pomocą wspólnie uzgodnionych działań wzmacniających demokrację, które odpowiadają potrzebom instytucji, jej członków i pracowników; podkreśla rolę parlamentu Mołdawii we wspieraniu debaty publicznej na temat europejskiej przyszłości tego kraju, w wypracowywaniu szerokiego konsensusu i w dbaniu o demokratyczną legitymizację reform związanych z przystąpieniem do UE w stosunku do wszystkich partii politycznych i ogółu społeczeństwa; podkreśla decyzję z 10 marca 2025 r. o otwarciu biura Parlamentu Europejskiego w Kiszyniowie w celu dalszego wzmocnienia współpracy Parlamentu z regionem Partnerstwa Wschodniego;</w:t>
      </w:r>
    </w:p>
    <w:p w:rsidR="00B60E73" w:rsidRPr="00A061BF" w:rsidRDefault="00B60E73" w:rsidP="00A47CDE">
      <w:pPr>
        <w:pStyle w:val="NormalHanging12a"/>
        <w:spacing w:before="120" w:after="120"/>
        <w:ind w:left="0" w:firstLine="0"/>
        <w:rPr>
          <w:b/>
          <w:i/>
        </w:rPr>
      </w:pPr>
      <w:r w:rsidRPr="00A061BF">
        <w:rPr>
          <w:b/>
          <w:i/>
        </w:rPr>
        <w:t>Współpraca w dziedzinie wspólnej polityki zagranicznej i bezpieczeństwa (</w:t>
      </w:r>
      <w:proofErr w:type="spellStart"/>
      <w:r w:rsidRPr="00A061BF">
        <w:rPr>
          <w:b/>
          <w:i/>
        </w:rPr>
        <w:t>WPZiB</w:t>
      </w:r>
      <w:proofErr w:type="spellEnd"/>
      <w:r w:rsidRPr="00A061BF">
        <w:rPr>
          <w:b/>
          <w:i/>
        </w:rPr>
        <w:t>) oraz postępy poczynione w rozwiązywaniu konfliktu dotyczącego Naddniestrza</w:t>
      </w:r>
    </w:p>
    <w:p w:rsidR="00A47CDE" w:rsidRDefault="00B60E73" w:rsidP="00A47CDE">
      <w:pPr>
        <w:shd w:val="clear" w:color="auto" w:fill="FFFFFF" w:themeFill="background1"/>
        <w:spacing w:before="120" w:after="120"/>
        <w:ind w:left="567" w:hanging="567"/>
        <w:rPr>
          <w:rStyle w:val="NormalHanging12aChar"/>
        </w:rPr>
      </w:pPr>
      <w:r w:rsidRPr="00A061BF">
        <w:t>31.</w:t>
      </w:r>
      <w:r w:rsidRPr="00A061BF">
        <w:tab/>
      </w:r>
      <w:proofErr w:type="gramStart"/>
      <w:r w:rsidRPr="00A061BF">
        <w:rPr>
          <w:rStyle w:val="NormalHanging12aChar"/>
        </w:rPr>
        <w:t>z</w:t>
      </w:r>
      <w:proofErr w:type="gramEnd"/>
      <w:r w:rsidRPr="00A061BF">
        <w:rPr>
          <w:rStyle w:val="NormalHanging12aChar"/>
        </w:rPr>
        <w:t xml:space="preserve"> zadowoleniem przyjmuje konsekwentną współpracę Mołdawii w kwestiach polityki zagranicznej oraz znaczny wzrost wskaźnika przyłączania się Mołdawii do unijnych stanowisk i środków ograniczających w ramach </w:t>
      </w:r>
      <w:proofErr w:type="spellStart"/>
      <w:r w:rsidRPr="00A061BF">
        <w:rPr>
          <w:rStyle w:val="NormalHanging12aChar"/>
        </w:rPr>
        <w:t>WPZiB</w:t>
      </w:r>
      <w:proofErr w:type="spellEnd"/>
      <w:r w:rsidRPr="00A061BF">
        <w:rPr>
          <w:rStyle w:val="NormalHanging12aChar"/>
        </w:rPr>
        <w:t>, konkretnie z 54% w 2022 r. do 86% w 2024 r.; zachęca Mołdawię do jeszcze częstszego przyłączania się do unijnych stanowisk i środków ograniczających, w tym środków ograniczających wobec Rosji, oraz do kontynuowania współpracy na rzecz zapobiegania obchodzeniu sankcji nałożonych na Rosję i Białoruś w związku z rosyjską wojną napastniczą przeciwko Ukrainie;</w:t>
      </w:r>
    </w:p>
    <w:p w:rsidR="00B60E73" w:rsidRPr="00A061BF" w:rsidRDefault="00B60E73" w:rsidP="00A47CDE">
      <w:pPr>
        <w:pStyle w:val="NormalHanging12a"/>
        <w:spacing w:before="120" w:after="120"/>
      </w:pPr>
      <w:r w:rsidRPr="00A061BF">
        <w:t>32.</w:t>
      </w:r>
      <w:r w:rsidRPr="00A061BF">
        <w:tab/>
      </w:r>
      <w:proofErr w:type="gramStart"/>
      <w:r w:rsidRPr="00A061BF">
        <w:t>podkreśla</w:t>
      </w:r>
      <w:proofErr w:type="gramEnd"/>
      <w:r w:rsidRPr="00A061BF">
        <w:t>, że Mołdawia wnosi kluczowy wkład w bezpieczeństwo regionalne i europejskie, w tym dzięki niezachwianemu poparciu dla Ukrainy od początku rosyjskiej wojny napastniczej, gdyż na przykład przyjmuje ukraińskich uchodźców wojennych i wnosi wkład do Unijnego Mechanizmu Ochrony Ludności w postaci wysłania zespołów straży pożarnej do gaszenia poważnych pożarów lasów w Grecji;</w:t>
      </w:r>
    </w:p>
    <w:p w:rsidR="00A47CDE" w:rsidRDefault="00B60E73" w:rsidP="00A47CDE">
      <w:pPr>
        <w:shd w:val="clear" w:color="auto" w:fill="FFFFFF" w:themeFill="background1"/>
        <w:spacing w:before="120" w:after="120"/>
        <w:ind w:left="567" w:hanging="567"/>
        <w:rPr>
          <w:rStyle w:val="NormalHanging12aChar"/>
        </w:rPr>
      </w:pPr>
      <w:r w:rsidRPr="00A061BF">
        <w:t>33.</w:t>
      </w:r>
      <w:r w:rsidRPr="00A061BF">
        <w:tab/>
      </w:r>
      <w:proofErr w:type="gramStart"/>
      <w:r w:rsidRPr="00A061BF">
        <w:rPr>
          <w:rStyle w:val="NormalHanging12aChar"/>
        </w:rPr>
        <w:t>wyraża</w:t>
      </w:r>
      <w:proofErr w:type="gramEnd"/>
      <w:r w:rsidRPr="00A061BF">
        <w:rPr>
          <w:rStyle w:val="NormalHanging12aChar"/>
        </w:rPr>
        <w:t xml:space="preserve"> poparcie dla EUPM w Mołdawii i wzywa państwa członkowskie do zaangażowania niezbędnych ekspertów i zasobów finansowych w przewidywanie potencjalnej intensyfikacji zagrożeń hybrydowych; z zadowoleniem przyjmuje niedawne przedłużenie mandatu EUPM do kwietnia 2026 r.; zachęca władze mołdawskie do pełnego wykorzystania wiedzy fachowej EUPM w celu zwiększenia swojej gotowości, w szczególności w świetle powtarzających ingerencji wyborczych przed wyborami parlamentarnymi zaplanowanymi na 28 września 2025 r.; wzywa UE, aby wykorzystała doświadczenia zdobyte w Mołdawii do ochrony procesu wyborczego i instytucji demokratycznych w samej UE; zachęca Europejską Służbę Działań Zewnętrznych i Komisję do wykorzystania wszystkich dostępnych unijnych instrumentów w obszarze przeciwdziałania zagrożeniom hybrydowym w celu dalszego </w:t>
      </w:r>
      <w:proofErr w:type="gramStart"/>
      <w:r w:rsidRPr="00A061BF">
        <w:rPr>
          <w:rStyle w:val="NormalHanging12aChar"/>
        </w:rPr>
        <w:t>wspierania</w:t>
      </w:r>
      <w:proofErr w:type="gramEnd"/>
      <w:r w:rsidRPr="00A061BF">
        <w:rPr>
          <w:rStyle w:val="NormalHanging12aChar"/>
        </w:rPr>
        <w:t xml:space="preserve"> Mołdawii, w tym przez szybkie rozmieszczenie unijnego zespołu szybkiego reagowania na zagrożenia hybrydowe; z zadowoleniem przyjmuje utworzenie w Mołdawii Centrum Komunikacji Strategicznej i Przeciwdziałania Dezinformacji, które ma koordynować walkę różnych mołdawskich instytucji z ingerencjami z zagranicy, a także powołanie Krajowej Agencji ds. </w:t>
      </w:r>
      <w:proofErr w:type="spellStart"/>
      <w:r w:rsidRPr="00A061BF">
        <w:rPr>
          <w:rStyle w:val="NormalHanging12aChar"/>
        </w:rPr>
        <w:t>Cyberbezpieczeństwa</w:t>
      </w:r>
      <w:proofErr w:type="spellEnd"/>
      <w:r w:rsidRPr="00A061BF">
        <w:rPr>
          <w:rStyle w:val="NormalHanging12aChar"/>
        </w:rPr>
        <w:t xml:space="preserve"> i Krajowego Instytutu ds. Innowacji w dziedzinie </w:t>
      </w:r>
      <w:proofErr w:type="spellStart"/>
      <w:r w:rsidRPr="00A061BF">
        <w:rPr>
          <w:rStyle w:val="NormalHanging12aChar"/>
        </w:rPr>
        <w:t>Cyberbezpieczeństwa</w:t>
      </w:r>
      <w:proofErr w:type="spellEnd"/>
      <w:r w:rsidRPr="00A061BF">
        <w:rPr>
          <w:rStyle w:val="NormalHanging12aChar"/>
        </w:rPr>
        <w:t xml:space="preserve">; zwraca uwagę, że w przyjętej w grudniu 2023 r. mołdawskiej strategii bezpieczeństwa narodowego podkreślono, iż przystąpienie do UE jest najważniejszym celem, i po raz pierwszy wskazano Rosję jako źródło głównych zagrożeń dla bezpieczeństwa Mołdawii; podkreśla, jak ważne jest usprawnienie wymiany informacji i współpracy wywiadowczej między Mołdawią a UE i </w:t>
      </w:r>
      <w:proofErr w:type="gramStart"/>
      <w:r w:rsidRPr="00A061BF">
        <w:rPr>
          <w:rStyle w:val="NormalHanging12aChar"/>
        </w:rPr>
        <w:t>jej</w:t>
      </w:r>
      <w:proofErr w:type="gramEnd"/>
      <w:r w:rsidRPr="00A061BF">
        <w:rPr>
          <w:rStyle w:val="NormalHanging12aChar"/>
        </w:rPr>
        <w:t xml:space="preserve"> państwami członkowskimi w zakresie zagrożeń dla bezpieczeństwa;</w:t>
      </w:r>
    </w:p>
    <w:p w:rsidR="00A47CDE" w:rsidRDefault="00B60E73" w:rsidP="00A47CDE">
      <w:pPr>
        <w:shd w:val="clear" w:color="auto" w:fill="FFFFFF" w:themeFill="background1"/>
        <w:spacing w:before="120" w:after="120"/>
        <w:ind w:left="567" w:hanging="567"/>
      </w:pPr>
      <w:r w:rsidRPr="00A061BF">
        <w:t>34.</w:t>
      </w:r>
      <w:r w:rsidRPr="00A061BF">
        <w:tab/>
      </w:r>
      <w:proofErr w:type="gramStart"/>
      <w:r w:rsidRPr="00A061BF">
        <w:rPr>
          <w:rStyle w:val="NormalHanging12aChar"/>
        </w:rPr>
        <w:t>ponownie</w:t>
      </w:r>
      <w:proofErr w:type="gramEnd"/>
      <w:r w:rsidRPr="00A061BF">
        <w:rPr>
          <w:rStyle w:val="NormalHanging12aChar"/>
        </w:rPr>
        <w:t xml:space="preserve"> podkreśla swoje pełne zaangażowanie w kwestię integralności terytorialnej Mołdawii i pokojowego rozwiązania konfliktu, którego podstawą powinna być suwerenność i integralność terytorialna Mołdawii w jej granicach uznanych przez społeczność międzynarodową;</w:t>
      </w:r>
    </w:p>
    <w:p w:rsidR="00A47CDE" w:rsidRDefault="00B60E73" w:rsidP="00A47CDE">
      <w:pPr>
        <w:shd w:val="clear" w:color="auto" w:fill="FFFFFF" w:themeFill="background1"/>
        <w:spacing w:before="120" w:after="120"/>
        <w:ind w:left="567" w:hanging="567"/>
        <w:rPr>
          <w:rStyle w:val="NormalHanging12aChar"/>
        </w:rPr>
      </w:pPr>
      <w:r w:rsidRPr="00A061BF">
        <w:t>35.</w:t>
      </w:r>
      <w:r w:rsidRPr="00A061BF">
        <w:tab/>
      </w:r>
      <w:proofErr w:type="gramStart"/>
      <w:r w:rsidRPr="00A061BF">
        <w:rPr>
          <w:rStyle w:val="NormalHanging12aChar"/>
        </w:rPr>
        <w:t>z</w:t>
      </w:r>
      <w:proofErr w:type="gramEnd"/>
      <w:r w:rsidRPr="00A061BF">
        <w:rPr>
          <w:rStyle w:val="NormalHanging12aChar"/>
        </w:rPr>
        <w:t xml:space="preserve"> zadowoleniem przyjmuje inicjatywy Komisji mające na celu włączenie proaktywnego wsparcia dla regionu Naddniestrza do pakietów wsparcia na wypadek kryzysu energetycznego oraz wymianę informacji i praktyczną współpracę między rządem Mołdawii a faktycznymi władzami regionu Naddniestrza w czasie kryzysu energetycznego wywołanego przez Rosję; z zadowoleniem przyjmuje postępy poczynione w zakresie warunkowości wobec </w:t>
      </w:r>
      <w:proofErr w:type="spellStart"/>
      <w:r w:rsidRPr="00A061BF">
        <w:rPr>
          <w:rStyle w:val="NormalHanging12aChar"/>
        </w:rPr>
        <w:t>Tyraspola</w:t>
      </w:r>
      <w:proofErr w:type="spellEnd"/>
      <w:r w:rsidRPr="00A061BF">
        <w:rPr>
          <w:rStyle w:val="NormalHanging12aChar"/>
        </w:rPr>
        <w:t xml:space="preserve"> w świetle niedawnego porozumienia dotyczącego tranzytu gazu i wzywa do pełnej realizacji tych warunków, w tym do uwolnienia wszystkich więźniów politycznych przez Tyraspol oraz do likwidacji pozostałych nielegalnych punktów kontrolnych;</w:t>
      </w:r>
    </w:p>
    <w:p w:rsidR="00A47CDE" w:rsidRDefault="00B60E73" w:rsidP="00A47CDE">
      <w:pPr>
        <w:shd w:val="clear" w:color="auto" w:fill="FFFFFF" w:themeFill="background1"/>
        <w:spacing w:before="120" w:after="120"/>
        <w:ind w:left="567" w:hanging="567"/>
        <w:rPr>
          <w:rStyle w:val="NormalHanging12aChar"/>
        </w:rPr>
      </w:pPr>
      <w:r w:rsidRPr="00A061BF">
        <w:t>36.</w:t>
      </w:r>
      <w:r w:rsidRPr="00A061BF">
        <w:tab/>
      </w:r>
      <w:r w:rsidRPr="00A061BF">
        <w:rPr>
          <w:rStyle w:val="NormalHanging12aChar"/>
        </w:rPr>
        <w:t xml:space="preserve">z zadowoleniem przyjmuje duże zainteresowanie Mołdawii wkładem we wspólną politykę bezpieczeństwa i obrony UE oraz fakt, że Mołdawia jest pierwszym krajem, który podpisał z UE partnerstwo w dziedzinie bezpieczeństwa i obrony; z zadowoleniem przyjmuje dalszy aktywny udział Mołdawii w misjach i operacjach UE w ramach </w:t>
      </w:r>
      <w:proofErr w:type="spellStart"/>
      <w:r w:rsidRPr="00A061BF">
        <w:rPr>
          <w:rStyle w:val="NormalHanging12aChar"/>
        </w:rPr>
        <w:t>WPBiO</w:t>
      </w:r>
      <w:proofErr w:type="spellEnd"/>
      <w:r w:rsidRPr="00A061BF">
        <w:rPr>
          <w:rStyle w:val="NormalHanging12aChar"/>
        </w:rPr>
        <w:t xml:space="preserve">, </w:t>
      </w:r>
      <w:r w:rsidR="00C6615F" w:rsidRPr="00C6615F">
        <w:rPr>
          <w:rStyle w:val="NormalHanging12aChar"/>
        </w:rPr>
        <w:t>, takich jak operacja sił UE w Bośni i Hercegowinie (</w:t>
      </w:r>
      <w:proofErr w:type="spellStart"/>
      <w:r w:rsidR="00C6615F" w:rsidRPr="00C6615F">
        <w:rPr>
          <w:rStyle w:val="NormalHanging12aChar"/>
        </w:rPr>
        <w:t>Althea</w:t>
      </w:r>
      <w:proofErr w:type="spellEnd"/>
      <w:r w:rsidR="00C6615F" w:rsidRPr="00C6615F">
        <w:rPr>
          <w:rStyle w:val="NormalHanging12aChar"/>
        </w:rPr>
        <w:t xml:space="preserve">) oraz misja szkoleniowa UE w Somalii, a także zainteresowanie </w:t>
      </w:r>
      <w:proofErr w:type="gramStart"/>
      <w:r w:rsidR="00C6615F" w:rsidRPr="00C6615F">
        <w:rPr>
          <w:rStyle w:val="NormalHanging12aChar"/>
        </w:rPr>
        <w:t xml:space="preserve">Mołdawii </w:t>
      </w:r>
      <w:r w:rsidRPr="00A061BF">
        <w:rPr>
          <w:rStyle w:val="NormalHanging12aChar"/>
        </w:rPr>
        <w:t xml:space="preserve"> uczestnictwem</w:t>
      </w:r>
      <w:proofErr w:type="gramEnd"/>
      <w:r w:rsidRPr="00A061BF">
        <w:rPr>
          <w:rStyle w:val="NormalHanging12aChar"/>
        </w:rPr>
        <w:t xml:space="preserve"> w projektach PESCO oraz trwające negocjacje nad umową ramową z Europejską Agencją Obrony; wzywa UE do włączenia Mołdawii do unijnych programów bezpieczeństwa i obrony oraz powiązanych z nimi przydziałów budżetowych, w tym do </w:t>
      </w:r>
      <w:proofErr w:type="gramStart"/>
      <w:r w:rsidRPr="00A061BF">
        <w:rPr>
          <w:rStyle w:val="NormalHanging12aChar"/>
        </w:rPr>
        <w:t>programu</w:t>
      </w:r>
      <w:proofErr w:type="gramEnd"/>
      <w:r w:rsidRPr="00A061BF">
        <w:rPr>
          <w:rStyle w:val="NormalHanging12aChar"/>
        </w:rPr>
        <w:t xml:space="preserve"> na rzecz europejskiego przemysłu obronnego i gotowości na 2030 r., co umożliwi temu krajowi udział we wspólnych zamówieniach wraz z państwami członkowskimi;</w:t>
      </w:r>
    </w:p>
    <w:p w:rsidR="00A47CDE" w:rsidRDefault="00B60E73" w:rsidP="00A47CDE">
      <w:pPr>
        <w:pStyle w:val="NormalHanging12a"/>
        <w:spacing w:before="120" w:after="120"/>
      </w:pPr>
      <w:r w:rsidRPr="00A061BF">
        <w:t>37.</w:t>
      </w:r>
      <w:r w:rsidRPr="00A061BF">
        <w:tab/>
      </w:r>
      <w:proofErr w:type="gramStart"/>
      <w:r w:rsidRPr="00A061BF">
        <w:t>z</w:t>
      </w:r>
      <w:proofErr w:type="gramEnd"/>
      <w:r w:rsidRPr="00A061BF">
        <w:t xml:space="preserve"> zadowoleniem przyjmuje przyznanie 50 mln EUR na modernizację zdolności obronnych sił zbrojnych Mołdawii w kontekście obecnych zagrożeń bezpieczeństwa w ramach Europejskiego Instrumentu na rzecz Pokoju na 2024 r.; zwraca uwagę, że Mołdawia jest drugim co do wielkości beneficjentem tego instrumentu po Ukrainie oraz że od 2021 r. otrzymała w sumie 137 mln EUR; z zadowoleniem przyjmuje zapowiedziane wsparcie w wysokości 60 mln EUR, które ma zostać przekazane Mołdawii z budżetu tego instrumentu w 2025 r.; wzywa państwa członkowskie do stopniowego zwiększania finansowania z Europejskiego Instrumentu na rzecz Pokoju dla Mołdawii w celu dalszego wzmacniania zdolności obronnych tego kraju;</w:t>
      </w:r>
    </w:p>
    <w:p w:rsidR="00B60E73" w:rsidRPr="00A061BF" w:rsidRDefault="00B60E73" w:rsidP="00A47CDE">
      <w:pPr>
        <w:pStyle w:val="NormalHanging12a"/>
        <w:spacing w:before="120" w:after="120"/>
        <w:jc w:val="center"/>
      </w:pPr>
      <w:r w:rsidRPr="00A061BF">
        <w:t>°</w:t>
      </w:r>
    </w:p>
    <w:p w:rsidR="00B60E73" w:rsidRPr="00A061BF" w:rsidRDefault="00B60E73" w:rsidP="00A47CDE">
      <w:pPr>
        <w:pStyle w:val="NormalHanging12a"/>
        <w:spacing w:before="120" w:after="120"/>
        <w:jc w:val="center"/>
      </w:pPr>
      <w:r w:rsidRPr="00A061BF">
        <w:t>°</w:t>
      </w:r>
      <w:r w:rsidRPr="00A061BF">
        <w:tab/>
        <w:t>°</w:t>
      </w:r>
    </w:p>
    <w:p w:rsidR="00A47CDE" w:rsidRDefault="00B60E73" w:rsidP="00A47CDE">
      <w:pPr>
        <w:pStyle w:val="NormalHanging12a"/>
        <w:spacing w:before="120" w:after="120"/>
      </w:pPr>
      <w:r w:rsidRPr="00A061BF">
        <w:t>38.</w:t>
      </w:r>
      <w:r w:rsidRPr="00A061BF">
        <w:tab/>
      </w:r>
      <w:proofErr w:type="gramStart"/>
      <w:r w:rsidRPr="00A061BF">
        <w:t>zobowiązuje</w:t>
      </w:r>
      <w:proofErr w:type="gramEnd"/>
      <w:r w:rsidRPr="00A061BF">
        <w:t xml:space="preserve"> swoją przewodniczącą do przekazania niniejszej rezolucji Radzie, Komisji, wiceprzewodniczącej Komisji / wysokiej przedstawicielce Unii do spraw zagranicznych i polityki bezpieczeństwa, a także prezydent, rządowi i parlamentowi Republiki Mołdawii.</w:t>
      </w:r>
    </w:p>
    <w:p w:rsidR="00E365E1" w:rsidRPr="00A061BF" w:rsidRDefault="00E365E1" w:rsidP="00670C30"/>
    <w:sectPr w:rsidR="00E365E1" w:rsidRPr="00A061BF" w:rsidSect="00A061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C30" w:rsidRPr="00A061BF" w:rsidRDefault="00670C30">
      <w:r w:rsidRPr="00A061BF">
        <w:separator/>
      </w:r>
    </w:p>
  </w:endnote>
  <w:endnote w:type="continuationSeparator" w:id="0">
    <w:p w:rsidR="00670C30" w:rsidRPr="00A061BF" w:rsidRDefault="00670C30">
      <w:r w:rsidRPr="00A061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61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61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61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C30" w:rsidRPr="00A061BF" w:rsidRDefault="00670C30">
      <w:r w:rsidRPr="00A061BF">
        <w:separator/>
      </w:r>
    </w:p>
  </w:footnote>
  <w:footnote w:type="continuationSeparator" w:id="0">
    <w:p w:rsidR="00670C30" w:rsidRPr="00A061BF" w:rsidRDefault="00670C30">
      <w:r w:rsidRPr="00A061BF">
        <w:continuationSeparator/>
      </w:r>
    </w:p>
  </w:footnote>
  <w:footnote w:id="1">
    <w:p w:rsidR="00B60E73" w:rsidRPr="00C6615F" w:rsidRDefault="00B60E73" w:rsidP="00A061BF">
      <w:pPr>
        <w:pStyle w:val="FootnoteText"/>
        <w:ind w:left="567" w:hanging="567"/>
        <w:rPr>
          <w:sz w:val="24"/>
          <w:lang w:val="fi-FI"/>
        </w:rPr>
      </w:pPr>
      <w:r w:rsidRPr="00A061BF">
        <w:rPr>
          <w:rStyle w:val="FootnoteReference"/>
          <w:sz w:val="24"/>
          <w:lang w:val="pl-PL"/>
        </w:rPr>
        <w:footnoteRef/>
      </w:r>
      <w:r w:rsidR="00A061BF" w:rsidRPr="00C6615F">
        <w:rPr>
          <w:sz w:val="24"/>
          <w:lang w:val="fi-FI"/>
        </w:rPr>
        <w:t xml:space="preserve"> </w:t>
      </w:r>
      <w:r w:rsidR="00A061BF" w:rsidRPr="00C6615F">
        <w:rPr>
          <w:sz w:val="24"/>
          <w:lang w:val="fi-FI"/>
        </w:rPr>
        <w:tab/>
      </w:r>
      <w:r w:rsidRPr="00C6615F">
        <w:rPr>
          <w:sz w:val="24"/>
          <w:lang w:val="fi-FI"/>
        </w:rPr>
        <w:t xml:space="preserve">Dz.U. L, 2025/535, 21.3.2025, ELI: </w:t>
      </w:r>
      <w:r w:rsidR="00C6615F">
        <w:fldChar w:fldCharType="begin"/>
      </w:r>
      <w:r w:rsidR="00C6615F" w:rsidRPr="00C6615F">
        <w:rPr>
          <w:lang w:val="fi-FI"/>
        </w:rPr>
        <w:instrText xml:space="preserve"> HYPERLINK "http://data.europa.eu/eli/reg/2025/535/oj" </w:instrText>
      </w:r>
      <w:r w:rsidR="00C6615F">
        <w:fldChar w:fldCharType="separate"/>
      </w:r>
      <w:r w:rsidRPr="00C6615F">
        <w:rPr>
          <w:rStyle w:val="Hyperlink"/>
          <w:sz w:val="24"/>
          <w:lang w:val="fi-FI"/>
        </w:rPr>
        <w:t>http://data.europa.eu/eli/reg/2025/535/oj</w:t>
      </w:r>
      <w:r w:rsidR="00C6615F">
        <w:rPr>
          <w:rStyle w:val="Hyperlink"/>
          <w:sz w:val="24"/>
          <w:lang w:val="pl-PL"/>
        </w:rPr>
        <w:fldChar w:fldCharType="end"/>
      </w:r>
      <w:r w:rsidRPr="00C6615F">
        <w:rPr>
          <w:sz w:val="24"/>
          <w:lang w:val="fi-FI"/>
        </w:rPr>
        <w:t>.</w:t>
      </w:r>
    </w:p>
  </w:footnote>
  <w:footnote w:id="2">
    <w:p w:rsidR="00B60E73" w:rsidRPr="00A061BF" w:rsidRDefault="00B60E73" w:rsidP="00A061BF">
      <w:pPr>
        <w:pStyle w:val="FootnoteText"/>
        <w:ind w:left="567" w:hanging="567"/>
        <w:rPr>
          <w:sz w:val="24"/>
          <w:lang w:val="pl-PL"/>
        </w:rPr>
      </w:pPr>
      <w:r w:rsidRPr="00A061BF">
        <w:rPr>
          <w:rStyle w:val="FootnoteReference"/>
          <w:sz w:val="24"/>
          <w:lang w:val="pl-PL"/>
        </w:rPr>
        <w:footnoteRef/>
      </w:r>
      <w:r w:rsidR="00A061BF" w:rsidRPr="00A061BF">
        <w:rPr>
          <w:sz w:val="24"/>
          <w:shd w:val="clear" w:color="auto" w:fill="FFFFFF"/>
          <w:lang w:val="pl-PL"/>
        </w:rPr>
        <w:t xml:space="preserve"> </w:t>
      </w:r>
      <w:r w:rsidR="00A061BF" w:rsidRPr="00A061BF">
        <w:rPr>
          <w:sz w:val="24"/>
          <w:shd w:val="clear" w:color="auto" w:fill="FFFFFF"/>
          <w:lang w:val="pl-PL"/>
        </w:rPr>
        <w:tab/>
      </w:r>
      <w:r w:rsidRPr="00A061BF">
        <w:rPr>
          <w:sz w:val="24"/>
          <w:shd w:val="clear" w:color="auto" w:fill="FFFFFF"/>
          <w:lang w:val="pl-PL"/>
        </w:rPr>
        <w:t>Układ o stowarzyszeniu między Unią Europejską i Europejską Wspólnotą Energii Atomowej oraz ich państwami członkowskimi, z jednej strony, a Repub</w:t>
      </w:r>
      <w:r w:rsidR="00A47CDE">
        <w:rPr>
          <w:sz w:val="24"/>
          <w:shd w:val="clear" w:color="auto" w:fill="FFFFFF"/>
          <w:lang w:val="pl-PL"/>
        </w:rPr>
        <w:t>liką Mołdawii, z drugiej strony</w:t>
      </w:r>
      <w:r w:rsidRPr="00A061BF">
        <w:rPr>
          <w:sz w:val="24"/>
          <w:shd w:val="clear" w:color="auto" w:fill="FFFFFF"/>
          <w:lang w:val="pl-PL"/>
        </w:rPr>
        <w:t xml:space="preserve"> </w:t>
      </w:r>
      <w:r w:rsidR="00A47CDE">
        <w:rPr>
          <w:sz w:val="24"/>
          <w:shd w:val="clear" w:color="auto" w:fill="FFFFFF"/>
          <w:lang w:val="pl-PL"/>
        </w:rPr>
        <w:t>(</w:t>
      </w:r>
      <w:r w:rsidRPr="00A47CDE">
        <w:rPr>
          <w:rStyle w:val="Emphasis"/>
          <w:i w:val="0"/>
          <w:sz w:val="24"/>
          <w:shd w:val="clear" w:color="auto" w:fill="FFFFFF"/>
          <w:lang w:val="pl-PL"/>
        </w:rPr>
        <w:t xml:space="preserve">Dz.U. L 260 z 30.8.2014, s. 4, </w:t>
      </w:r>
      <w:r w:rsidRPr="00A061BF">
        <w:rPr>
          <w:sz w:val="24"/>
          <w:shd w:val="clear" w:color="auto" w:fill="FFFFFF"/>
          <w:lang w:val="pl-PL"/>
        </w:rPr>
        <w:t>ELI</w:t>
      </w:r>
      <w:proofErr w:type="gramStart"/>
      <w:r w:rsidRPr="00A061BF">
        <w:rPr>
          <w:sz w:val="24"/>
          <w:shd w:val="clear" w:color="auto" w:fill="FFFFFF"/>
          <w:lang w:val="pl-PL"/>
        </w:rPr>
        <w:t>: </w:t>
      </w:r>
      <w:r w:rsidRPr="00A061BF">
        <w:fldChar w:fldCharType="begin"/>
      </w:r>
      <w:r w:rsidRPr="00A061BF">
        <w:rPr>
          <w:sz w:val="24"/>
          <w:lang w:val="pl-PL"/>
        </w:rPr>
        <w:instrText xml:space="preserve"> HYPERLINK "http://data.europa.eu/eli/agree_internation/2014/492/oj" \o "Dostęp do tego dokumentu za pośrednictwem jego</w:instrText>
      </w:r>
      <w:proofErr w:type="gramEnd"/>
      <w:r w:rsidRPr="00A061BF">
        <w:rPr>
          <w:sz w:val="24"/>
          <w:lang w:val="pl-PL"/>
        </w:rPr>
        <w:instrText xml:space="preserve"> ELI URI." </w:instrText>
      </w:r>
      <w:r w:rsidRPr="00A061BF">
        <w:fldChar w:fldCharType="separate"/>
      </w:r>
      <w:r w:rsidRPr="00A061BF">
        <w:rPr>
          <w:rStyle w:val="Hyperlink"/>
          <w:sz w:val="24"/>
          <w:shd w:val="clear" w:color="auto" w:fill="FFFFFF"/>
          <w:lang w:val="pl-PL"/>
        </w:rPr>
        <w:t>http://data.europa.eu/eli/agree_internation/2014/492/oj</w:t>
      </w:r>
      <w:r w:rsidRPr="00A061BF">
        <w:rPr>
          <w:rStyle w:val="Hyperlink"/>
          <w:color w:val="auto"/>
          <w:sz w:val="24"/>
          <w:u w:val="none"/>
          <w:shd w:val="clear" w:color="auto" w:fill="FFFFFF"/>
          <w:lang w:val="pl-PL"/>
        </w:rPr>
        <w:fldChar w:fldCharType="end"/>
      </w:r>
      <w:r w:rsidR="00A47CDE">
        <w:rPr>
          <w:rStyle w:val="Hyperlink"/>
          <w:color w:val="auto"/>
          <w:sz w:val="24"/>
          <w:u w:val="none"/>
          <w:shd w:val="clear" w:color="auto" w:fill="FFFFFF"/>
          <w:lang w:val="pl-PL"/>
        </w:rPr>
        <w:t>)</w:t>
      </w:r>
      <w:r w:rsidRPr="00A061BF">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61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61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61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6/2025"/>
    <w:docVar w:name="dvlangue" w:val="PL"/>
    <w:docVar w:name="dvnumam" w:val="0"/>
    <w:docVar w:name="dvpe" w:val="768.179"/>
    <w:docVar w:name="dvrapporteur" w:val="Sprawozdawca: "/>
    <w:docVar w:name="dvtitre" w:val="Rezolucja Parlamentu Europejskiego z dnia  2025 r. w sprawie sprawozdań Komisji dotyczących Mołdawii za lata 2023 i 2024(2025/2025(INI))"/>
  </w:docVars>
  <w:rsids>
    <w:rsidRoot w:val="00670C3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0C3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1BF"/>
    <w:rsid w:val="00A1687D"/>
    <w:rsid w:val="00A43E52"/>
    <w:rsid w:val="00A4678D"/>
    <w:rsid w:val="00A47CDE"/>
    <w:rsid w:val="00A778C7"/>
    <w:rsid w:val="00AB441E"/>
    <w:rsid w:val="00AB6293"/>
    <w:rsid w:val="00AE0928"/>
    <w:rsid w:val="00AF3B82"/>
    <w:rsid w:val="00B12E95"/>
    <w:rsid w:val="00B22876"/>
    <w:rsid w:val="00B558F0"/>
    <w:rsid w:val="00B60E73"/>
    <w:rsid w:val="00BD48FE"/>
    <w:rsid w:val="00BD7BD8"/>
    <w:rsid w:val="00BE6ADC"/>
    <w:rsid w:val="00C05BFE"/>
    <w:rsid w:val="00C23CD4"/>
    <w:rsid w:val="00C61C0C"/>
    <w:rsid w:val="00C6615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32D84"/>
  <w15:chartTrackingRefBased/>
  <w15:docId w15:val="{B9AE90AC-0DDE-46A2-8B44-BE6B3623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autoRedefine/>
    <w:rsid w:val="00B60E73"/>
    <w:pPr>
      <w:spacing w:after="240"/>
      <w:ind w:left="567" w:hanging="567"/>
    </w:pPr>
  </w:style>
  <w:style w:type="paragraph" w:customStyle="1" w:styleId="EPComma">
    <w:name w:val="EPComma"/>
    <w:basedOn w:val="Normal"/>
    <w:rsid w:val="00B60E73"/>
    <w:pPr>
      <w:spacing w:before="480" w:after="240"/>
    </w:pPr>
  </w:style>
  <w:style w:type="character" w:customStyle="1" w:styleId="NormalHanging12aChar">
    <w:name w:val="NormalHanging12a Char"/>
    <w:basedOn w:val="DefaultParagraphFont"/>
    <w:link w:val="NormalHanging12a"/>
    <w:locked/>
    <w:rsid w:val="00B60E73"/>
    <w:rPr>
      <w:sz w:val="24"/>
      <w:lang w:val="pl-PL"/>
    </w:rPr>
  </w:style>
  <w:style w:type="character" w:styleId="Emphasis">
    <w:name w:val="Emphasis"/>
    <w:basedOn w:val="DefaultParagraphFont"/>
    <w:uiPriority w:val="20"/>
    <w:qFormat/>
    <w:rsid w:val="00B60E73"/>
    <w:rPr>
      <w:i/>
      <w:iCs/>
    </w:rPr>
  </w:style>
  <w:style w:type="character" w:styleId="Hyperlink">
    <w:name w:val="Hyperlink"/>
    <w:basedOn w:val="DefaultParagraphFont"/>
    <w:uiPriority w:val="99"/>
    <w:unhideWhenUsed/>
    <w:rsid w:val="00B60E73"/>
    <w:rPr>
      <w:color w:val="0000FF"/>
      <w:u w:val="single"/>
    </w:rPr>
  </w:style>
  <w:style w:type="character" w:customStyle="1" w:styleId="highlight-diff">
    <w:name w:val="highlight-diff"/>
    <w:basedOn w:val="DefaultParagraphFont"/>
    <w:rsid w:val="00B60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E55DD-6DFF-41EE-A63D-F0D7076DE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3655</Words>
  <Characters>24454</Characters>
  <Application>Microsoft Office Word</Application>
  <DocSecurity>0</DocSecurity>
  <Lines>203</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2025-06-18T12:20:00Z</dcterms:created>
  <dcterms:modified xsi:type="dcterms:W3CDTF">2025-06-18T12:20:00Z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A10-0096/2025</vt:lpwstr>
  </property>
  <property fmtid="{D5CDD505-2E9C-101B-9397-08002B2CF9AE}" pid="4" name="&lt;Type&gt;">
    <vt:lpwstr>RR</vt:lpwstr>
  </property>
</Properties>
</file>