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79EF" w14:paraId="3A7909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76CC78" w14:textId="77777777" w:rsidR="00751A4A" w:rsidRPr="006E79EF" w:rsidRDefault="00324BEC" w:rsidP="0010095E">
            <w:pPr>
              <w:pStyle w:val="EPName"/>
            </w:pPr>
            <w:bookmarkStart w:id="0" w:name="_GoBack"/>
            <w:bookmarkEnd w:id="0"/>
            <w:r w:rsidRPr="006E79EF">
              <w:t>Parlamento Europeu</w:t>
            </w:r>
          </w:p>
          <w:p w14:paraId="708EEDFC" w14:textId="77777777" w:rsidR="00751A4A" w:rsidRPr="006E79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79EF">
              <w:t>2024</w:t>
            </w:r>
            <w:r w:rsidR="00817416" w:rsidRPr="006E79EF">
              <w:t>-202</w:t>
            </w:r>
            <w:r w:rsidRPr="006E79EF">
              <w:t>9</w:t>
            </w:r>
          </w:p>
        </w:tc>
        <w:tc>
          <w:tcPr>
            <w:tcW w:w="2268" w:type="dxa"/>
            <w:shd w:val="clear" w:color="auto" w:fill="auto"/>
          </w:tcPr>
          <w:p w14:paraId="364CC6F2" w14:textId="77777777" w:rsidR="00751A4A" w:rsidRPr="006E79EF" w:rsidRDefault="00187494" w:rsidP="0010095E">
            <w:pPr>
              <w:pStyle w:val="EPLogo"/>
            </w:pPr>
            <w:r w:rsidRPr="006E79EF">
              <w:rPr>
                <w:noProof/>
                <w:lang w:val="en-GB"/>
              </w:rPr>
              <w:drawing>
                <wp:inline distT="0" distB="0" distL="0" distR="0" wp14:anchorId="13BF45F9" wp14:editId="2BEC25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5D4171" w14:textId="77777777" w:rsidR="00D058B8" w:rsidRPr="006E79EF" w:rsidRDefault="00D058B8" w:rsidP="004C5D52">
      <w:pPr>
        <w:pStyle w:val="LineTop"/>
      </w:pPr>
    </w:p>
    <w:p w14:paraId="24A46059" w14:textId="77777777" w:rsidR="00680577" w:rsidRPr="006E79EF" w:rsidRDefault="00324BEC" w:rsidP="00680577">
      <w:pPr>
        <w:pStyle w:val="EPBodyTA1"/>
      </w:pPr>
      <w:r w:rsidRPr="006E79EF">
        <w:t>TEXTOS APROVADOS</w:t>
      </w:r>
    </w:p>
    <w:p w14:paraId="5110F712" w14:textId="77777777" w:rsidR="00D058B8" w:rsidRPr="006E79EF" w:rsidRDefault="00D058B8" w:rsidP="00D058B8">
      <w:pPr>
        <w:pStyle w:val="LineBottom"/>
      </w:pPr>
    </w:p>
    <w:p w14:paraId="12E344FC" w14:textId="77777777" w:rsidR="00324BEC" w:rsidRPr="006E79EF" w:rsidRDefault="00324BEC" w:rsidP="00324BEC">
      <w:pPr>
        <w:pStyle w:val="ATHeading1"/>
      </w:pPr>
      <w:bookmarkStart w:id="1" w:name="TANumber"/>
      <w:r w:rsidRPr="006E79EF">
        <w:t>P10_TA(2025)</w:t>
      </w:r>
      <w:bookmarkEnd w:id="1"/>
      <w:r w:rsidR="00F36BAC" w:rsidRPr="006E79EF">
        <w:t>0131</w:t>
      </w:r>
    </w:p>
    <w:p w14:paraId="33DA2A0D" w14:textId="1AAB157B" w:rsidR="00324BEC" w:rsidRPr="006E79EF" w:rsidRDefault="00324BEC" w:rsidP="00324BEC">
      <w:pPr>
        <w:pStyle w:val="ATHeading2"/>
      </w:pPr>
      <w:bookmarkStart w:id="2" w:name="title"/>
      <w:r w:rsidRPr="006E79EF">
        <w:t>Relatórios de 2023 e 2024 relativos à Moldávia</w:t>
      </w:r>
      <w:bookmarkEnd w:id="2"/>
    </w:p>
    <w:p w14:paraId="538BF888" w14:textId="77777777" w:rsidR="00324BEC" w:rsidRPr="006E79EF" w:rsidRDefault="00324BEC" w:rsidP="00324BEC">
      <w:pPr>
        <w:rPr>
          <w:i/>
          <w:vanish/>
        </w:rPr>
      </w:pPr>
      <w:r w:rsidRPr="006E79EF">
        <w:rPr>
          <w:i/>
        </w:rPr>
        <w:fldChar w:fldCharType="begin"/>
      </w:r>
      <w:r w:rsidRPr="006E79EF">
        <w:rPr>
          <w:i/>
        </w:rPr>
        <w:instrText xml:space="preserve"> TC"(</w:instrText>
      </w:r>
      <w:bookmarkStart w:id="3" w:name="DocNumber"/>
      <w:r w:rsidRPr="006E79EF">
        <w:rPr>
          <w:i/>
        </w:rPr>
        <w:instrText>A10-0096/2025</w:instrText>
      </w:r>
      <w:bookmarkEnd w:id="3"/>
      <w:r w:rsidRPr="006E79EF">
        <w:rPr>
          <w:i/>
        </w:rPr>
        <w:instrText xml:space="preserve"> - Relator: Sven Mikser)"\l3 \n&gt; \* MERGEFORMAT </w:instrText>
      </w:r>
      <w:r w:rsidRPr="006E79EF">
        <w:rPr>
          <w:i/>
        </w:rPr>
        <w:fldChar w:fldCharType="end"/>
      </w:r>
    </w:p>
    <w:p w14:paraId="3BCA6202" w14:textId="77777777" w:rsidR="00324BEC" w:rsidRPr="006E79EF" w:rsidRDefault="00324BEC" w:rsidP="00324BEC">
      <w:pPr>
        <w:rPr>
          <w:vanish/>
        </w:rPr>
      </w:pPr>
      <w:bookmarkStart w:id="4" w:name="Commission"/>
      <w:r w:rsidRPr="006E79EF">
        <w:rPr>
          <w:vanish/>
        </w:rPr>
        <w:t>Comissão dos Assuntos Externos</w:t>
      </w:r>
      <w:bookmarkEnd w:id="4"/>
    </w:p>
    <w:p w14:paraId="5E1EB014" w14:textId="77777777" w:rsidR="00324BEC" w:rsidRPr="006E79EF" w:rsidRDefault="00324BEC" w:rsidP="00324BEC">
      <w:pPr>
        <w:rPr>
          <w:vanish/>
        </w:rPr>
      </w:pPr>
      <w:bookmarkStart w:id="5" w:name="PE"/>
      <w:r w:rsidRPr="006E79EF">
        <w:rPr>
          <w:vanish/>
        </w:rPr>
        <w:t>PE768.179</w:t>
      </w:r>
      <w:bookmarkEnd w:id="5"/>
    </w:p>
    <w:p w14:paraId="5A55E8CC" w14:textId="77777777" w:rsidR="00324BEC" w:rsidRPr="006E79EF" w:rsidRDefault="00324BEC" w:rsidP="00324BEC">
      <w:pPr>
        <w:pStyle w:val="ATHeading3"/>
      </w:pPr>
      <w:bookmarkStart w:id="6" w:name="Sujet"/>
      <w:r w:rsidRPr="006E79EF">
        <w:t xml:space="preserve">Resolução do Parlamento Europeu, de </w:t>
      </w:r>
      <w:r w:rsidR="00F36BAC" w:rsidRPr="006E79EF">
        <w:t xml:space="preserve">18 </w:t>
      </w:r>
      <w:r w:rsidRPr="006E79EF">
        <w:t xml:space="preserve">de </w:t>
      </w:r>
      <w:r w:rsidR="00F36BAC" w:rsidRPr="006E79EF">
        <w:t xml:space="preserve">junho </w:t>
      </w:r>
      <w:r w:rsidRPr="006E79EF">
        <w:t>de 2025</w:t>
      </w:r>
      <w:r w:rsidR="00F36BAC" w:rsidRPr="006E79EF">
        <w:t>, sobre os relatórios de 2023 e </w:t>
      </w:r>
      <w:r w:rsidRPr="006E79EF">
        <w:t>2024 da Comissão relativos à Moldávia</w:t>
      </w:r>
      <w:bookmarkEnd w:id="6"/>
      <w:r w:rsidRPr="006E79EF">
        <w:t xml:space="preserve"> </w:t>
      </w:r>
      <w:bookmarkStart w:id="7" w:name="References"/>
      <w:r w:rsidRPr="006E79EF">
        <w:t>(2025/2025(INI))</w:t>
      </w:r>
      <w:bookmarkEnd w:id="7"/>
    </w:p>
    <w:p w14:paraId="2CD0CBC7" w14:textId="77777777" w:rsidR="00AC39A1" w:rsidRPr="006E79EF" w:rsidRDefault="00AC39A1" w:rsidP="00AC39A1">
      <w:pPr>
        <w:pStyle w:val="EPComma"/>
      </w:pPr>
      <w:r w:rsidRPr="006E79EF">
        <w:rPr>
          <w:i/>
        </w:rPr>
        <w:t>O Parlamento Europeu,</w:t>
      </w:r>
    </w:p>
    <w:p w14:paraId="612659D2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>Tendo em conta a Comunicação da Comissão, de 30 de outubro de 2024, intitulada «Comunicação de 2024 sobre a política de alargamento da UE» (COM(2024)0690), acompanhada do documento de trabalho dos serviços da Comissão intitulado «Republic of Moldova 2024 Report» [Relatório de 2024 relativo à Repúblic</w:t>
      </w:r>
      <w:r w:rsidR="00202EA4" w:rsidRPr="006E79EF">
        <w:t>a da Moldávia] (SWD(2024)0698),</w:t>
      </w:r>
    </w:p>
    <w:p w14:paraId="1750C6E7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>Tendo em conta o parecer da Comissão, de 17 de junho de 2022, sobre o pedido de adesão da República da Moldávia (a seguir designada por «Moldávia») à União Europeia (COM(2022)0406) e o documento de trabalho conjunto dos serviços da Comissão, de 6 de fevereiro de 2023, intitulado «Association Implementation Report on the Republic of Moldova» [Relatório sobre a aplicação do Acordo de Associação entre a UE e a República da Moldávia] (SWD(2023)0041),</w:t>
      </w:r>
    </w:p>
    <w:p w14:paraId="10EB37D4" w14:textId="77777777" w:rsidR="00AC39A1" w:rsidRPr="006E79EF" w:rsidRDefault="00AC39A1" w:rsidP="00AC39A1">
      <w:pPr>
        <w:pStyle w:val="NormalHanging12a"/>
        <w:rPr>
          <w:i/>
        </w:rPr>
      </w:pPr>
      <w:r w:rsidRPr="006E79EF">
        <w:rPr>
          <w:i/>
        </w:rPr>
        <w:t>–</w:t>
      </w:r>
      <w:r w:rsidRPr="006E79EF">
        <w:tab/>
        <w:t>Tendo em conta o Regulamento (UE) 2025/535 do Parlamento Europeu e do Conselho, de 18 de março de 2025, que cria o Mecanismo para as Reformas e Crescimento na República da Moldávia</w:t>
      </w:r>
      <w:r w:rsidRPr="006E79EF">
        <w:rPr>
          <w:rStyle w:val="FootnoteReference"/>
        </w:rPr>
        <w:footnoteReference w:id="1"/>
      </w:r>
      <w:r w:rsidRPr="006E79EF">
        <w:t>,</w:t>
      </w:r>
    </w:p>
    <w:p w14:paraId="2AC9846D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>Tendo em conta as suas anteriores resoluções sobre a Moldávia,</w:t>
      </w:r>
    </w:p>
    <w:p w14:paraId="0FEA1D39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>Tendo em conta o relatório analítico da Comissão, de 1 de fevereiro de 2023, sobre o alinhamento da Moldávia pelo acervo da União (SWD(2023)0032),</w:t>
      </w:r>
    </w:p>
    <w:p w14:paraId="236FBC18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>Tendo em conta a proposta de regulamento do Parlamento Europeu e do Conselho, de 9 de outubro de 2024, que cria o Mecanismo para as Reformas e o Crescimento na República da Moldávia (COM(2024)0469),</w:t>
      </w:r>
    </w:p>
    <w:p w14:paraId="108FBAE4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>Tendo em conta a Comunicação da Comissão, de 9 de outubro de 2024, sobre o Plano de Crescimento para a Moldávia (COM(2024)0470),</w:t>
      </w:r>
    </w:p>
    <w:p w14:paraId="75016BF5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 xml:space="preserve">Tendo em conta as Conclusões do Conselho, de 17 de dezembro de 2024, sobre o </w:t>
      </w:r>
      <w:r w:rsidRPr="006E79EF">
        <w:lastRenderedPageBreak/>
        <w:t>alargamento,</w:t>
      </w:r>
    </w:p>
    <w:p w14:paraId="52977982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>Tendo em conta a visita da delegação da Comissão dos Assuntos Externos à Moldávia de 25 a 27 de fevereiro de 2025,</w:t>
      </w:r>
    </w:p>
    <w:p w14:paraId="181D5276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>Tendo em conta o artigo 55.º do seu Regimento,</w:t>
      </w:r>
    </w:p>
    <w:p w14:paraId="37F1315D" w14:textId="77777777" w:rsidR="00AC39A1" w:rsidRPr="006E79EF" w:rsidRDefault="00AC39A1" w:rsidP="00AC39A1">
      <w:pPr>
        <w:pStyle w:val="NormalHanging12a"/>
      </w:pPr>
      <w:r w:rsidRPr="006E79EF">
        <w:t>–</w:t>
      </w:r>
      <w:r w:rsidRPr="006E79EF">
        <w:tab/>
        <w:t>Tendo em conta o relatório da Comissão dos Assuntos Externos (A10</w:t>
      </w:r>
      <w:r w:rsidRPr="006E79EF">
        <w:noBreakHyphen/>
        <w:t>0096/2025),</w:t>
      </w:r>
    </w:p>
    <w:p w14:paraId="3AFF94FA" w14:textId="77777777" w:rsidR="00AC39A1" w:rsidRPr="006E79EF" w:rsidRDefault="00AC39A1" w:rsidP="00AC39A1">
      <w:pPr>
        <w:pStyle w:val="NormalHanging12a"/>
      </w:pPr>
      <w:r w:rsidRPr="006E79EF">
        <w:t>A.</w:t>
      </w:r>
      <w:r w:rsidRPr="006E79EF">
        <w:tab/>
        <w:t>Considerando que, na sequência do pedido de adesão da Moldávia à UE, apresentado em 3 de março de 2022, o Conselho Europeu lhe concedeu o estatuto de país candidato em 23 de junho de 2022, tendo posteriormente decidido encetar negociações de adesão em 14 de dezembro de 2023;</w:t>
      </w:r>
    </w:p>
    <w:p w14:paraId="7A030CA4" w14:textId="77777777" w:rsidR="00AC39A1" w:rsidRPr="006E79EF" w:rsidRDefault="00AC39A1" w:rsidP="00AC39A1">
      <w:pPr>
        <w:pStyle w:val="NormalHanging12a"/>
      </w:pPr>
      <w:r w:rsidRPr="006E79EF">
        <w:t>B.</w:t>
      </w:r>
      <w:r w:rsidRPr="006E79EF">
        <w:tab/>
        <w:t>Considerando que as negociações sobre a adesão da Moldávia à UE tiveram início em junho de 2024;</w:t>
      </w:r>
    </w:p>
    <w:p w14:paraId="6208D6E7" w14:textId="77777777" w:rsidR="00AC39A1" w:rsidRPr="006E79EF" w:rsidRDefault="00AC39A1" w:rsidP="00AC39A1">
      <w:pPr>
        <w:pStyle w:val="NormalHanging12a"/>
      </w:pPr>
      <w:r w:rsidRPr="006E79EF">
        <w:t>C.</w:t>
      </w:r>
      <w:r w:rsidRPr="006E79EF">
        <w:tab/>
        <w:t>Considerando que a Moldávia realizou um referendo em 20 de outubro de 2024, cujo resultado confirmou a incorporação da adesão europeia na sua Constituição, não obstante várias formas de ingerência manipuladora para desestabilizar o país, financiamento ilícito de intervenientes políticos, campanhas de desinformação e ciberataques;</w:t>
      </w:r>
    </w:p>
    <w:p w14:paraId="08294858" w14:textId="77777777" w:rsidR="00AC39A1" w:rsidRPr="006E79EF" w:rsidRDefault="00AC39A1" w:rsidP="00AC39A1">
      <w:pPr>
        <w:pStyle w:val="NormalHanging12a"/>
      </w:pPr>
      <w:r w:rsidRPr="006E79EF">
        <w:t>D.</w:t>
      </w:r>
      <w:r w:rsidRPr="006E79EF">
        <w:tab/>
        <w:t>Considerando que o Acordo de Associação</w:t>
      </w:r>
      <w:r w:rsidRPr="006E79EF">
        <w:rPr>
          <w:rStyle w:val="FootnoteReference"/>
          <w:color w:val="000000"/>
        </w:rPr>
        <w:footnoteReference w:id="2"/>
      </w:r>
      <w:r w:rsidRPr="006E79EF">
        <w:t>, que inclui uma zona de comércio livre abrangente e aprofundada (AA/ZCLAA), continua a ser a base para a associação política e a integração económica entre a UE e a Moldávia e que ambas as partes mantêm um diálogo político e económico regular;</w:t>
      </w:r>
    </w:p>
    <w:p w14:paraId="32C90514" w14:textId="77777777" w:rsidR="00AC39A1" w:rsidRPr="006E79EF" w:rsidRDefault="00AC39A1" w:rsidP="00202EA4">
      <w:pPr>
        <w:pStyle w:val="NormalHanging12a"/>
        <w:ind w:left="0" w:firstLine="0"/>
        <w:rPr>
          <w:b/>
        </w:rPr>
      </w:pPr>
      <w:r w:rsidRPr="006E79EF">
        <w:rPr>
          <w:b/>
          <w:i/>
        </w:rPr>
        <w:t>Progressos nas reformas relacionadas com a adesão à UE, especialmente no que diz respeito ao Estado de direito e à governação</w:t>
      </w:r>
    </w:p>
    <w:p w14:paraId="64D49114" w14:textId="4ED7E99B" w:rsidR="00AC39A1" w:rsidRPr="006E79EF" w:rsidRDefault="00AC39A1" w:rsidP="00AC39A1">
      <w:pPr>
        <w:pStyle w:val="NormalHanging12a"/>
        <w:rPr>
          <w:shd w:val="clear" w:color="auto" w:fill="FFFFFF"/>
        </w:rPr>
      </w:pPr>
      <w:r w:rsidRPr="006E79EF">
        <w:t>1.</w:t>
      </w:r>
      <w:r w:rsidRPr="006E79EF">
        <w:tab/>
      </w:r>
      <w:r w:rsidRPr="006E79EF">
        <w:rPr>
          <w:shd w:val="clear" w:color="auto" w:fill="FFFFFF"/>
        </w:rPr>
        <w:t xml:space="preserve">Louva o empenho exemplar da Moldávia e os seus progressos constantes nas reformas relacionadas com a adesão à UE, apesar dos importantes desafios internos e externos </w:t>
      </w:r>
      <w:r w:rsidR="00DF6B8C" w:rsidRPr="006E79EF">
        <w:rPr>
          <w:shd w:val="clear" w:color="auto" w:fill="FFFFFF"/>
        </w:rPr>
        <w:t>–</w:t>
      </w:r>
      <w:r w:rsidR="00DF6B8C" w:rsidRPr="006E79EF">
        <w:rPr>
          <w:shd w:val="clear" w:color="auto" w:fill="FFFFFF"/>
        </w:rPr>
        <w:t xml:space="preserve"> </w:t>
      </w:r>
      <w:r w:rsidRPr="006E79EF">
        <w:rPr>
          <w:shd w:val="clear" w:color="auto" w:fill="FFFFFF"/>
        </w:rPr>
        <w:t xml:space="preserve">a saber, a guerra de agressão em grande escala da Rússia contra a Ucrânia </w:t>
      </w:r>
      <w:r w:rsidR="00DF6B8C" w:rsidRPr="006E79EF">
        <w:rPr>
          <w:shd w:val="clear" w:color="auto" w:fill="FFFFFF"/>
        </w:rPr>
        <w:t>–</w:t>
      </w:r>
      <w:r w:rsidR="00DF6B8C" w:rsidRPr="006E79EF">
        <w:rPr>
          <w:shd w:val="clear" w:color="auto" w:fill="FFFFFF"/>
        </w:rPr>
        <w:t xml:space="preserve">, </w:t>
      </w:r>
      <w:r w:rsidRPr="006E79EF">
        <w:rPr>
          <w:shd w:val="clear" w:color="auto" w:fill="FFFFFF"/>
        </w:rPr>
        <w:t>o que permitiu que as negociações de adesão começassem em junho de 2024</w:t>
      </w:r>
      <w:r w:rsidRPr="006E79EF">
        <w:rPr>
          <w:rStyle w:val="highlight-diff"/>
          <w:color w:val="000000"/>
          <w:shd w:val="clear" w:color="auto" w:fill="FFFFFF"/>
        </w:rPr>
        <w:t>, meio ano após a decisão pertinente do Conselho Europeu, em 14 de dezembro de 2023, e menos de dois anos após a candidatura do país à adesão à UE, em 3 de março de 2022</w:t>
      </w:r>
      <w:r w:rsidRPr="006E79EF">
        <w:rPr>
          <w:shd w:val="clear" w:color="auto" w:fill="FFFFFF"/>
        </w:rPr>
        <w:t>;</w:t>
      </w:r>
    </w:p>
    <w:p w14:paraId="49CE8AAD" w14:textId="77777777" w:rsidR="00AC39A1" w:rsidRPr="006E79EF" w:rsidRDefault="00AC39A1" w:rsidP="00AC39A1">
      <w:pPr>
        <w:pStyle w:val="NormalHanging12a"/>
      </w:pPr>
      <w:r w:rsidRPr="006E79EF">
        <w:t>2.</w:t>
      </w:r>
      <w:r w:rsidRPr="006E79EF">
        <w:tab/>
        <w:t>Reconhece que as relações entre a UE e a Moldávia entraram numa nova fase, com a intensificação da cooperação, o alinhamento gradual em todos os domínios do acervo da UE e os progressos no percurso de integração na UE; congratula</w:t>
      </w:r>
      <w:r w:rsidRPr="006E79EF">
        <w:noBreakHyphen/>
        <w:t xml:space="preserve">se com os progressos alcançados no exame analítico bilateral do acervo, desde o seu início em julho de 2024, e com o recente encerramento do exame analítico dos grupos de capítulos n.º 1 (princípios fundamentais) e n.º 2 (mercado interno); louva e apoia a ambição do Governo moldavo de encetar negociações nos próximos meses sobre os grupos de capítulos n.º 1 (princípios fundamentais), n.º 2 (mercado interno) e n.º 6 (relações externas), bem como concluir o exame analítico do acervo de todos os grupos de </w:t>
      </w:r>
      <w:r w:rsidRPr="006E79EF">
        <w:lastRenderedPageBreak/>
        <w:t>capítulos até ao final de 2025; insta a Comissão a reforçar o seu apoio ao Governo moldavo, a fim de assegurar a consecução bem</w:t>
      </w:r>
      <w:r w:rsidRPr="006E79EF">
        <w:noBreakHyphen/>
        <w:t>sucedida destes objetivos fundamentais; incentiva o Conselho a adotar uma abordagem baseada no mérito nas decisões que tomar relativamente ao processo de negociação da Moldávia; lamenta a bilateralização e a instrumentalização do processo de adesão à UE, nomeadamente a oposição do Governo húngaro à abertura de negociações sobre os grupos de capítulos n.</w:t>
      </w:r>
      <w:r w:rsidRPr="006E79EF">
        <w:rPr>
          <w:vertAlign w:val="superscript"/>
        </w:rPr>
        <w:t>os</w:t>
      </w:r>
      <w:r w:rsidRPr="006E79EF">
        <w:t xml:space="preserve"> 1, 2 e 6, o que motivou um atraso e ajuda ao objetivo da Rússia de obstruir a integração europeia da região;</w:t>
      </w:r>
    </w:p>
    <w:p w14:paraId="13AAE398" w14:textId="77777777" w:rsidR="00AC39A1" w:rsidRPr="006E79EF" w:rsidRDefault="00AC39A1" w:rsidP="00AC39A1">
      <w:pPr>
        <w:pStyle w:val="NormalHanging12a"/>
      </w:pPr>
      <w:r w:rsidRPr="006E79EF">
        <w:t>3.</w:t>
      </w:r>
      <w:r w:rsidRPr="006E79EF">
        <w:tab/>
        <w:t>Considera que a capacidade da Moldávia para consolidar os seus atuais progressos nas reformas relacionadas com a adesão à UE e manter o ritmo ambicioso rumo à adesão à UE exigirá o apoio firme e genuíno de uma maioria parlamentar após as eleições do outono de 2025;</w:t>
      </w:r>
    </w:p>
    <w:p w14:paraId="1DEA0268" w14:textId="78C78BEE" w:rsidR="00AC39A1" w:rsidRPr="006E79EF" w:rsidRDefault="00AC39A1" w:rsidP="00AC39A1">
      <w:pPr>
        <w:pStyle w:val="NormalHanging12a"/>
      </w:pPr>
      <w:r w:rsidRPr="006E79EF">
        <w:t>4.</w:t>
      </w:r>
      <w:r w:rsidRPr="006E79EF">
        <w:tab/>
        <w:t>Observa que os resultados tanto do referendo constitucional sobre a adesão à UE, realizado em 20 de outubro de 2024, como das eleições presidenciais, realizadas em 20 de outubro de 2024 e em 3 de novembro de 2024, confirmaram o apoio da maioria do povo da Moldávia ao objetivo de adesão do país à UE e às reformas pró</w:t>
      </w:r>
      <w:r w:rsidRPr="006E79EF">
        <w:noBreakHyphen/>
        <w:t xml:space="preserve">UE necessárias; sublinha que este referendo e estas eleições foram realizados com profissionalismo e um extraordinário sentido de dever e dedicação, não obstante uma imensa campanha híbrida da Rússia e das suas forças interpostas, que se serviram de diversos instrumentos, tais como a exploração estratégica das redes sociais, conteúdos gerados por IA, «fugas» de documentos falsos, intimidação, que implicou várias formas de ingerência manipuladora para desestabilizar o país, financiamento ilícito de intervenientes políticos, compra de votos </w:t>
      </w:r>
      <w:r w:rsidR="00DF6B8C" w:rsidRPr="006E79EF">
        <w:t>–</w:t>
      </w:r>
      <w:r w:rsidR="00DF6B8C" w:rsidRPr="006E79EF">
        <w:t xml:space="preserve"> </w:t>
      </w:r>
      <w:r w:rsidRPr="006E79EF">
        <w:t xml:space="preserve">notadamente por meio da instrumentalização pela Rússia de certas partes do clero da metrópole de Quixinau e de toda a Moldávia </w:t>
      </w:r>
      <w:r w:rsidR="00DF6B8C" w:rsidRPr="006E79EF">
        <w:t>–</w:t>
      </w:r>
      <w:r w:rsidR="00DF6B8C" w:rsidRPr="006E79EF">
        <w:t xml:space="preserve">, </w:t>
      </w:r>
      <w:r w:rsidRPr="006E79EF">
        <w:t>campanhas de desinformação e ciberataques; recorda que estes ataques seguiam quatro estratégias principais: dividir a sociedade, deslegitimar as instituições, desacreditar os intervenientes democráticos e promover a influência russa; congratula</w:t>
      </w:r>
      <w:r w:rsidRPr="006E79EF">
        <w:noBreakHyphen/>
        <w:t>se com o resultado do referendo constitucional de 2024, que plasmou na Constituição do país o compromisso de aderir à UE; condena veementemente as tentativas crescentes da Rússia, dos oligarcas pró</w:t>
      </w:r>
      <w:r w:rsidRPr="006E79EF">
        <w:noBreakHyphen/>
        <w:t>russos e das forças interpostas locais patrocinadas pela Rússia no sentido de desestabilizar a Moldávia, semear discórdia no seio da sociedade moldava e desviar o país do rumo pró</w:t>
      </w:r>
      <w:r w:rsidRPr="006E79EF">
        <w:noBreakHyphen/>
        <w:t>UE através de ataques híbridos, da instrumentalização do aprovisionamento energético, da desinformação, da manipulação e das campanhas de intimidação dirigidas às organizações da sociedade civil e aos meios de comunicação social independentes;</w:t>
      </w:r>
    </w:p>
    <w:p w14:paraId="356B0E7F" w14:textId="77777777" w:rsidR="00AC39A1" w:rsidRPr="006E79EF" w:rsidRDefault="00AC39A1" w:rsidP="00AC39A1">
      <w:pPr>
        <w:pStyle w:val="NormalHanging12a"/>
      </w:pPr>
      <w:r w:rsidRPr="006E79EF">
        <w:t>5.</w:t>
      </w:r>
      <w:r w:rsidRPr="006E79EF">
        <w:tab/>
      </w:r>
      <w:r w:rsidRPr="006E79EF">
        <w:rPr>
          <w:rStyle w:val="NormalHanging12aChar"/>
          <w:color w:val="000000"/>
        </w:rPr>
        <w:t>Observa que as próximas eleições legislativas, em 28 de setembro de 2025, se revestem de uma importância vital para a continuação da trajetória pró</w:t>
      </w:r>
      <w:r w:rsidRPr="006E79EF">
        <w:rPr>
          <w:rStyle w:val="NormalHanging12aChar"/>
          <w:color w:val="000000"/>
        </w:rPr>
        <w:noBreakHyphen/>
        <w:t>UE da Moldávia; manifesta preocupação com a provável intensificação da ingerência estrangeira mal</w:t>
      </w:r>
      <w:r w:rsidRPr="006E79EF">
        <w:rPr>
          <w:rStyle w:val="NormalHanging12aChar"/>
          <w:color w:val="000000"/>
        </w:rPr>
        <w:noBreakHyphen/>
        <w:t xml:space="preserve">intencionada, em especial russa, e dos ataques híbridos antes das eleições; insta a UE a aumentar o seu apoio, designadamente financeiro e técnico, aos esforços do Governo moldavo para combater essa ingerência no processo democrático do país, nomeadamente através da adoção de sanções adicionais, da prorrogação e consolidação do mandato e respetivos recursos da Missão de Parceria da UE (EUPM) na Moldávia e da concessão de apoio adicional à mesma, bem como da partilha de conhecimentos especializados em matéria de manipulação da informação e ingerência por parte de agentes estrangeiros (FIMI), combate às ameaças híbridas e reforço da resiliência; </w:t>
      </w:r>
      <w:bookmarkStart w:id="8" w:name="_Hlk194942091"/>
      <w:r w:rsidRPr="006E79EF">
        <w:rPr>
          <w:rStyle w:val="NormalHanging12aChar"/>
          <w:color w:val="000000"/>
        </w:rPr>
        <w:t>defende igualmente um aumento dos esforços das autoridades moldavas e da UE em prol dos meios de comunicação social independentes e da sociedade civil pró</w:t>
      </w:r>
      <w:r w:rsidRPr="006E79EF">
        <w:rPr>
          <w:rStyle w:val="NormalHanging12aChar"/>
          <w:color w:val="000000"/>
        </w:rPr>
        <w:noBreakHyphen/>
        <w:t xml:space="preserve">democracia, de molde que os jornalistas a nível nacional e regional possam </w:t>
      </w:r>
      <w:r w:rsidRPr="006E79EF">
        <w:rPr>
          <w:rStyle w:val="NormalHanging12aChar"/>
          <w:color w:val="000000"/>
        </w:rPr>
        <w:lastRenderedPageBreak/>
        <w:t>combater a FIMI e reforçar a literacia digital;</w:t>
      </w:r>
      <w:bookmarkEnd w:id="8"/>
    </w:p>
    <w:p w14:paraId="6717F93F" w14:textId="77777777" w:rsidR="00AC39A1" w:rsidRPr="006E79EF" w:rsidRDefault="00AC39A1" w:rsidP="00AC39A1">
      <w:pPr>
        <w:pStyle w:val="NormalHanging12a"/>
      </w:pPr>
      <w:r w:rsidRPr="006E79EF">
        <w:t>6.</w:t>
      </w:r>
      <w:r w:rsidRPr="006E79EF">
        <w:tab/>
        <w:t>Frisa a importância da comunicação estratégica, da desmistificação e da luta contra as falsas narrativas sobre a UE promovidas pela Rússia e as suas políticas, assim como a importância de destacar os benefícios concretos a curto e a longo prazo da adesão à UE para o povo de toda a Moldávia</w:t>
      </w:r>
      <w:bookmarkStart w:id="9" w:name="_Hlk196923727"/>
      <w:r w:rsidRPr="006E79EF">
        <w:t xml:space="preserve">, com especial destaque para regiões como a Gagaúzia e as comunidades socioeconomicamente desfavorecidas nas zonas rurais; </w:t>
      </w:r>
      <w:bookmarkEnd w:id="9"/>
      <w:r w:rsidRPr="006E79EF">
        <w:t>exorta a UE a intensificar o seu apoio à Moldávia nesta matéria;</w:t>
      </w:r>
    </w:p>
    <w:p w14:paraId="1DC1E14C" w14:textId="77777777" w:rsidR="00AC39A1" w:rsidRPr="006E79EF" w:rsidRDefault="00AC39A1" w:rsidP="00202EA4">
      <w:pPr>
        <w:pStyle w:val="NormalHanging12a"/>
        <w:ind w:left="0" w:firstLine="0"/>
        <w:rPr>
          <w:b/>
          <w:i/>
        </w:rPr>
      </w:pPr>
      <w:r w:rsidRPr="006E79EF">
        <w:rPr>
          <w:b/>
          <w:i/>
        </w:rPr>
        <w:t>Reformas socioeconómicas</w:t>
      </w:r>
    </w:p>
    <w:p w14:paraId="31ECDA4E" w14:textId="77777777" w:rsidR="00AC39A1" w:rsidRPr="006E79EF" w:rsidRDefault="00AC39A1" w:rsidP="00AC39A1">
      <w:pPr>
        <w:pStyle w:val="NormalHanging12a"/>
        <w:rPr>
          <w:rStyle w:val="NormalHanging12aChar"/>
          <w:color w:val="000000"/>
        </w:rPr>
      </w:pPr>
      <w:r w:rsidRPr="006E79EF">
        <w:t>7.</w:t>
      </w:r>
      <w:r w:rsidRPr="006E79EF">
        <w:tab/>
      </w:r>
      <w:r w:rsidRPr="006E79EF">
        <w:rPr>
          <w:rStyle w:val="NormalHanging12aChar"/>
          <w:color w:val="000000"/>
        </w:rPr>
        <w:t>Acolhe com satisfação o Plano de Crescimento para a Moldávia da Comissão, que visa apoiar as reformas socioeconómicas e fundamentais da Moldávia e melhorar o acesso ao mercado único da UE; congratula</w:t>
      </w:r>
      <w:r w:rsidRPr="006E79EF">
        <w:rPr>
          <w:rStyle w:val="NormalHanging12aChar"/>
          <w:color w:val="000000"/>
        </w:rPr>
        <w:noBreakHyphen/>
        <w:t>se com o Mecanismo para as Reformas e o Crescimento na Moldávia, que serve de base para o Plano de Crescimento e ascende a 2,02 mil milhões de EUR, o que o torna o maior pacote de apoio financeiro da UE à Moldávia desde a sua independência; sublinha que este mecanismo concede à Moldávia 520 milhões de EUR em apoio não reembolsável e um montante máximo de 1,5 mil milhões de EUR em empréstimos, com uma taxa de pré</w:t>
      </w:r>
      <w:r w:rsidRPr="006E79EF">
        <w:rPr>
          <w:rStyle w:val="NormalHanging12aChar"/>
          <w:color w:val="000000"/>
        </w:rPr>
        <w:noBreakHyphen/>
        <w:t>financiamento de 18 %, o que demonstra que a UE reconhece a urgência de apoiar as reformas e a resiliência da Moldávia; insta a Comissão a apoiar as autoridades moldavas na execução do programa de reformas necessário para a absorção eficaz dos fundos deste mecanismo, assegurando que os benefícios de tal apoio sejam rapidamente sentidos pelos cidadãos da Moldávia; aguarda com expectativa a anunciada avaliação de impacto do Mecanismo para as Reformas e o Crescimento na Moldávia, sob a forma de um documento de trabalho dos serviços da Comissão, no prazo de três meses a contar da adoção do regulamento correspondente;</w:t>
      </w:r>
    </w:p>
    <w:p w14:paraId="667FB6EE" w14:textId="77777777" w:rsidR="00AC39A1" w:rsidRPr="006E79EF" w:rsidRDefault="00AC39A1" w:rsidP="00AC39A1">
      <w:pPr>
        <w:pStyle w:val="NormalHanging12a"/>
      </w:pPr>
      <w:r w:rsidRPr="006E79EF">
        <w:t>8.</w:t>
      </w:r>
      <w:r w:rsidRPr="006E79EF">
        <w:tab/>
        <w:t>Insta a Comissão a incluir fundos de pré</w:t>
      </w:r>
      <w:r w:rsidRPr="006E79EF">
        <w:noBreakHyphen/>
        <w:t>adesão específicos adequados para a Moldávia no próximo quadro financeiro plurianual da UE e a começar a preparar a Moldávia para a utilização eficiente dos futuros fundos de pré</w:t>
      </w:r>
      <w:r w:rsidRPr="006E79EF">
        <w:noBreakHyphen/>
        <w:t>adesão enquanto país candidato à adesão à UE recentemente designado;</w:t>
      </w:r>
    </w:p>
    <w:p w14:paraId="4C99A512" w14:textId="77777777" w:rsidR="00AC39A1" w:rsidRPr="006E79EF" w:rsidRDefault="00AC39A1" w:rsidP="00AC39A1">
      <w:pPr>
        <w:pStyle w:val="NormalHanging12a"/>
      </w:pPr>
      <w:r w:rsidRPr="006E79EF">
        <w:t>9.</w:t>
      </w:r>
      <w:r w:rsidRPr="006E79EF">
        <w:tab/>
        <w:t>Reitera que o apoio do povo da Moldávia à integração europeia pode ser consolidado mediante uma melhoria tangível dos seus meios de subsistência, que implique o reforço das instituições estatais e da administração pública no sentido de utilizar eficazmente o financiamento de projetos e de aplicar e fazer cumprir o acervo da UE, assegurando um sistema de proteção social sólido, combatendo a corrupção e a influência oligárquica e garantindo a responsabilização; exorta as autoridades moldavas a continuarem a assegurar a participação significativa das organizações da sociedade civil, da diáspora, dos grupos vulneráveis e dos parceiros sociais, inclusive os sindicatos, a fim de reforçar a confiança nas instituições e nos processos democráticos e fomentar o apoio público às reformas relacionadas com a adesão à UE;</w:t>
      </w:r>
    </w:p>
    <w:p w14:paraId="3D5E90DC" w14:textId="77777777" w:rsidR="00AC39A1" w:rsidRPr="006E79EF" w:rsidRDefault="00AC39A1" w:rsidP="00AC39A1">
      <w:pPr>
        <w:pStyle w:val="NormalHanging12a"/>
      </w:pPr>
      <w:r w:rsidRPr="006E79EF">
        <w:t>10.</w:t>
      </w:r>
      <w:r w:rsidRPr="006E79EF">
        <w:tab/>
        <w:t>Frisa a importância das organizações da sociedade civil no acompanhamento da governação e dos progressos nas reformas relacionadas com a UE, promovendo a transparência, defendendo os direitos humanos e combatendo a desinformação e a influência maliciosa externa dos intervenientes políticos contrários às reformas e das forças interpostas da Rússia;</w:t>
      </w:r>
    </w:p>
    <w:p w14:paraId="6FE82248" w14:textId="77777777" w:rsidR="00AC39A1" w:rsidRPr="006E79EF" w:rsidRDefault="00AC39A1" w:rsidP="00AC39A1">
      <w:pPr>
        <w:pStyle w:val="NormalHanging12a"/>
      </w:pPr>
      <w:r w:rsidRPr="006E79EF">
        <w:t>11.</w:t>
      </w:r>
      <w:r w:rsidRPr="006E79EF">
        <w:tab/>
        <w:t xml:space="preserve">Reclama reformas abrangentes da política social que deem resposta à pobreza e à </w:t>
      </w:r>
      <w:r w:rsidRPr="006E79EF">
        <w:lastRenderedPageBreak/>
        <w:t>emigração persistente em grande escala, aumentem a cobertura dos cuidados de saúde, reforcem a educação pública, melhorem as condições de trabalho e desenvolvam sistemas de proteção social adequados; destaca que o desenvolvimento económico deve ser inclusivo e sustentável, oferecendo oportunidades para as pequenas e médias empresas; frisa a necessidade de investimento social direcionado para os jovens e as zonas rurais com vista a reduzir as disparidades regionais e salvaguardar a coesão social;</w:t>
      </w:r>
    </w:p>
    <w:p w14:paraId="3778269B" w14:textId="77777777" w:rsidR="00AC39A1" w:rsidRPr="006E79EF" w:rsidRDefault="00AC39A1" w:rsidP="00AC39A1">
      <w:pPr>
        <w:pStyle w:val="NormalHanging12a"/>
      </w:pPr>
      <w:r w:rsidRPr="006E79EF">
        <w:t>12.</w:t>
      </w:r>
      <w:r w:rsidRPr="006E79EF">
        <w:tab/>
      </w:r>
      <w:r w:rsidRPr="006E79EF">
        <w:rPr>
          <w:rStyle w:val="NormalHanging12aChar"/>
          <w:color w:val="000000"/>
        </w:rPr>
        <w:t>Solicita que seja dada especial atenção à participação da Moldávia nos programas sociais, educativos e culturais da UE a fim de promover a convergência social, a inovação e o progresso tecnológico;</w:t>
      </w:r>
    </w:p>
    <w:p w14:paraId="176DEB4B" w14:textId="77777777" w:rsidR="00AC39A1" w:rsidRPr="006E79EF" w:rsidRDefault="00AC39A1" w:rsidP="00AC39A1">
      <w:pPr>
        <w:pStyle w:val="NormalHanging12a"/>
      </w:pPr>
      <w:r w:rsidRPr="006E79EF">
        <w:t>13.</w:t>
      </w:r>
      <w:r w:rsidRPr="006E79EF">
        <w:tab/>
        <w:t>Insta a Moldávia a aplicar o programa de reformas, que define as principais reformas socioeconómicas e fundamentais para acelerar o crescimento e a competitividade da economia da Moldávia e a sua convergência com a UE, tendo por base a aplicação reforçada do AA/ZCLAA;</w:t>
      </w:r>
    </w:p>
    <w:p w14:paraId="6EE84DB2" w14:textId="77777777" w:rsidR="00AC39A1" w:rsidRPr="006E79EF" w:rsidRDefault="00AC39A1" w:rsidP="00AC39A1">
      <w:pPr>
        <w:pStyle w:val="NormalHanging12a"/>
        <w:rPr>
          <w:rStyle w:val="NormalHanging12aChar"/>
          <w:color w:val="000000"/>
        </w:rPr>
      </w:pPr>
      <w:r w:rsidRPr="006E79EF">
        <w:t>14.</w:t>
      </w:r>
      <w:r w:rsidRPr="006E79EF">
        <w:tab/>
      </w:r>
      <w:r w:rsidRPr="006E79EF">
        <w:rPr>
          <w:rStyle w:val="NormalHanging12aChar"/>
          <w:color w:val="000000"/>
        </w:rPr>
        <w:t xml:space="preserve">Defende veementemente a aceleração da integração gradual da Moldávia na UE e no mercado único por meio do alinhamento continuado do seu quadro jurídico e regulamentar pelo acervo da UE e da associação do país a mais programas e iniciativas da UE, nomeadamente através da concessão do estatuto de observador a funcionários e peritos moldavos em organismos competentes da UE, o que proporcionaria benefícios socioeconómicos tangíveis mesmo antes de o país aderir formalmente à UE; felicita a Moldávia pela sua inclusão no âmbito geográfico dos regimes de pagamento do Espaço Único de Pagamentos em Euros, facilitando as transferências em euros e reduzindo os custos para os cidadãos e as empresas da Moldávia; </w:t>
      </w:r>
      <w:r w:rsidR="00EC3F4F" w:rsidRPr="006E79EF">
        <w:rPr>
          <w:rStyle w:val="NormalHanging12aChar"/>
          <w:color w:val="000000"/>
        </w:rPr>
        <w:t xml:space="preserve">louva a inclusão da liberalização da itinerância no Acordo de Associação UE Moldávia atualizado; </w:t>
      </w:r>
      <w:r w:rsidRPr="006E79EF">
        <w:rPr>
          <w:rStyle w:val="NormalHanging12aChar"/>
          <w:color w:val="000000"/>
        </w:rPr>
        <w:t>congratula</w:t>
      </w:r>
      <w:r w:rsidRPr="006E79EF">
        <w:rPr>
          <w:rStyle w:val="NormalHanging12aChar"/>
          <w:color w:val="000000"/>
        </w:rPr>
        <w:noBreakHyphen/>
        <w:t>se com os recentes progressos realizados pela Moldávia na transposição do acervo da UE em matéria de itinerância e telecomunicações e manifesta o seu apoio a uma decisão rápida sobre a inclusão da Moldávia na zona «itinerância como em casa» da UE; insta os prestadores de serviços a cooperarem de boa</w:t>
      </w:r>
      <w:r w:rsidRPr="006E79EF">
        <w:rPr>
          <w:rStyle w:val="NormalHanging12aChar"/>
          <w:color w:val="000000"/>
        </w:rPr>
        <w:noBreakHyphen/>
        <w:t>fé com as autoridades moldavas para levar à prática a «itinerância como em casa»;</w:t>
      </w:r>
    </w:p>
    <w:p w14:paraId="60F9A15E" w14:textId="77777777" w:rsidR="00AC39A1" w:rsidRPr="006E79EF" w:rsidRDefault="00AC39A1" w:rsidP="00AC39A1">
      <w:pPr>
        <w:pStyle w:val="NormalHanging12a"/>
      </w:pPr>
      <w:r w:rsidRPr="006E79EF">
        <w:t>15.</w:t>
      </w:r>
      <w:r w:rsidRPr="006E79EF">
        <w:tab/>
      </w:r>
      <w:r w:rsidRPr="006E79EF">
        <w:rPr>
          <w:rStyle w:val="NormalHanging12aChar"/>
          <w:color w:val="000000"/>
        </w:rPr>
        <w:t>Congratula</w:t>
      </w:r>
      <w:r w:rsidRPr="006E79EF">
        <w:rPr>
          <w:rStyle w:val="NormalHanging12aChar"/>
          <w:color w:val="000000"/>
        </w:rPr>
        <w:noBreakHyphen/>
        <w:t>se com a renovação das medidas temporárias de liberalização do comércio da UE, em julho de 2024, no sentido de apoiar a economia da Moldávia, compensando a perda comercial causada pela guerra de agressão da Rússia contra a Ucrânia e as políticas hostis russas em relação à Moldávia; insta a UE a tomar medidas céleres e significativas rumo à liberalização permanente dos seus contingentes pautais, a fim de assegurar a previsibilidade e aumentar a atratividade do país para os investidores;</w:t>
      </w:r>
    </w:p>
    <w:p w14:paraId="63B08F27" w14:textId="77777777" w:rsidR="00AC39A1" w:rsidRPr="006E79EF" w:rsidRDefault="00AC39A1" w:rsidP="00AC39A1">
      <w:pPr>
        <w:pStyle w:val="NormalHanging12a"/>
      </w:pPr>
      <w:r w:rsidRPr="006E79EF">
        <w:t>16.</w:t>
      </w:r>
      <w:r w:rsidRPr="006E79EF">
        <w:tab/>
        <w:t>Faz notar que a recente decisão da administração dos EUA de suspender o apoio à sociedade civil, aos meios de comunicação social independentes, às principais reformas e aos projetos de infraestruturas criou necessidades urgentes adicionais na Moldávia relativamente às quais a UE deve intervir; exorta, a este respeito, a Comissão a aumentar o seu financiamento para os instrumentos da UE de apoio à democracia, como o Fundo Europeu para a Democracia, e para outros projetos fundamentais que tinham, até há pouco, sido financiados pela Agência dos EUA para o Desenvolvimento Internacional (USAID) e por outras agências norte</w:t>
      </w:r>
      <w:r w:rsidRPr="006E79EF">
        <w:noBreakHyphen/>
        <w:t>americanas;</w:t>
      </w:r>
    </w:p>
    <w:p w14:paraId="0770BC9D" w14:textId="77777777" w:rsidR="00AC39A1" w:rsidRPr="006E79EF" w:rsidRDefault="00AC39A1" w:rsidP="00202EA4">
      <w:pPr>
        <w:spacing w:after="240"/>
        <w:rPr>
          <w:b/>
          <w:i/>
        </w:rPr>
      </w:pPr>
      <w:r w:rsidRPr="006E79EF">
        <w:rPr>
          <w:b/>
          <w:i/>
        </w:rPr>
        <w:t>Direitos humanos</w:t>
      </w:r>
    </w:p>
    <w:p w14:paraId="0B0086AA" w14:textId="77777777" w:rsidR="00AC39A1" w:rsidRPr="006E79EF" w:rsidRDefault="00AC39A1" w:rsidP="00AC39A1">
      <w:pPr>
        <w:pStyle w:val="NormalHanging12a"/>
      </w:pPr>
      <w:r w:rsidRPr="006E79EF">
        <w:lastRenderedPageBreak/>
        <w:t>17.</w:t>
      </w:r>
      <w:r w:rsidRPr="006E79EF">
        <w:tab/>
        <w:t>Regista os progressos realizados pela Moldávia rumo à igualdade de género, notadamente a adoção do programa para a promoção e garantia da igualdade entre homens e mulheres para o período 2023</w:t>
      </w:r>
      <w:r w:rsidRPr="006E79EF">
        <w:noBreakHyphen/>
        <w:t>2027, e solicita esforços contínuos a este respeito, em particular para reduzir as disparidades salariais em razão do género, combater os estereótipos, a discriminação e a violência baseada no género e aumentar a representação das mulheres na política e nas empresas;</w:t>
      </w:r>
    </w:p>
    <w:p w14:paraId="2E3AE101" w14:textId="77777777" w:rsidR="00AC39A1" w:rsidRPr="006E79EF" w:rsidRDefault="00AC39A1" w:rsidP="00AC39A1">
      <w:pPr>
        <w:pStyle w:val="NormalHanging12a"/>
      </w:pPr>
      <w:r w:rsidRPr="006E79EF">
        <w:t>18.</w:t>
      </w:r>
      <w:r w:rsidRPr="006E79EF">
        <w:tab/>
        <w:t>Congratula</w:t>
      </w:r>
      <w:r w:rsidRPr="006E79EF">
        <w:noBreakHyphen/>
        <w:t>se com os esforços das autoridades moldavas para combater a violência contra as mulheres e melhorar a proteção das sobreviventes, designadamente a adoção do programa nacional para a prevenção e o combate à violência contra as mulheres e a violência doméstica para o período 2023</w:t>
      </w:r>
      <w:r w:rsidRPr="006E79EF">
        <w:noBreakHyphen/>
        <w:t>2027; assinala, porém, que ainda não se verificam repercussões de tais esforços, pelo que solicita a criação de mais abrigos para sobreviventes de violência doméstica, uma atenção adequada do sistema judicial à violência contra as mulheres, e mudanças políticas e uma maior sensibilização dos homens para a violência baseada no género;</w:t>
      </w:r>
    </w:p>
    <w:p w14:paraId="23D6B483" w14:textId="77777777" w:rsidR="00AC39A1" w:rsidRPr="006E79EF" w:rsidRDefault="00AC39A1" w:rsidP="00AC39A1">
      <w:pPr>
        <w:pStyle w:val="NormalHanging12a"/>
      </w:pPr>
      <w:r w:rsidRPr="006E79EF">
        <w:t>19.</w:t>
      </w:r>
      <w:r w:rsidRPr="006E79EF">
        <w:tab/>
        <w:t>Insta o Governo moldavo a redobrar esforços, nomeadamente a aplicação efetiva do seu quadro legislativo, para combater a discriminação racial, a marginalização, o discurso de ódio racista e os crimes de ódio contra membros de grupos étnicos minoritários, incluindo os ciganos;</w:t>
      </w:r>
    </w:p>
    <w:p w14:paraId="7ED7D490" w14:textId="77777777" w:rsidR="00AC39A1" w:rsidRPr="006E79EF" w:rsidRDefault="00AC39A1" w:rsidP="00AC39A1">
      <w:pPr>
        <w:pStyle w:val="NormalHanging12a"/>
      </w:pPr>
      <w:r w:rsidRPr="006E79EF">
        <w:t>20.</w:t>
      </w:r>
      <w:r w:rsidRPr="006E79EF">
        <w:tab/>
        <w:t>Louva os esforços envidados pela Moldávia nos últimos anos para melhorar os direitos da comunidade LGBTIQ+;</w:t>
      </w:r>
    </w:p>
    <w:p w14:paraId="39028363" w14:textId="77777777" w:rsidR="00AC39A1" w:rsidRPr="006E79EF" w:rsidRDefault="00AC39A1" w:rsidP="00AC39A1">
      <w:pPr>
        <w:pStyle w:val="NormalHanging12a"/>
      </w:pPr>
      <w:r w:rsidRPr="006E79EF">
        <w:t>21.</w:t>
      </w:r>
      <w:r w:rsidRPr="006E79EF">
        <w:tab/>
        <w:t>Insta o Governo moldavo a alinhar plenamente a sua legislação relativa aos direitos das pessoas com deficiência pelo acervo da UE e a resolver o problema sistémico da colocação de crianças com deficiência intelectual em instituições psiquiátricas;</w:t>
      </w:r>
    </w:p>
    <w:p w14:paraId="3077362C" w14:textId="77777777" w:rsidR="00AC39A1" w:rsidRPr="006E79EF" w:rsidRDefault="00AC39A1" w:rsidP="00AC39A1">
      <w:pPr>
        <w:pStyle w:val="NormalHanging12a"/>
        <w:rPr>
          <w:b/>
          <w:i/>
        </w:rPr>
      </w:pPr>
      <w:r w:rsidRPr="006E79EF">
        <w:rPr>
          <w:b/>
          <w:i/>
        </w:rPr>
        <w:t>Energia, ambiente e conectividade</w:t>
      </w:r>
    </w:p>
    <w:p w14:paraId="6865FB37" w14:textId="77777777" w:rsidR="00AC39A1" w:rsidRPr="006E79EF" w:rsidRDefault="00AC39A1" w:rsidP="00AC39A1">
      <w:pPr>
        <w:pStyle w:val="NormalHanging12a"/>
        <w:rPr>
          <w:bCs/>
          <w:iCs/>
        </w:rPr>
      </w:pPr>
      <w:r w:rsidRPr="006E79EF">
        <w:t>22.</w:t>
      </w:r>
      <w:r w:rsidRPr="006E79EF">
        <w:tab/>
      </w:r>
      <w:r w:rsidRPr="006E79EF">
        <w:rPr>
          <w:rStyle w:val="NormalHanging12aChar"/>
          <w:color w:val="000000"/>
        </w:rPr>
        <w:t>Condena a instrumentalização da energia pela Rússia contra a Moldávia, sendo o caso mais recente a suspensão do fornecimento de gás à região da Transnístria, em 1 de janeiro de 2025, em violação de obrigações contratuais, provocando assim uma grave crise na região; aplaude a célere proposta da Comissão de uma estratégia abrangente de independência e resiliência energéticas e respetivo pacote de apoio no valor de 250 milhões de EUR, o que reduzirá as faturas de energia dos consumidores moldavos, nomeadamente na região da Transnístria, apoiará a dissociação dos aprovisionamentos energéticos da Rússia e integrará a Moldávia no mercado da energia da UE; realça a necessidade de a UE e as autoridades moldavas comunicarem eficazmente sobre o pacote de apoio substancial da UE destinado a fazer face à crise energética da Moldávia;</w:t>
      </w:r>
    </w:p>
    <w:p w14:paraId="2B6366E4" w14:textId="77777777" w:rsidR="00AC39A1" w:rsidRPr="006E79EF" w:rsidRDefault="00AC39A1" w:rsidP="00AC39A1">
      <w:pPr>
        <w:pStyle w:val="NormalHanging12a"/>
      </w:pPr>
      <w:r w:rsidRPr="006E79EF">
        <w:t>23.</w:t>
      </w:r>
      <w:r w:rsidRPr="006E79EF">
        <w:tab/>
        <w:t>Louva o alinhamento do setor da energia moldavo pelo acervo da UE; insta o Governo moldavo a prosseguir os esforços, com o apoio da UE (apoio que abrange os instrumentos disponíveis no Mecanismo para as Reformas e o Crescimento na Moldávia), no sentido de diversificar as rotas de fornecimento de gás e eletricidade, desenvolver a conectividade, aumentar a eficiência energética e a sua capacidade de produção e armazenamento internos, bem como progredir na sua plena integração no mercado da energia da UE, com vista a garantir a segurança energética e a resiliência da Moldávia; frisa a importância da conclusão da linha aérea de 400 kV Vulcanesti</w:t>
      </w:r>
      <w:r w:rsidRPr="006E79EF">
        <w:noBreakHyphen/>
        <w:t xml:space="preserve">Quixinau até ao final de 2025, com o objetivo de reduzir a dependência moldava das infraestruturas energéticas na região da Transnístria; insta a UE a </w:t>
      </w:r>
      <w:r w:rsidRPr="006E79EF">
        <w:lastRenderedPageBreak/>
        <w:t>mobilizar os recursos necessários para ajudar a compensar a retirada do apoio da USAID ao setor da energia da Moldávia;</w:t>
      </w:r>
    </w:p>
    <w:p w14:paraId="1F6F009D" w14:textId="77777777" w:rsidR="00AC39A1" w:rsidRPr="006E79EF" w:rsidRDefault="00AC39A1" w:rsidP="00AC39A1">
      <w:pPr>
        <w:pStyle w:val="NormalHanging12a"/>
        <w:rPr>
          <w:rStyle w:val="NormalHanging12aChar"/>
          <w:color w:val="000000"/>
        </w:rPr>
      </w:pPr>
      <w:r w:rsidRPr="006E79EF">
        <w:t>24.</w:t>
      </w:r>
      <w:r w:rsidRPr="006E79EF">
        <w:tab/>
      </w:r>
      <w:r w:rsidRPr="006E79EF">
        <w:rPr>
          <w:rStyle w:val="NormalHanging12aChar"/>
          <w:color w:val="000000"/>
        </w:rPr>
        <w:t>Louva o Governo da Moldávia pelos seus progressos em matéria de descarbonização, eficiência energética e transição para uma economia verde, contemplando a duplicação da quota de energias renováveis para 30 % até 2030; incentiva a UE e os seus Estados</w:t>
      </w:r>
      <w:r w:rsidRPr="006E79EF">
        <w:rPr>
          <w:rStyle w:val="NormalHanging12aChar"/>
          <w:color w:val="000000"/>
        </w:rPr>
        <w:noBreakHyphen/>
        <w:t>Membros a continuarem a prestar apoio financeiro e conhecimentos especializados aos seus homólogos moldavos neste domínio; regozija</w:t>
      </w:r>
      <w:r w:rsidRPr="006E79EF">
        <w:rPr>
          <w:rStyle w:val="NormalHanging12aChar"/>
          <w:color w:val="000000"/>
        </w:rPr>
        <w:noBreakHyphen/>
        <w:t>se com a adoção, em 2023, do programa nacional da Moldávia de adaptação às alterações climáticas até 2030 e do respetivo plano de ação para esse efeito; insta o Governo moldavo a adotar e a começar a executar o seu plano nacional em matéria de energia e clima para o período 2025</w:t>
      </w:r>
      <w:r w:rsidRPr="006E79EF">
        <w:rPr>
          <w:rStyle w:val="NormalHanging12aChar"/>
          <w:color w:val="000000"/>
        </w:rPr>
        <w:noBreakHyphen/>
        <w:t>2030; assinala a importância de cumprir os compromissos assumidos no âmbito do Roteiro para a Descarbonização da Comunidade da Energia e de aplicar o pacote de acompanhamento, comunicação de informações, verificação e acreditação, com vista à introdução da tarifação do carbono e ao alinhamento com o Sistema de Comércio de Licenças de Emissão da UE;</w:t>
      </w:r>
    </w:p>
    <w:p w14:paraId="00773AF7" w14:textId="77777777" w:rsidR="00AC39A1" w:rsidRPr="006E79EF" w:rsidRDefault="00AC39A1" w:rsidP="00AC39A1">
      <w:pPr>
        <w:pStyle w:val="NormalHanging12a"/>
        <w:rPr>
          <w:bCs/>
          <w:iCs/>
          <w:color w:val="000000"/>
        </w:rPr>
      </w:pPr>
      <w:r w:rsidRPr="006E79EF">
        <w:t>25.</w:t>
      </w:r>
      <w:r w:rsidRPr="006E79EF">
        <w:tab/>
        <w:t>Considera que um alargamento do corredor da rede transeuropeia de transportes (RTE</w:t>
      </w:r>
      <w:r w:rsidRPr="006E79EF">
        <w:noBreakHyphen/>
        <w:t>T) «mar Báltico</w:t>
      </w:r>
      <w:r w:rsidRPr="006E79EF">
        <w:noBreakHyphen/>
        <w:t>mar Negro</w:t>
      </w:r>
      <w:r w:rsidRPr="006E79EF">
        <w:noBreakHyphen/>
        <w:t>mar Egeu» (Corredor IX) no sentido de incluir a rota de Quixinau</w:t>
      </w:r>
      <w:r w:rsidRPr="006E79EF">
        <w:noBreakHyphen/>
        <w:t>Constanta</w:t>
      </w:r>
      <w:r w:rsidRPr="006E79EF">
        <w:noBreakHyphen/>
        <w:t>Varna</w:t>
      </w:r>
      <w:r w:rsidRPr="006E79EF">
        <w:noBreakHyphen/>
        <w:t>Bourgas representaria um investimento estratégico nas infraestruturas de transporte da região, reforçando a conectividade e promovendo o crescimento económico, tendo em vista o alargamento da UE a leste e o potencial impacto positivo deste alargamento na segurança e estabilidade da região, bem como servindo de eixo logístico fundamental para a OTAN e reforçando a autonomia geoestratégica da UE;</w:t>
      </w:r>
    </w:p>
    <w:p w14:paraId="791DC47C" w14:textId="77777777" w:rsidR="00AC39A1" w:rsidRPr="006E79EF" w:rsidRDefault="00AC39A1" w:rsidP="00202EA4">
      <w:pPr>
        <w:pStyle w:val="NormalHanging12a"/>
        <w:ind w:left="0" w:firstLine="0"/>
        <w:rPr>
          <w:b/>
          <w:i/>
        </w:rPr>
      </w:pPr>
      <w:r w:rsidRPr="006E79EF">
        <w:rPr>
          <w:b/>
          <w:i/>
        </w:rPr>
        <w:t>Estado de direito e boa governação</w:t>
      </w:r>
    </w:p>
    <w:p w14:paraId="0607B014" w14:textId="77777777" w:rsidR="00AC39A1" w:rsidRPr="006E79EF" w:rsidRDefault="00AC39A1" w:rsidP="00AC39A1">
      <w:pPr>
        <w:pStyle w:val="NormalHanging12a"/>
      </w:pPr>
      <w:r w:rsidRPr="006E79EF">
        <w:t>26.</w:t>
      </w:r>
      <w:r w:rsidRPr="006E79EF">
        <w:tab/>
        <w:t>Sublinha que uma reforma abrangente da justiça continua a ser crucial para o êxito das reformas democráticas da Moldávia e das reformas relacionadas com a sua adesão à UE; reconhece os esforços constantes da Moldávia para instaurar um sistema judicial independente, imparcial, responsável e profissional e concluir o processo de verificação até ao final de 2026; exorta, portanto, a UE a manter o apoio ativo à reforma da justiça e ao processo de verificação tanto de juízes como de procuradores, designadamente pela atração, a formação e o recrutamento de pessoal judicial qualificado e pelo aumento da capacidade judicial;</w:t>
      </w:r>
    </w:p>
    <w:p w14:paraId="6FFAA4FD" w14:textId="77777777" w:rsidR="00AC39A1" w:rsidRPr="006E79EF" w:rsidRDefault="00AC39A1" w:rsidP="00AC39A1">
      <w:pPr>
        <w:pStyle w:val="NormalHanging12a"/>
      </w:pPr>
      <w:r w:rsidRPr="006E79EF">
        <w:t>27.</w:t>
      </w:r>
      <w:r w:rsidRPr="006E79EF">
        <w:tab/>
        <w:t>Assinala que a Moldávia registou progressos na luta contra a corrupção e na sua prevenção, todavia frisa a necessidade de prosseguir a luta contra o branqueamento de capitais; saúda a entrada em vigor, em fevereiro de 2024, do programa nacional da moldávia para a integridade e a luta contra a corrupção para o período 2024</w:t>
      </w:r>
      <w:r w:rsidRPr="006E79EF">
        <w:noBreakHyphen/>
        <w:t>2028; destaca a necessidade de assegurar uma coordenação reforçada entre todas as principais instituições de justiça e de luta contra a corrupção, a fim de aplicar reformas abrangentes e garantir que dispõem de recursos e capacidades adequados; frisa que é necessário obter resultados no que toca à ação penal e à condenação em casos de corrupção para garantir a confiança do público nas reformas em curso;</w:t>
      </w:r>
    </w:p>
    <w:p w14:paraId="7D9860D0" w14:textId="77777777" w:rsidR="00AC39A1" w:rsidRPr="006E79EF" w:rsidRDefault="00AC39A1" w:rsidP="00AC39A1">
      <w:pPr>
        <w:pStyle w:val="NormalHanging12a"/>
      </w:pPr>
      <w:r w:rsidRPr="006E79EF">
        <w:t>28.</w:t>
      </w:r>
      <w:r w:rsidRPr="006E79EF">
        <w:tab/>
        <w:t>Recorda a importância de prosseguir a investigação e de levar a julgamento os responsáveis pela fraude bancária de 2014; congratula</w:t>
      </w:r>
      <w:r w:rsidRPr="006E79EF">
        <w:noBreakHyphen/>
        <w:t xml:space="preserve">se com o facto de, após longos esforços das autoridades moldavas, a Interpol ter finalmente acrescentado um dos alegados autores, Vladimir Plahotniuc, à sua lista de pessoas procuradas </w:t>
      </w:r>
      <w:r w:rsidRPr="006E79EF">
        <w:lastRenderedPageBreak/>
        <w:t>internacionalmente;</w:t>
      </w:r>
    </w:p>
    <w:p w14:paraId="59C702C6" w14:textId="77777777" w:rsidR="00AC39A1" w:rsidRPr="006E79EF" w:rsidRDefault="00AC39A1" w:rsidP="00202EA4">
      <w:pPr>
        <w:spacing w:after="240"/>
        <w:ind w:left="567" w:hanging="567"/>
      </w:pPr>
      <w:r w:rsidRPr="006E79EF">
        <w:t>29.</w:t>
      </w:r>
      <w:r w:rsidRPr="006E79EF">
        <w:tab/>
      </w:r>
      <w:r w:rsidRPr="006E79EF">
        <w:rPr>
          <w:rStyle w:val="NormalHanging12aChar"/>
        </w:rPr>
        <w:t>Acolhe favoravelmente a adoção pela Moldávia, em 2023, de uma nova estratégia nacional de prevenção e luta contra o tráfico de seres humanos, alinhada pelo acervo da UE, e a cooperação da Moldávia com a Europol na luta contra o tráfico de droga;</w:t>
      </w:r>
    </w:p>
    <w:p w14:paraId="42C23F78" w14:textId="77777777" w:rsidR="00AC39A1" w:rsidRPr="006E79EF" w:rsidRDefault="00AC39A1" w:rsidP="00AC39A1">
      <w:pPr>
        <w:pStyle w:val="NormalHanging12a"/>
      </w:pPr>
      <w:r w:rsidRPr="006E79EF">
        <w:t>30.</w:t>
      </w:r>
      <w:r w:rsidRPr="006E79EF">
        <w:tab/>
        <w:t>Expressa a sua disponibilidade para continuar a apoiar o Parlamento da Moldávia através de atividades de apoio à democracia, mutuamente acordadas, que respondam às necessidades da instituição, dos seus deputados eleitos e do seu pessoal; sublinha a importância do Parlamento da Moldávia na promoção do debate público sobre o futuro europeu do país e na obtenção de um amplo consenso no seio de todos os partidos políticos e da sociedade em geral sobre as reformas relacionadas com a adesão à UE e a legitimidade democrática de tais reformas; realça a decisão de 10 de março de 2025 de abrir um gabinete do Parlamento Europeu em Quixinau para reforçar ainda mais o compromisso do Parlamento para com a região da Parceria Oriental;</w:t>
      </w:r>
    </w:p>
    <w:p w14:paraId="3109BAC2" w14:textId="77777777" w:rsidR="00AC39A1" w:rsidRPr="006E79EF" w:rsidRDefault="00AC39A1" w:rsidP="00202EA4">
      <w:pPr>
        <w:pStyle w:val="NormalHanging12a"/>
        <w:ind w:left="0" w:firstLine="0"/>
        <w:rPr>
          <w:b/>
          <w:i/>
        </w:rPr>
      </w:pPr>
      <w:r w:rsidRPr="006E79EF">
        <w:rPr>
          <w:b/>
          <w:i/>
        </w:rPr>
        <w:t>Cooperação no domínio da política externa e de segurança comum (PESC) e progressos na resolução do conflito na Transnístria</w:t>
      </w:r>
    </w:p>
    <w:p w14:paraId="5D4E67FC" w14:textId="77777777" w:rsidR="00AC39A1" w:rsidRPr="006E79EF" w:rsidRDefault="00AC39A1" w:rsidP="00202EA4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6E79EF">
        <w:t>31.</w:t>
      </w:r>
      <w:r w:rsidRPr="006E79EF">
        <w:tab/>
      </w:r>
      <w:r w:rsidRPr="006E79EF">
        <w:rPr>
          <w:rStyle w:val="NormalHanging12aChar"/>
        </w:rPr>
        <w:t>Congratula</w:t>
      </w:r>
      <w:r w:rsidRPr="006E79EF">
        <w:rPr>
          <w:rStyle w:val="NormalHanging12aChar"/>
        </w:rPr>
        <w:noBreakHyphen/>
        <w:t>se com a cooperação coerente da Moldávia em questões de política externa e com o aumento significativo, designadamente de 54 % em 2022 para 86 % em 2024, do seu alinhamento com as posições e as medidas restritivas da UE no domínio da PESC; convida a Moldávia a continuar a melhorar este alinhamento, nomeadamente no que diz respeito às medidas restritivas contra a Rússia, e a manter a cooperação na prevenção da evasão às sanções contra a Rússia e a Bielorrússia relacionadas com a guerra de agressão russa contra a Ucrânia;</w:t>
      </w:r>
    </w:p>
    <w:p w14:paraId="23F821A4" w14:textId="77777777" w:rsidR="00AC39A1" w:rsidRPr="006E79EF" w:rsidRDefault="00AC39A1" w:rsidP="00AC39A1">
      <w:pPr>
        <w:pStyle w:val="NormalHanging12a"/>
      </w:pPr>
      <w:r w:rsidRPr="006E79EF">
        <w:t>32.</w:t>
      </w:r>
      <w:r w:rsidRPr="006E79EF">
        <w:tab/>
        <w:t>Sublinha que a Moldávia é um dos principais contribuintes para a segurança regional e europeia, a saber mediante o seu apoio inabalável à Ucrânia desde o início da guerra de agressão russa, por exemplo, acolhendo refugiados de guerra ucranianos, e mediante os seus contributos para o Mecanismo de Proteção Civil da UE, por exemplo, através do destacamento de equipas de combate a incêndios aquando dos graves incêndios florestais na Grécia;</w:t>
      </w:r>
    </w:p>
    <w:p w14:paraId="012F440F" w14:textId="77777777" w:rsidR="00AC39A1" w:rsidRPr="006E79EF" w:rsidRDefault="00AC39A1" w:rsidP="00202EA4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6E79EF">
        <w:t>33.</w:t>
      </w:r>
      <w:r w:rsidRPr="006E79EF">
        <w:tab/>
      </w:r>
      <w:r w:rsidRPr="006E79EF">
        <w:rPr>
          <w:rStyle w:val="NormalHanging12aChar"/>
        </w:rPr>
        <w:t>Manifesta o seu apoio à EUPM na Moldávia e exorta os Estados</w:t>
      </w:r>
      <w:r w:rsidRPr="006E79EF">
        <w:rPr>
          <w:rStyle w:val="NormalHanging12aChar"/>
        </w:rPr>
        <w:noBreakHyphen/>
        <w:t>Membros a contribuírem com os peritos e os recursos financeiros necessários, em antecipação de uma possível intensificação das ameaças híbridas; saúda a recente prorrogação do mandato da EUPM até abril de 2026; incentiva as autoridades moldavas a utilizarem plenamente os conhecimentos especializados da EUPM para reforçar a sua preparação, sobretudo atendendo às repetidas ingerências eleitorais antes das eleições legislativas de 28 de setembro de 2025; solicita que a UE retire ensinamentos da experiência adquirida na Moldávia para a proteção do processo eleitoral e das instituições democráticas na própria UE; incentiva o Serviço Europeu para a Ação Externa e a Comissão a utilizarem todos os instrumentos da UE disponíveis no domínio da luta contra as ameaças híbridas, a fim de continuar a apoiar a Moldávia, nomeadamente através do destacamento célere de uma equipa de resposta rápida às ameaças híbridas; congratula</w:t>
      </w:r>
      <w:r w:rsidRPr="006E79EF">
        <w:rPr>
          <w:rStyle w:val="NormalHanging12aChar"/>
        </w:rPr>
        <w:noBreakHyphen/>
        <w:t xml:space="preserve">se com a criação do Centro de Comunicações Estratégicas e de Luta contra a Desinformação da Moldávia, enquanto meio de coordenação do combate à ingerência estrangeira no seio das várias instituições moldavas, bem como da Agência Nacional para a Cibersegurança e do Instituto Nacional para a Inovação em Cibersegurança; observa que a estratégia de segurança nacional da Moldávia, adotada em dezembro de 2023, realça a adesão à UE </w:t>
      </w:r>
      <w:r w:rsidRPr="006E79EF">
        <w:rPr>
          <w:rStyle w:val="NormalHanging12aChar"/>
        </w:rPr>
        <w:lastRenderedPageBreak/>
        <w:t>como objetivo basilar e identifica, pela primeira vez, a Rússia como a fonte das grandes ameaças à segurança da Moldávia; frisa a importância de melhorar a partilha de informações e a cooperação em matéria de informações secretas entre a Moldávia e a UE e os seus Estados</w:t>
      </w:r>
      <w:r w:rsidRPr="006E79EF">
        <w:rPr>
          <w:rStyle w:val="NormalHanging12aChar"/>
        </w:rPr>
        <w:noBreakHyphen/>
        <w:t>Membros no tocante a ameaças à segurança;</w:t>
      </w:r>
    </w:p>
    <w:p w14:paraId="0D529EC3" w14:textId="77777777" w:rsidR="00AC39A1" w:rsidRPr="006E79EF" w:rsidRDefault="00AC39A1" w:rsidP="00202EA4">
      <w:pPr>
        <w:shd w:val="clear" w:color="auto" w:fill="FFFFFF" w:themeFill="background1"/>
        <w:spacing w:after="240"/>
        <w:ind w:left="567" w:hanging="567"/>
      </w:pPr>
      <w:r w:rsidRPr="006E79EF">
        <w:t>34.</w:t>
      </w:r>
      <w:r w:rsidRPr="006E79EF">
        <w:tab/>
      </w:r>
      <w:r w:rsidRPr="006E79EF">
        <w:rPr>
          <w:rStyle w:val="NormalHanging12aChar"/>
        </w:rPr>
        <w:t>Reitera o seu total compromisso para com a integridade territorial da Moldávia e a resolução pacífica do conflito, com base na soberania e na integridade territorial da Moldávia dentro das suas fronteiras internacionalmente reconhecidas;</w:t>
      </w:r>
    </w:p>
    <w:p w14:paraId="35A151DE" w14:textId="77777777" w:rsidR="00AC39A1" w:rsidRPr="006E79EF" w:rsidRDefault="00AC39A1" w:rsidP="00202EA4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6E79EF">
        <w:t>35.</w:t>
      </w:r>
      <w:r w:rsidRPr="006E79EF">
        <w:tab/>
      </w:r>
      <w:r w:rsidRPr="006E79EF">
        <w:rPr>
          <w:rStyle w:val="NormalHanging12aChar"/>
        </w:rPr>
        <w:t>Acolhe com satisfação as iniciativas da Comissão no sentido de incluir um apoio pró</w:t>
      </w:r>
      <w:r w:rsidRPr="006E79EF">
        <w:rPr>
          <w:rStyle w:val="NormalHanging12aChar"/>
        </w:rPr>
        <w:noBreakHyphen/>
        <w:t>ativo à região da Transnístria nos seus pacotes de ajuda de emergência no domínio energético, bem como o intercâmbio de informações e a cooperação prática entre o Governo moldavo e as autoridades de facto da região da Transnístria durante a crise energética provocada pela Rússia; congratula</w:t>
      </w:r>
      <w:r w:rsidRPr="006E79EF">
        <w:rPr>
          <w:rStyle w:val="NormalHanging12aChar"/>
        </w:rPr>
        <w:noBreakHyphen/>
        <w:t>se com os progressos relativos às condicionalidades para Tiraspol à luz do recente acordo de trânsito de gás e preconiza a plena aplicação destas condicionalidades, notadamente a libertação de todos os presos políticos por Tiraspol e o desmantelamento dos restantes postos de controlo ilegais;</w:t>
      </w:r>
    </w:p>
    <w:p w14:paraId="08CE8B61" w14:textId="2EA77088" w:rsidR="00AC39A1" w:rsidRPr="006E79EF" w:rsidRDefault="00AC39A1" w:rsidP="00202EA4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6E79EF">
        <w:t>36.</w:t>
      </w:r>
      <w:r w:rsidRPr="006E79EF">
        <w:tab/>
      </w:r>
      <w:r w:rsidRPr="006E79EF">
        <w:rPr>
          <w:rStyle w:val="NormalHanging12aChar"/>
        </w:rPr>
        <w:t>Regozija</w:t>
      </w:r>
      <w:r w:rsidRPr="006E79EF">
        <w:rPr>
          <w:rStyle w:val="NormalHanging12aChar"/>
        </w:rPr>
        <w:noBreakHyphen/>
        <w:t>se com o grande interesse da Moldávia em contribuir para a política comum de segurança e defesa (PCSD) da UE e com o facto de a Moldávia ser o primeiro país a assinar uma parceria de segurança e defesa com a UE; acolhe com agrado a participação contínua e ativa da Moldávia nas missões e operações da UE no âmbito da PCSD</w:t>
      </w:r>
      <w:r w:rsidR="002E446C" w:rsidRPr="006E79EF">
        <w:rPr>
          <w:rStyle w:val="NormalHanging12aChar"/>
        </w:rPr>
        <w:t>, isto é, na Operação Militar da UE na Bósnia Herzegovina (operação Althea) e na Missão de Formação da UE na Somália</w:t>
      </w:r>
      <w:r w:rsidRPr="006E79EF">
        <w:rPr>
          <w:rStyle w:val="NormalHanging12aChar"/>
        </w:rPr>
        <w:t>, o seu interesse em participar em projetos CEP e as negociações em curso sobre um acordo</w:t>
      </w:r>
      <w:r w:rsidRPr="006E79EF">
        <w:rPr>
          <w:rStyle w:val="NormalHanging12aChar"/>
        </w:rPr>
        <w:noBreakHyphen/>
        <w:t>quadro com a Agência Europeia de Defesa; insta a UE a incluir a Moldávia nos programas de segurança e defesa da UE e nas dotações orçamentais conexas, inclusive o Programa da Indústria de Defesa Europeia e o plano Prontidão 2030, permitindo que o país participe na contratação conjunta a par dos Estados</w:t>
      </w:r>
      <w:r w:rsidRPr="006E79EF">
        <w:rPr>
          <w:rStyle w:val="NormalHanging12aChar"/>
        </w:rPr>
        <w:noBreakHyphen/>
        <w:t>Membros;</w:t>
      </w:r>
    </w:p>
    <w:p w14:paraId="76C5BC3C" w14:textId="77777777" w:rsidR="00AC39A1" w:rsidRPr="006E79EF" w:rsidRDefault="00AC39A1" w:rsidP="00AC39A1">
      <w:pPr>
        <w:pStyle w:val="NormalHanging12a"/>
      </w:pPr>
      <w:r w:rsidRPr="006E79EF">
        <w:t>37.</w:t>
      </w:r>
      <w:r w:rsidRPr="006E79EF">
        <w:tab/>
        <w:t>Congratula</w:t>
      </w:r>
      <w:r w:rsidRPr="006E79EF">
        <w:noBreakHyphen/>
        <w:t>se com a afetação de 50 milhões de EUR, através do Mecanismo Europeu de Apoio à Paz (MEAP) para 2024, destinados a modernizar as capacidades de defesa das forças armadas moldavas no contexto dos atuais desafios em matéria de segurança; observa que a Moldávia é o segundo maior beneficiário do MEAP, a seguir à Ucrânia, com um total de 137 milhões de EUR atribuídos desde 2021; regozija</w:t>
      </w:r>
      <w:r w:rsidRPr="006E79EF">
        <w:noBreakHyphen/>
        <w:t>se com o apoio anunciado de 60 milhões de EUR a conceder à Moldávia provenientes do orçamento do MEAP em 2025; insta os Estados</w:t>
      </w:r>
      <w:r w:rsidRPr="006E79EF">
        <w:noBreakHyphen/>
        <w:t>Membros a aumentarem progressivamente o financiamento do MEAP para a Moldávia visando reforçar ainda mais as capacidades de defesa do país;</w:t>
      </w:r>
    </w:p>
    <w:p w14:paraId="1AD34C40" w14:textId="77777777" w:rsidR="002A3896" w:rsidRPr="006E79EF" w:rsidRDefault="002A3896" w:rsidP="002A3896">
      <w:pPr>
        <w:pStyle w:val="NormalHanging12a"/>
        <w:widowControl/>
        <w:ind w:left="0" w:firstLine="0"/>
        <w:jc w:val="center"/>
      </w:pPr>
      <w:r w:rsidRPr="006E79EF">
        <w:t>°</w:t>
      </w:r>
    </w:p>
    <w:p w14:paraId="3720EFDE" w14:textId="77777777" w:rsidR="002A3896" w:rsidRPr="006E79EF" w:rsidRDefault="002A3896" w:rsidP="002A3896">
      <w:pPr>
        <w:pStyle w:val="NormalHanging12a"/>
        <w:widowControl/>
        <w:ind w:left="0" w:firstLine="0"/>
        <w:jc w:val="center"/>
      </w:pPr>
      <w:r w:rsidRPr="006E79EF">
        <w:t>°     °</w:t>
      </w:r>
    </w:p>
    <w:p w14:paraId="059EEF78" w14:textId="77777777" w:rsidR="005E57BE" w:rsidRPr="006E79EF" w:rsidRDefault="00AC39A1" w:rsidP="005E57BE">
      <w:pPr>
        <w:pStyle w:val="NormalHanging12a"/>
      </w:pPr>
      <w:r w:rsidRPr="006E79EF">
        <w:t>38.</w:t>
      </w:r>
      <w:r w:rsidRPr="006E79EF">
        <w:tab/>
        <w:t>Encarrega a sua Presidente de transmitir a presente resolução ao Conselho, à Comissão, à Vice</w:t>
      </w:r>
      <w:r w:rsidRPr="006E79EF">
        <w:noBreakHyphen/>
        <w:t>Presidente da Comissão/Alta Representante da União para os Negócios Estrangeiros e a Política de Segurança, bem como à Presidente, ao Governo e ao Parlamento da República da Moldávia.</w:t>
      </w:r>
    </w:p>
    <w:p w14:paraId="3D557D93" w14:textId="77777777" w:rsidR="00E365E1" w:rsidRPr="006E79EF" w:rsidRDefault="00E365E1" w:rsidP="00324BEC"/>
    <w:sectPr w:rsidR="00E365E1" w:rsidRPr="006E79EF" w:rsidSect="005E57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39E49" w14:textId="77777777" w:rsidR="00324BEC" w:rsidRPr="005E57BE" w:rsidRDefault="00324BEC">
      <w:r w:rsidRPr="005E57BE">
        <w:separator/>
      </w:r>
    </w:p>
  </w:endnote>
  <w:endnote w:type="continuationSeparator" w:id="0">
    <w:p w14:paraId="683F6B7B" w14:textId="77777777" w:rsidR="00324BEC" w:rsidRPr="005E57BE" w:rsidRDefault="00324BEC">
      <w:r w:rsidRPr="005E57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D8230" w14:textId="77777777" w:rsidR="00064002" w:rsidRPr="005E57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92C2C" w14:textId="77777777" w:rsidR="00064002" w:rsidRPr="005E57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75D2A" w14:textId="77777777" w:rsidR="00064002" w:rsidRPr="005E57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ADF93" w14:textId="77777777" w:rsidR="00324BEC" w:rsidRPr="005E57BE" w:rsidRDefault="00324BEC">
      <w:r w:rsidRPr="005E57BE">
        <w:separator/>
      </w:r>
    </w:p>
  </w:footnote>
  <w:footnote w:type="continuationSeparator" w:id="0">
    <w:p w14:paraId="132204D5" w14:textId="77777777" w:rsidR="00324BEC" w:rsidRPr="005E57BE" w:rsidRDefault="00324BEC">
      <w:r w:rsidRPr="005E57BE">
        <w:continuationSeparator/>
      </w:r>
    </w:p>
  </w:footnote>
  <w:footnote w:id="1">
    <w:p w14:paraId="4449690C" w14:textId="77777777" w:rsidR="00AC39A1" w:rsidRPr="00F36BAC" w:rsidRDefault="00AC39A1" w:rsidP="005E57BE">
      <w:pPr>
        <w:pStyle w:val="FootnoteText"/>
        <w:ind w:left="567" w:hanging="567"/>
        <w:rPr>
          <w:sz w:val="24"/>
          <w:lang w:val="fi-FI"/>
        </w:rPr>
      </w:pPr>
      <w:r w:rsidRPr="005E57BE">
        <w:rPr>
          <w:rStyle w:val="FootnoteReference"/>
          <w:sz w:val="24"/>
          <w:lang w:val="pt-PT"/>
        </w:rPr>
        <w:footnoteRef/>
      </w:r>
      <w:r w:rsidR="005E57BE" w:rsidRPr="00F36BAC">
        <w:rPr>
          <w:sz w:val="24"/>
          <w:lang w:val="fi-FI"/>
        </w:rPr>
        <w:t xml:space="preserve"> </w:t>
      </w:r>
      <w:r w:rsidR="005E57BE" w:rsidRPr="00F36BAC">
        <w:rPr>
          <w:sz w:val="24"/>
          <w:lang w:val="fi-FI"/>
        </w:rPr>
        <w:tab/>
      </w:r>
      <w:r w:rsidRPr="00F36BAC">
        <w:rPr>
          <w:sz w:val="24"/>
          <w:lang w:val="fi-FI"/>
        </w:rPr>
        <w:t xml:space="preserve">JO L, 2025/535, 21.3.2025, ELI: </w:t>
      </w:r>
      <w:hyperlink r:id="rId1" w:history="1">
        <w:r w:rsidRPr="00F36BAC">
          <w:rPr>
            <w:rStyle w:val="Hyperlink"/>
            <w:sz w:val="24"/>
            <w:lang w:val="fi-FI"/>
          </w:rPr>
          <w:t>http://data.europa.eu/eli/reg/2025/535/oj</w:t>
        </w:r>
      </w:hyperlink>
      <w:r w:rsidRPr="00F36BAC">
        <w:rPr>
          <w:sz w:val="24"/>
          <w:lang w:val="fi-FI"/>
        </w:rPr>
        <w:t>.</w:t>
      </w:r>
    </w:p>
  </w:footnote>
  <w:footnote w:id="2">
    <w:p w14:paraId="4F4FCC19" w14:textId="77777777" w:rsidR="00AC39A1" w:rsidRPr="005E57BE" w:rsidRDefault="00AC39A1" w:rsidP="005E57BE">
      <w:pPr>
        <w:pStyle w:val="FootnoteText"/>
        <w:ind w:left="567" w:hanging="567"/>
        <w:rPr>
          <w:sz w:val="24"/>
          <w:lang w:val="pt-PT"/>
        </w:rPr>
      </w:pPr>
      <w:r w:rsidRPr="005E57BE">
        <w:rPr>
          <w:rStyle w:val="FootnoteReference"/>
          <w:sz w:val="24"/>
          <w:lang w:val="pt-PT"/>
        </w:rPr>
        <w:footnoteRef/>
      </w:r>
      <w:r w:rsidR="005E57BE" w:rsidRPr="005E57BE">
        <w:rPr>
          <w:sz w:val="24"/>
          <w:shd w:val="clear" w:color="auto" w:fill="FFFFFF"/>
          <w:lang w:val="pt-PT"/>
        </w:rPr>
        <w:t xml:space="preserve"> </w:t>
      </w:r>
      <w:r w:rsidR="005E57BE" w:rsidRPr="005E57BE">
        <w:rPr>
          <w:sz w:val="24"/>
          <w:shd w:val="clear" w:color="auto" w:fill="FFFFFF"/>
          <w:lang w:val="pt-PT"/>
        </w:rPr>
        <w:tab/>
      </w:r>
      <w:r w:rsidRPr="005E57BE">
        <w:rPr>
          <w:sz w:val="24"/>
          <w:shd w:val="clear" w:color="auto" w:fill="FFFFFF"/>
          <w:lang w:val="pt-PT"/>
        </w:rPr>
        <w:t>Acordo de Associação entre a União Europeia e a Comunidade Europeia da Energia Atómica, e os seus Estados</w:t>
      </w:r>
      <w:r w:rsidRPr="005E57BE">
        <w:rPr>
          <w:sz w:val="24"/>
          <w:shd w:val="clear" w:color="auto" w:fill="FFFFFF"/>
          <w:lang w:val="pt-PT"/>
        </w:rPr>
        <w:noBreakHyphen/>
        <w:t>Membros, por um lado, e a República da Moldávia, por outro (</w:t>
      </w:r>
      <w:r w:rsidRPr="00202EA4">
        <w:rPr>
          <w:rStyle w:val="Emphasis"/>
          <w:i w:val="0"/>
          <w:sz w:val="24"/>
          <w:shd w:val="clear" w:color="auto" w:fill="FFFFFF"/>
          <w:lang w:val="pt-PT"/>
        </w:rPr>
        <w:t xml:space="preserve">JO L 260 de 30.8.2014, p. 4, </w:t>
      </w:r>
      <w:r w:rsidRPr="005E57BE">
        <w:rPr>
          <w:sz w:val="24"/>
          <w:shd w:val="clear" w:color="auto" w:fill="FFFFFF"/>
          <w:lang w:val="pt-PT"/>
        </w:rPr>
        <w:t>ELI: </w:t>
      </w:r>
      <w:hyperlink r:id="rId2" w:tooltip="Dá acesso a este documento através do respetivo URI do ELI." w:history="1">
        <w:r w:rsidRPr="005E57BE">
          <w:rPr>
            <w:rStyle w:val="Hyperlink"/>
            <w:sz w:val="24"/>
            <w:shd w:val="clear" w:color="auto" w:fill="FFFFFF"/>
            <w:lang w:val="pt-PT"/>
          </w:rPr>
          <w:t>http://data.europa.eu/eli/agree_internation/2014/492/oj</w:t>
        </w:r>
      </w:hyperlink>
      <w:r w:rsidRPr="005E57BE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11CCB" w14:textId="77777777" w:rsidR="00064002" w:rsidRPr="005E57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D8174" w14:textId="77777777" w:rsidR="00064002" w:rsidRPr="005E57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30B3" w14:textId="77777777" w:rsidR="00064002" w:rsidRPr="005E57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6/2025"/>
    <w:docVar w:name="dvlangue" w:val="PT"/>
    <w:docVar w:name="dvnumam" w:val="0"/>
    <w:docVar w:name="dvpe" w:val="768.179"/>
    <w:docVar w:name="dvrapporteur" w:val="Relator: "/>
    <w:docVar w:name="dvtitre" w:val="Resolução do Parlamento Europeu, de ... de ... de 2025,_x000d__x000a_ sobre os relatórios de 2023 e 2024 da Comissão relativos à Moldávia(2025/2025(INI))"/>
  </w:docVars>
  <w:rsids>
    <w:rsidRoot w:val="00324BE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EA4"/>
    <w:rsid w:val="002767FF"/>
    <w:rsid w:val="002A3896"/>
    <w:rsid w:val="002B18FE"/>
    <w:rsid w:val="002B5493"/>
    <w:rsid w:val="002E446C"/>
    <w:rsid w:val="00324BE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7BE"/>
    <w:rsid w:val="005F1B17"/>
    <w:rsid w:val="006037C0"/>
    <w:rsid w:val="006631B6"/>
    <w:rsid w:val="00680577"/>
    <w:rsid w:val="006E79E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39A1"/>
    <w:rsid w:val="00AE0928"/>
    <w:rsid w:val="00AF3B82"/>
    <w:rsid w:val="00B12E95"/>
    <w:rsid w:val="00B22876"/>
    <w:rsid w:val="00B558F0"/>
    <w:rsid w:val="00BC44AB"/>
    <w:rsid w:val="00BD48FE"/>
    <w:rsid w:val="00BD7BD8"/>
    <w:rsid w:val="00BE6ADC"/>
    <w:rsid w:val="00C05BFE"/>
    <w:rsid w:val="00C23CD4"/>
    <w:rsid w:val="00C61C0C"/>
    <w:rsid w:val="00C941CB"/>
    <w:rsid w:val="00CC2357"/>
    <w:rsid w:val="00CE4676"/>
    <w:rsid w:val="00CF071A"/>
    <w:rsid w:val="00D058B8"/>
    <w:rsid w:val="00D56C11"/>
    <w:rsid w:val="00D834A0"/>
    <w:rsid w:val="00D872DF"/>
    <w:rsid w:val="00D91E21"/>
    <w:rsid w:val="00DA7FCD"/>
    <w:rsid w:val="00DF6B8C"/>
    <w:rsid w:val="00E365E1"/>
    <w:rsid w:val="00E820A4"/>
    <w:rsid w:val="00EB006A"/>
    <w:rsid w:val="00EB4772"/>
    <w:rsid w:val="00EC3F4F"/>
    <w:rsid w:val="00ED169E"/>
    <w:rsid w:val="00ED4235"/>
    <w:rsid w:val="00F04346"/>
    <w:rsid w:val="00F075DC"/>
    <w:rsid w:val="00F149E9"/>
    <w:rsid w:val="00F36BA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18CE08"/>
  <w15:chartTrackingRefBased/>
  <w15:docId w15:val="{330847D8-51C0-4BA3-95DD-01191481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C39A1"/>
    <w:pPr>
      <w:spacing w:after="240"/>
      <w:ind w:left="567" w:hanging="567"/>
    </w:pPr>
  </w:style>
  <w:style w:type="paragraph" w:customStyle="1" w:styleId="EPComma">
    <w:name w:val="EPComma"/>
    <w:basedOn w:val="Normal"/>
    <w:rsid w:val="00AC39A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C39A1"/>
    <w:rPr>
      <w:sz w:val="24"/>
      <w:lang w:val="pt-PT"/>
    </w:rPr>
  </w:style>
  <w:style w:type="character" w:styleId="Emphasis">
    <w:name w:val="Emphasis"/>
    <w:basedOn w:val="DefaultParagraphFont"/>
    <w:uiPriority w:val="20"/>
    <w:qFormat/>
    <w:rsid w:val="00AC39A1"/>
    <w:rPr>
      <w:i/>
      <w:iCs/>
    </w:rPr>
  </w:style>
  <w:style w:type="character" w:styleId="Hyperlink">
    <w:name w:val="Hyperlink"/>
    <w:basedOn w:val="DefaultParagraphFont"/>
    <w:unhideWhenUsed/>
    <w:rsid w:val="00AC39A1"/>
    <w:rPr>
      <w:color w:val="0000FF"/>
      <w:u w:val="single"/>
    </w:rPr>
  </w:style>
  <w:style w:type="character" w:customStyle="1" w:styleId="highlight-diff">
    <w:name w:val="highlight-diff"/>
    <w:basedOn w:val="DefaultParagraphFont"/>
    <w:rsid w:val="00AC39A1"/>
  </w:style>
  <w:style w:type="paragraph" w:styleId="BalloonText">
    <w:name w:val="Balloon Text"/>
    <w:basedOn w:val="Normal"/>
    <w:link w:val="BalloonTextChar"/>
    <w:rsid w:val="002A38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3896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EC3F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3F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3F4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C3F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3F4F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4/492/oj" TargetMode="External"/><Relationship Id="rId1" Type="http://schemas.openxmlformats.org/officeDocument/2006/relationships/hyperlink" Target="http://data.europa.eu/eli/reg/2025/5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E4D2A-FCA1-4703-AB62-1A34A67FB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4529</Words>
  <Characters>24071</Characters>
  <Application>Microsoft Office Word</Application>
  <DocSecurity>0</DocSecurity>
  <Lines>200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2025-06-18T14:24:00Z</dcterms:created>
  <dcterms:modified xsi:type="dcterms:W3CDTF">2025-06-18T14:24:00Z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A10-0096/2025</vt:lpwstr>
  </property>
  <property fmtid="{D5CDD505-2E9C-101B-9397-08002B2CF9AE}" pid="4" name="&lt;Type&gt;">
    <vt:lpwstr>RR</vt:lpwstr>
  </property>
</Properties>
</file>