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0C31" w14:paraId="62EEAA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528086" w14:textId="77777777" w:rsidR="00751A4A" w:rsidRPr="00750C31" w:rsidRDefault="0074152F" w:rsidP="0010095E">
            <w:pPr>
              <w:pStyle w:val="EPName"/>
            </w:pPr>
            <w:r w:rsidRPr="00750C31">
              <w:t>Európsky parlament</w:t>
            </w:r>
          </w:p>
          <w:p w14:paraId="74195843" w14:textId="77777777" w:rsidR="00751A4A" w:rsidRPr="00750C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0C31">
              <w:t>2024</w:t>
            </w:r>
            <w:r w:rsidR="00817416" w:rsidRPr="00750C31">
              <w:t>-202</w:t>
            </w:r>
            <w:r w:rsidRPr="00750C31">
              <w:t>9</w:t>
            </w:r>
          </w:p>
        </w:tc>
        <w:tc>
          <w:tcPr>
            <w:tcW w:w="2268" w:type="dxa"/>
            <w:shd w:val="clear" w:color="auto" w:fill="auto"/>
          </w:tcPr>
          <w:p w14:paraId="0B5BFC67" w14:textId="77777777" w:rsidR="00751A4A" w:rsidRPr="00750C31" w:rsidRDefault="00187494" w:rsidP="0010095E">
            <w:pPr>
              <w:pStyle w:val="EPLogo"/>
            </w:pPr>
            <w:r w:rsidRPr="00750C31">
              <w:rPr>
                <w:noProof/>
                <w:lang w:val="en-GB"/>
              </w:rPr>
              <w:drawing>
                <wp:inline distT="0" distB="0" distL="0" distR="0" wp14:anchorId="67A21A44" wp14:editId="50D685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1D1FD8" w14:textId="77777777" w:rsidR="00D058B8" w:rsidRPr="00750C31" w:rsidRDefault="00D058B8" w:rsidP="004C5D52">
      <w:pPr>
        <w:pStyle w:val="LineTop"/>
      </w:pPr>
    </w:p>
    <w:p w14:paraId="6D5B9994" w14:textId="77777777" w:rsidR="00680577" w:rsidRPr="00750C31" w:rsidRDefault="0074152F" w:rsidP="00680577">
      <w:pPr>
        <w:pStyle w:val="EPBodyTA1"/>
      </w:pPr>
      <w:r w:rsidRPr="00750C31">
        <w:t>PRIJATÉ TEXTY</w:t>
      </w:r>
    </w:p>
    <w:p w14:paraId="6E1FA332" w14:textId="77777777" w:rsidR="00D058B8" w:rsidRPr="00750C31" w:rsidRDefault="00D058B8" w:rsidP="00D058B8">
      <w:pPr>
        <w:pStyle w:val="LineBottom"/>
      </w:pPr>
    </w:p>
    <w:p w14:paraId="4EC4ACAD" w14:textId="4ADB5B29" w:rsidR="0074152F" w:rsidRPr="00750C31" w:rsidRDefault="0074152F" w:rsidP="0074152F">
      <w:pPr>
        <w:pStyle w:val="ATHeading1"/>
      </w:pPr>
      <w:bookmarkStart w:id="0" w:name="TANumber"/>
      <w:r w:rsidRPr="00750C31">
        <w:t>P10_TA(2025)0</w:t>
      </w:r>
      <w:r w:rsidR="00651003">
        <w:t>131</w:t>
      </w:r>
      <w:bookmarkEnd w:id="0"/>
    </w:p>
    <w:p w14:paraId="6A2137E5" w14:textId="77777777" w:rsidR="0074152F" w:rsidRPr="00750C31" w:rsidRDefault="0074152F" w:rsidP="0074152F">
      <w:pPr>
        <w:pStyle w:val="ATHeading2"/>
      </w:pPr>
      <w:bookmarkStart w:id="1" w:name="title"/>
      <w:r w:rsidRPr="00750C31">
        <w:t>Správy Komisie o Moldavsku za roky 2023 a 2024</w:t>
      </w:r>
      <w:bookmarkEnd w:id="1"/>
    </w:p>
    <w:p w14:paraId="176A3E3C" w14:textId="77777777" w:rsidR="0074152F" w:rsidRPr="00750C31" w:rsidRDefault="0074152F" w:rsidP="0074152F">
      <w:pPr>
        <w:rPr>
          <w:i/>
          <w:vanish/>
        </w:rPr>
      </w:pPr>
      <w:r w:rsidRPr="00750C31">
        <w:rPr>
          <w:i/>
        </w:rPr>
        <w:fldChar w:fldCharType="begin"/>
      </w:r>
      <w:r w:rsidRPr="00750C31">
        <w:rPr>
          <w:i/>
        </w:rPr>
        <w:instrText xml:space="preserve"> TC"(</w:instrText>
      </w:r>
      <w:bookmarkStart w:id="2" w:name="DocNumber"/>
      <w:r w:rsidRPr="00750C31">
        <w:rPr>
          <w:i/>
        </w:rPr>
        <w:instrText>A10-0096/2025</w:instrText>
      </w:r>
      <w:bookmarkEnd w:id="2"/>
      <w:r w:rsidRPr="00750C31">
        <w:rPr>
          <w:i/>
        </w:rPr>
        <w:instrText xml:space="preserve"> - Spravodajca: </w:instrText>
      </w:r>
      <w:proofErr w:type="spellStart"/>
      <w:r w:rsidRPr="00750C31">
        <w:rPr>
          <w:i/>
        </w:rPr>
        <w:instrText>Sven</w:instrText>
      </w:r>
      <w:proofErr w:type="spellEnd"/>
      <w:r w:rsidRPr="00750C31">
        <w:rPr>
          <w:i/>
        </w:rPr>
        <w:instrText xml:space="preserve"> </w:instrText>
      </w:r>
      <w:proofErr w:type="spellStart"/>
      <w:r w:rsidRPr="00750C31">
        <w:rPr>
          <w:i/>
        </w:rPr>
        <w:instrText>Mikser</w:instrText>
      </w:r>
      <w:proofErr w:type="spellEnd"/>
      <w:r w:rsidRPr="00750C31">
        <w:rPr>
          <w:i/>
        </w:rPr>
        <w:instrText xml:space="preserve">)"\l3 \n&gt; \* MERGEFORMAT </w:instrText>
      </w:r>
      <w:r w:rsidRPr="00750C31">
        <w:rPr>
          <w:i/>
        </w:rPr>
        <w:fldChar w:fldCharType="end"/>
      </w:r>
    </w:p>
    <w:p w14:paraId="61E248CE" w14:textId="77777777" w:rsidR="0074152F" w:rsidRPr="00750C31" w:rsidRDefault="0074152F" w:rsidP="0074152F">
      <w:pPr>
        <w:rPr>
          <w:vanish/>
        </w:rPr>
      </w:pPr>
      <w:bookmarkStart w:id="3" w:name="Commission"/>
      <w:r w:rsidRPr="00750C31">
        <w:rPr>
          <w:vanish/>
        </w:rPr>
        <w:t>Výbor pre zahraničné veci</w:t>
      </w:r>
      <w:bookmarkEnd w:id="3"/>
    </w:p>
    <w:p w14:paraId="410FEBD7" w14:textId="77777777" w:rsidR="0074152F" w:rsidRPr="00750C31" w:rsidRDefault="0074152F" w:rsidP="0074152F">
      <w:pPr>
        <w:rPr>
          <w:vanish/>
        </w:rPr>
      </w:pPr>
      <w:bookmarkStart w:id="4" w:name="PE"/>
      <w:r w:rsidRPr="00750C31">
        <w:rPr>
          <w:vanish/>
        </w:rPr>
        <w:t>PE768.179</w:t>
      </w:r>
      <w:bookmarkEnd w:id="4"/>
    </w:p>
    <w:p w14:paraId="1AD76B41" w14:textId="152BE4DC" w:rsidR="0074152F" w:rsidRPr="00750C31" w:rsidRDefault="0074152F" w:rsidP="0074152F">
      <w:pPr>
        <w:pStyle w:val="ATHeading3"/>
      </w:pPr>
      <w:bookmarkStart w:id="5" w:name="Sujet"/>
      <w:r w:rsidRPr="00750C31">
        <w:t>Uznesenie Európskeho parlamentu z</w:t>
      </w:r>
      <w:r w:rsidR="00010938">
        <w:t> 18</w:t>
      </w:r>
      <w:r w:rsidRPr="00750C31">
        <w:t>. júna 2025 o správach Komisie o Moldavsku za roky 2023 a 2024</w:t>
      </w:r>
      <w:bookmarkEnd w:id="5"/>
      <w:r w:rsidRPr="00750C31">
        <w:t xml:space="preserve"> </w:t>
      </w:r>
      <w:bookmarkStart w:id="6" w:name="References"/>
      <w:r w:rsidRPr="00750C31">
        <w:t>(2025/2025(INI))</w:t>
      </w:r>
      <w:bookmarkEnd w:id="6"/>
    </w:p>
    <w:p w14:paraId="553A4F6A" w14:textId="77777777" w:rsidR="00484B08" w:rsidRPr="00750C31" w:rsidRDefault="00484B08" w:rsidP="00484B08">
      <w:pPr>
        <w:pStyle w:val="EPComma"/>
      </w:pPr>
      <w:r w:rsidRPr="00750C31">
        <w:rPr>
          <w:i/>
        </w:rPr>
        <w:t>Európsky parlament</w:t>
      </w:r>
      <w:r w:rsidRPr="00750C31">
        <w:t>,</w:t>
      </w:r>
    </w:p>
    <w:p w14:paraId="39057531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 xml:space="preserve">so zreteľom na oznámenie Komisie z 30. októbra 2024 s názvom Oznámenie o politike rozširovania EÚ za rok 2024 (COM(2024)0690) a na sprievodný pracovný dokument útvarov Komisie s názvom Správa o Moldavsku za rok 2024 (SWD(2024)0698), </w:t>
      </w:r>
    </w:p>
    <w:p w14:paraId="216DB0EB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stanovisko Komisie zo 17. júna 2022 k žiadosti Moldavskej republiky (ďalej len „Moldavsko“) o členstvo v Európskej únii (COM(2022)0406) a na spoločný pracovný dokument útvarov zo 6. februára 2023 s názvom Správa o vykonávaní dohody o pridružení s Moldavskou republikou (SWD(2023)0041),</w:t>
      </w:r>
    </w:p>
    <w:p w14:paraId="0828F23A" w14:textId="77777777" w:rsidR="00484B08" w:rsidRPr="00750C31" w:rsidRDefault="00484B08" w:rsidP="00A562EA">
      <w:pPr>
        <w:pStyle w:val="NormalHanging12a"/>
        <w:rPr>
          <w:i/>
        </w:rPr>
      </w:pPr>
      <w:r w:rsidRPr="00750C31">
        <w:rPr>
          <w:i/>
        </w:rPr>
        <w:t>–</w:t>
      </w:r>
      <w:r w:rsidRPr="00750C31">
        <w:tab/>
        <w:t>so zreteľom na návrh nariadenia Európskeho parlamentu a Rady (EÚ) 2025/535 z 18. marca 2025, ktorým sa zriaďuje Nástroj na podporu reforiem a rastu pre Moldavskú republiku</w:t>
      </w:r>
      <w:r w:rsidRPr="00750C31">
        <w:rPr>
          <w:rStyle w:val="FootnoteReference"/>
        </w:rPr>
        <w:footnoteReference w:id="1"/>
      </w:r>
      <w:r w:rsidRPr="00750C31">
        <w:t>,</w:t>
      </w:r>
    </w:p>
    <w:p w14:paraId="25E16028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svoje predchádzajúce uznesenia o Moldavsku,</w:t>
      </w:r>
    </w:p>
    <w:p w14:paraId="5232A424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 xml:space="preserve">so zreteľom na analytickú správu Komisie z 1. februára 2023 o zosúlaďovaní právnych predpisov Moldavska s </w:t>
      </w:r>
      <w:proofErr w:type="spellStart"/>
      <w:r w:rsidRPr="00750C31">
        <w:rPr>
          <w:i/>
        </w:rPr>
        <w:t>acquis</w:t>
      </w:r>
      <w:proofErr w:type="spellEnd"/>
      <w:r w:rsidRPr="00750C31">
        <w:t xml:space="preserve"> EÚ (SWD(2023)0032),</w:t>
      </w:r>
    </w:p>
    <w:p w14:paraId="7BCFC919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návrh nariadenia Európskeho parlamentu a Rady z 9. októbra 2024, ktorým sa zriaďuje Nástroj na podporu reforiem a rastu pre Moldavskú republiku (COM(2024)0469),</w:t>
      </w:r>
    </w:p>
    <w:p w14:paraId="6D62C3FB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oznámenie Komisie z 9. októbra 2024 o pláne rastu pre Moldavsko (COM(2024)0470),</w:t>
      </w:r>
    </w:p>
    <w:p w14:paraId="010576CA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závery Rady zo 17. decembra 2024 o rozširovaní,</w:t>
      </w:r>
    </w:p>
    <w:p w14:paraId="49AAC793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 xml:space="preserve">so zreteľom na návštevu delegácie Výboru pre zahraničné veci v Moldavsku, ktorá sa </w:t>
      </w:r>
      <w:r w:rsidRPr="00750C31">
        <w:lastRenderedPageBreak/>
        <w:t>uskutočnila 25. – 27. februára 2025,</w:t>
      </w:r>
    </w:p>
    <w:p w14:paraId="37B721FA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článok 55 rokovacieho poriadku,</w:t>
      </w:r>
    </w:p>
    <w:p w14:paraId="079F5561" w14:textId="77777777" w:rsidR="00484B08" w:rsidRPr="00750C31" w:rsidRDefault="00484B08" w:rsidP="00A562EA">
      <w:pPr>
        <w:pStyle w:val="NormalHanging12a"/>
      </w:pPr>
      <w:r w:rsidRPr="00750C31">
        <w:t>–</w:t>
      </w:r>
      <w:r w:rsidRPr="00750C31">
        <w:tab/>
        <w:t>so zreteľom na správu Výboru pre zahraničné veci (A10-0096/2025),</w:t>
      </w:r>
    </w:p>
    <w:p w14:paraId="069B30C0" w14:textId="77777777" w:rsidR="00484B08" w:rsidRPr="00750C31" w:rsidRDefault="00484B08" w:rsidP="00A562EA">
      <w:pPr>
        <w:pStyle w:val="NormalHanging12a"/>
      </w:pPr>
      <w:r w:rsidRPr="00750C31">
        <w:t>A.</w:t>
      </w:r>
      <w:r w:rsidRPr="00750C31">
        <w:tab/>
        <w:t>keďže v nadväznosti na žiadosť Moldavska o členstvo v EÚ z 3. marca 2022 mu Európska rada 23. júna 2022 udelila štatút kandidátskej krajiny a následne 14. decembra 2023 rozhodla o začatí prístupových rokovaní;</w:t>
      </w:r>
    </w:p>
    <w:p w14:paraId="0AA9E64F" w14:textId="77777777" w:rsidR="00484B08" w:rsidRPr="00750C31" w:rsidRDefault="00484B08" w:rsidP="00A562EA">
      <w:pPr>
        <w:pStyle w:val="NormalHanging12a"/>
      </w:pPr>
      <w:r w:rsidRPr="00750C31">
        <w:t>B.</w:t>
      </w:r>
      <w:r w:rsidRPr="00750C31">
        <w:tab/>
        <w:t>keďže v júni 2024 sa začali rokovania o pristúpení Moldavska k EÚ;</w:t>
      </w:r>
    </w:p>
    <w:p w14:paraId="32F50CC9" w14:textId="77777777" w:rsidR="00484B08" w:rsidRPr="00750C31" w:rsidRDefault="00484B08" w:rsidP="00A562EA">
      <w:pPr>
        <w:pStyle w:val="NormalHanging12a"/>
      </w:pPr>
      <w:r w:rsidRPr="00750C31">
        <w:t>C.</w:t>
      </w:r>
      <w:r w:rsidRPr="00750C31">
        <w:tab/>
        <w:t>keďže v Moldavsku sa 20. októbra 2024 uskutočnilo referendum, ktorého výsledok potvrdil zakotvenie pristúpenia k EÚ v jeho ústave, a to aj napriek rôznym foriem manipulatívneho zasahovania s cieľom destabilizovať krajinu, nezákonnému financovaniu politických aktérov, dezinformačným kampaniam a kybernetickým útokom;</w:t>
      </w:r>
    </w:p>
    <w:p w14:paraId="7DF85BAC" w14:textId="77777777" w:rsidR="00484B08" w:rsidRPr="00750C31" w:rsidRDefault="00484B08" w:rsidP="00A562EA">
      <w:pPr>
        <w:pStyle w:val="NormalHanging12a"/>
      </w:pPr>
      <w:r w:rsidRPr="00750C31">
        <w:t>D.</w:t>
      </w:r>
      <w:r w:rsidRPr="00750C31">
        <w:tab/>
        <w:t>keďže dohoda o pridružení</w:t>
      </w:r>
      <w:r w:rsidRPr="00750C31">
        <w:rPr>
          <w:rStyle w:val="FootnoteReference"/>
          <w:color w:val="000000"/>
        </w:rPr>
        <w:footnoteReference w:id="2"/>
      </w:r>
      <w:r w:rsidRPr="00750C31">
        <w:t>, ktorá zahŕňa prehĺbenú a komplexnú zónu voľného obchodu (AA/DCFTA), je základom politického pridruženia a hospodárskej integrácie medzi EÚ a Moldavskom a medzi oboma stranami prebieha pravidelný politický a hospodársky dialóg;</w:t>
      </w:r>
    </w:p>
    <w:p w14:paraId="3BE1E1D3" w14:textId="77777777" w:rsidR="00484B08" w:rsidRPr="00750C31" w:rsidRDefault="00484B08" w:rsidP="00F66900">
      <w:pPr>
        <w:pStyle w:val="NormalHanging12a"/>
        <w:ind w:left="0" w:firstLine="0"/>
        <w:rPr>
          <w:b/>
        </w:rPr>
      </w:pPr>
      <w:r w:rsidRPr="00750C31">
        <w:rPr>
          <w:b/>
          <w:i/>
        </w:rPr>
        <w:t>Pokrok v reformách súvisiacich s pristúpením k EÚ, najmä v oblasti právneho štátu a správy vecí verejných</w:t>
      </w:r>
    </w:p>
    <w:p w14:paraId="63A13DBB" w14:textId="77777777" w:rsidR="00484B08" w:rsidRPr="00750C31" w:rsidRDefault="00484B08" w:rsidP="00A562EA">
      <w:pPr>
        <w:pStyle w:val="NormalHanging12a"/>
        <w:rPr>
          <w:shd w:val="clear" w:color="auto" w:fill="FFFFFF"/>
        </w:rPr>
      </w:pPr>
      <w:r w:rsidRPr="00750C31">
        <w:t>1.</w:t>
      </w:r>
      <w:r w:rsidRPr="00750C31">
        <w:tab/>
      </w:r>
      <w:r w:rsidRPr="00750C31">
        <w:rPr>
          <w:shd w:val="clear" w:color="auto" w:fill="FFFFFF"/>
        </w:rPr>
        <w:t>oceňuje príkladný záväzok Moldavska a stabilný pokrok v reformách súvisiacich s pristúpením k EÚ napriek významným vnútorným a vonkajším výzvam, ako je rozsiahla ruská útočná vojna proti Ukrajine, čo umožnilo začatie prístupových rokovaní v júni 2024</w:t>
      </w:r>
      <w:r w:rsidRPr="00750C31">
        <w:rPr>
          <w:rStyle w:val="highlight-diff"/>
          <w:color w:val="000000"/>
          <w:shd w:val="clear" w:color="auto" w:fill="FFFFFF"/>
        </w:rPr>
        <w:t>, pol roka po príslušnom rozhodnutí Európskej rady zo 14. decembra 2023 a menej než dva roky po podaní žiadosti krajiny o členstvo v EÚ z 3. marca 2022</w:t>
      </w:r>
      <w:r w:rsidRPr="00750C31">
        <w:rPr>
          <w:shd w:val="clear" w:color="auto" w:fill="FFFFFF"/>
        </w:rPr>
        <w:t>;</w:t>
      </w:r>
    </w:p>
    <w:p w14:paraId="3BCA2638" w14:textId="77777777" w:rsidR="00484B08" w:rsidRPr="00750C31" w:rsidRDefault="00484B08" w:rsidP="00A562EA">
      <w:pPr>
        <w:pStyle w:val="NormalHanging12a"/>
      </w:pPr>
      <w:r w:rsidRPr="00750C31">
        <w:t>2.</w:t>
      </w:r>
      <w:r w:rsidRPr="00750C31">
        <w:tab/>
        <w:t xml:space="preserve">uznáva, že vzťahy medzi EÚ a Moldavskom vstúpili do novej fázy s intenzívnejšou spoluprácou, postupným zosúladením vo všetkých oblastiach politiky </w:t>
      </w:r>
      <w:proofErr w:type="spellStart"/>
      <w:r w:rsidRPr="00750C31">
        <w:rPr>
          <w:i/>
        </w:rPr>
        <w:t>acquis</w:t>
      </w:r>
      <w:proofErr w:type="spellEnd"/>
      <w:r w:rsidRPr="00750C31">
        <w:t xml:space="preserve"> EÚ a napredovaním na ceste k integrácii do EÚ; víta pokrok, ktorý sa dosiahol v procese bilaterálneho preverovania od jeho začiatku v júli 2024, a nedávne uzavretie preverovania tematického bloku 1 (základné hodnoty) a tematického bloku 2 (vnútorný trh); oceňuje a podporuje ambíciu moldavskej vlády začať v nadchádzajúcich mesiacoch rokovania o tematickom bloku 1 (základné hodnoty), tematickom bloku 2 (vnútorný trh) a tematickom bloku 6 (vonkajšie vzťahy) a zároveň dokončiť proces preverovania pre všetky tematické bloky do konca roka 2025; vyzýva Komisiu, aby posilnila svoju podporu moldavskej vláde s cieľom zabezpečiť úspešné dosiahnutie týchto kľúčových cieľov; nabáda Radu, aby pri svojich rozhodnutiach o procese rokovaní s Moldavskom zaujala prístup založený na zásluhách; vyjadruje poľutovanie nad dvojstrannosťou a </w:t>
      </w:r>
      <w:proofErr w:type="spellStart"/>
      <w:r w:rsidRPr="00750C31">
        <w:t>inštrumentalizáciou</w:t>
      </w:r>
      <w:proofErr w:type="spellEnd"/>
      <w:r w:rsidRPr="00750C31">
        <w:t xml:space="preserve"> procesu pristúpenia k EÚ, ako je nesúhlas maďarskej vlády so začatím rokovaní o tematických blokoch 1, 2 a 6, čo viedlo k </w:t>
      </w:r>
      <w:r w:rsidRPr="00750C31">
        <w:lastRenderedPageBreak/>
        <w:t>oneskoreniu a slúži cieľu Ruska brániť európskej integrácii regiónu;</w:t>
      </w:r>
    </w:p>
    <w:p w14:paraId="552912C7" w14:textId="77777777" w:rsidR="00484B08" w:rsidRPr="00750C31" w:rsidRDefault="00484B08" w:rsidP="00A562EA">
      <w:pPr>
        <w:pStyle w:val="NormalHanging12a"/>
      </w:pPr>
      <w:r w:rsidRPr="00750C31">
        <w:t>3.</w:t>
      </w:r>
      <w:r w:rsidRPr="00750C31">
        <w:tab/>
        <w:t>domnieva sa, že schopnosť Moldavska konsolidovať svoj súčasný pokrok v reformách súvisiacich s pristúpením k EÚ a udržať ambiciózne tempo smerovania k členstvu v EÚ si bude vyžadovať silnú a skutočnú podporu parlamentnej väčšiny po voľbách na jeseň 2025;</w:t>
      </w:r>
    </w:p>
    <w:p w14:paraId="23C22D5E" w14:textId="373872A1" w:rsidR="00484B08" w:rsidRPr="00750C31" w:rsidRDefault="00484B08" w:rsidP="00A562EA">
      <w:pPr>
        <w:pStyle w:val="NormalHanging12a"/>
      </w:pPr>
      <w:r w:rsidRPr="00750C31">
        <w:t>4.</w:t>
      </w:r>
      <w:r w:rsidRPr="00750C31">
        <w:tab/>
        <w:t xml:space="preserve">konštatuje, že výsledky ústavné referendum o pristúpeniu k EÚ, ktoré sa konalo 20. októbra 2024, ako aj prezidentských volieb, ktoré sa konali 20. októbra a 3. novembra 2024, potvrdili, že väčšina občanov Moldavska podporuje cieľ krajiny, ktorým je členstvo v EÚ, a požadované </w:t>
      </w:r>
      <w:proofErr w:type="spellStart"/>
      <w:r w:rsidRPr="00750C31">
        <w:t>proeurópske</w:t>
      </w:r>
      <w:proofErr w:type="spellEnd"/>
      <w:r w:rsidRPr="00750C31">
        <w:t xml:space="preserve"> reformy; zdôrazňuje, že toto referendum a voľby prebehli profesionálne a s mimoriadnym zmyslom pre povinnosť a odhodlanie, a to napriek masívnej hybridnej kampane Ruska a jeho zástupcov, ktorí využívali rôzne nástroje, ako napríklad strategické využívanie sociálnych médií, obsah generovaný umelou inteligenciou, „úniky“ falošných dokumentov, zastrašovanie, ktoré zahŕňalo rôzne formy manipulatívneho zasahovania s cieľom destabilizovať krajinu, nezákonné financovanie politických aktérov, kupovanie hlasov vrátane </w:t>
      </w:r>
      <w:proofErr w:type="spellStart"/>
      <w:r w:rsidRPr="00750C31">
        <w:t>inštrumentalizácie</w:t>
      </w:r>
      <w:proofErr w:type="spellEnd"/>
      <w:r w:rsidRPr="00750C31">
        <w:t xml:space="preserve"> časti duchovenstva metropole Kišiňov a celého Moldavska zo strany Ruska, dezinformačné kampane a kybernetické útoky; pripomína, že tieto útoky mali štyri hlavné stratégie: rozdeliť spoločnosť, </w:t>
      </w:r>
      <w:proofErr w:type="spellStart"/>
      <w:r w:rsidRPr="00750C31">
        <w:t>deligitimizovať</w:t>
      </w:r>
      <w:proofErr w:type="spellEnd"/>
      <w:r w:rsidRPr="00750C31">
        <w:t xml:space="preserve"> inštitúcie, diskreditovať demokratické subjekty a podporiť ruský vplyv; víta výsledok ústavného referenda z roku 2024, ktorý v ústave krajiny zakotvil záväzok vstúpiť do EÚ; dôrazne odsudzuje čoraz početnejšie pokusy Ruska, </w:t>
      </w:r>
      <w:proofErr w:type="spellStart"/>
      <w:r w:rsidRPr="00750C31">
        <w:t>proruských</w:t>
      </w:r>
      <w:proofErr w:type="spellEnd"/>
      <w:r w:rsidRPr="00750C31">
        <w:t xml:space="preserve"> oligarchov a miestnych zástupcov sponzorovaných Ruskom o destabilizáciu Moldavska, podnecovanie rozporov v moldavskej spoločnosti a podkopanie </w:t>
      </w:r>
      <w:proofErr w:type="spellStart"/>
      <w:r w:rsidRPr="00750C31">
        <w:t>proeurópskeho</w:t>
      </w:r>
      <w:proofErr w:type="spellEnd"/>
      <w:r w:rsidRPr="00750C31">
        <w:t xml:space="preserve"> smerovania krajiny hybridnými útokmi, </w:t>
      </w:r>
      <w:proofErr w:type="spellStart"/>
      <w:r w:rsidRPr="00750C31">
        <w:t>inštrumentalizáciou</w:t>
      </w:r>
      <w:proofErr w:type="spellEnd"/>
      <w:r w:rsidRPr="00750C31">
        <w:t xml:space="preserve"> dodávok energie a dezinformačnými, manipulačnými a zastrašovacími kampaňami namierenými proti organizáciám občianskej spoločnosti a nezávislým médiám;</w:t>
      </w:r>
    </w:p>
    <w:p w14:paraId="6B533727" w14:textId="77777777" w:rsidR="00484B08" w:rsidRPr="00750C31" w:rsidRDefault="00484B08" w:rsidP="00A562EA">
      <w:pPr>
        <w:pStyle w:val="NormalHanging12a"/>
      </w:pPr>
      <w:r w:rsidRPr="00750C31">
        <w:t>5.</w:t>
      </w:r>
      <w:r w:rsidRPr="00750C31">
        <w:tab/>
      </w:r>
      <w:r w:rsidRPr="00750C31">
        <w:rPr>
          <w:rStyle w:val="NormalHanging12aChar"/>
          <w:color w:val="000000"/>
        </w:rPr>
        <w:t xml:space="preserve">konštatuje, že nadchádzajúce parlamentné voľby 28. septembra 2025 budú mať zásadný význam pre pokračovanie </w:t>
      </w:r>
      <w:proofErr w:type="spellStart"/>
      <w:r w:rsidRPr="00750C31">
        <w:rPr>
          <w:rStyle w:val="NormalHanging12aChar"/>
          <w:color w:val="000000"/>
        </w:rPr>
        <w:t>proúnijnej</w:t>
      </w:r>
      <w:proofErr w:type="spellEnd"/>
      <w:r w:rsidRPr="00750C31">
        <w:rPr>
          <w:rStyle w:val="NormalHanging12aChar"/>
          <w:color w:val="000000"/>
        </w:rPr>
        <w:t xml:space="preserve"> trajektórie Moldavska; je znepokojený tým, že škodlivé zahraničné zasahovanie a hybridné útoky, najmä zo strany Ruska, sa pred voľbami pravdepodobne zintenzívnia; vyzýva EÚ, aby zvýšila svoju podporu, vrátane finančnej a technickej podpory, úsiliu moldavskej vlády bojovať proti takémuto zasahovaniu do demokratického procesu krajiny, a to aj prostredníctvom dodatočných sankčných zoznamov, predĺžením a upevnením mandátu a zdrojov partnerskej misie EÚ (EUPM) v Moldavsku a poskytnutím dodatočnej podpory tejto misii, ako aj výmenou odborných znalostí v oblasti zahraničnej manipulácie s informáciami a zahraničného zasahovania, bojom proti hybridným hrozbám a posilnením odolnosti; </w:t>
      </w:r>
      <w:bookmarkStart w:id="7" w:name="_Hlk194942091"/>
      <w:r w:rsidRPr="00750C31">
        <w:rPr>
          <w:rStyle w:val="NormalHanging12aChar"/>
          <w:color w:val="000000"/>
        </w:rPr>
        <w:t>podobne vyzýva na zvýšenie úsilia moldavských orgánov a EÚ o podporu nezávislých médií a prodemokratickej občianskej spoločnosti s cieľom umožniť novinárom na vnútroštátnej a regionálnej úrovni bojovať proti zahraničnej manipulácii s informáciami a zahraničnému zasahovaniu a posilniť digitálnu gramotnosť;</w:t>
      </w:r>
      <w:bookmarkEnd w:id="7"/>
    </w:p>
    <w:p w14:paraId="7277C25C" w14:textId="77777777" w:rsidR="00484B08" w:rsidRPr="00750C31" w:rsidRDefault="00484B08" w:rsidP="00A562EA">
      <w:pPr>
        <w:pStyle w:val="NormalHanging12a"/>
      </w:pPr>
      <w:r w:rsidRPr="00750C31">
        <w:t>6.</w:t>
      </w:r>
      <w:r w:rsidRPr="00750C31">
        <w:tab/>
        <w:t xml:space="preserve">zdôrazňuje význam strategickej komunikácie, vyvracania nepravdivých </w:t>
      </w:r>
      <w:proofErr w:type="spellStart"/>
      <w:r w:rsidRPr="00750C31">
        <w:t>naratívov</w:t>
      </w:r>
      <w:proofErr w:type="spellEnd"/>
      <w:r w:rsidRPr="00750C31">
        <w:t xml:space="preserve"> o EÚ a jej politikách podporovaných Ruskom a boja proti týmto </w:t>
      </w:r>
      <w:proofErr w:type="spellStart"/>
      <w:r w:rsidRPr="00750C31">
        <w:t>naratívom</w:t>
      </w:r>
      <w:proofErr w:type="spellEnd"/>
      <w:r w:rsidRPr="00750C31">
        <w:t xml:space="preserve"> a vyzdvihovania konkrétnych krátkodobých a dlhodobých prínosov pristúpenia k EÚ pre obyvateľov celého Moldavska</w:t>
      </w:r>
      <w:bookmarkStart w:id="8" w:name="_Hlk196923727"/>
      <w:r w:rsidRPr="00750C31">
        <w:t xml:space="preserve"> s osobitným zameraním na regióny, ako je </w:t>
      </w:r>
      <w:proofErr w:type="spellStart"/>
      <w:r w:rsidRPr="00750C31">
        <w:t>Gagauzsko</w:t>
      </w:r>
      <w:proofErr w:type="spellEnd"/>
      <w:r w:rsidRPr="00750C31">
        <w:t xml:space="preserve">, ako aj sociálno-ekonomicky znevýhodnené komunity vo vidieckych oblastiach; </w:t>
      </w:r>
      <w:bookmarkEnd w:id="8"/>
      <w:r w:rsidRPr="00750C31">
        <w:t>vyzýva EÚ, aby zintenzívnila svoju podporu Moldavsku v tejto súvislosti;</w:t>
      </w:r>
    </w:p>
    <w:p w14:paraId="7768328A" w14:textId="77777777" w:rsidR="00484B08" w:rsidRPr="00F66900" w:rsidRDefault="00484B08" w:rsidP="00A562EA">
      <w:pPr>
        <w:pStyle w:val="NormalHanging12a"/>
        <w:rPr>
          <w:b/>
          <w:i/>
        </w:rPr>
      </w:pPr>
      <w:r w:rsidRPr="00F66900">
        <w:rPr>
          <w:b/>
          <w:i/>
        </w:rPr>
        <w:lastRenderedPageBreak/>
        <w:t>Sociálno-ekonomické reformy</w:t>
      </w:r>
    </w:p>
    <w:p w14:paraId="7367C05B" w14:textId="77777777" w:rsidR="00484B08" w:rsidRPr="00750C31" w:rsidRDefault="00484B08" w:rsidP="00A562EA">
      <w:pPr>
        <w:pStyle w:val="NormalHanging12a"/>
        <w:rPr>
          <w:rStyle w:val="NormalHanging12aChar"/>
          <w:color w:val="000000"/>
        </w:rPr>
      </w:pPr>
      <w:r w:rsidRPr="00750C31">
        <w:t>7.</w:t>
      </w:r>
      <w:r w:rsidRPr="00750C31">
        <w:tab/>
      </w:r>
      <w:r w:rsidRPr="00750C31">
        <w:rPr>
          <w:rStyle w:val="NormalHanging12aChar"/>
          <w:color w:val="000000"/>
        </w:rPr>
        <w:t>víta plán rastu Moldavska, ktorý vypracovala Komisia a ktorý je zameraný na podporu sociálno-ekonomických a základných reforiem Moldavska a zlepšenie prístupu na jednotný trh EÚ; víta Nástroj na podporu reforiem a rastu pre Moldavsko v hodnote 2,02 miliardy EUR, ktorý je základom plánu rastu a najväčším balíkom finančnej podpory EÚ pre Moldavsko od jeho nezávislosti; zdôrazňuje, že tento nástroj poskytuje Moldavsku 520 miliónov EUR vo forme nenávratnej podpory a pôžičky v maximálnej výške 1,5 miliardy EUR s 18 % mierou predbežného financovania, čo dokazuje, že EÚ uznala naliehavosť podpory reforiem a odolnosti Moldavska; vyzýva Komisiu, aby podporovala moldavské orgány pri vykonávaní reformného programu potrebného na účinné čerpanie finančných prostriedkov z tohto nástroja a zabezpečila, aby moldavskí občania okamžite pocítili prínos tejto podpory; očakáva oznámené posúdenie vplyvu Nástroja na podporu reforiem a rastu pre Moldavsko v podobe pracovného dokumentu útvarov Komisie do troch mesiacov od prijatia príslušného nariadenia;</w:t>
      </w:r>
    </w:p>
    <w:p w14:paraId="6E4B565F" w14:textId="77777777" w:rsidR="00484B08" w:rsidRPr="00750C31" w:rsidRDefault="00484B08" w:rsidP="00A562EA">
      <w:pPr>
        <w:pStyle w:val="NormalHanging12a"/>
      </w:pPr>
      <w:r w:rsidRPr="00750C31">
        <w:t>8.</w:t>
      </w:r>
      <w:r w:rsidRPr="00750C31">
        <w:tab/>
        <w:t>vyzýva Komisiu, aby do budúceho viacročného finančného rámca EÚ zahrnula primeranú účelovú predvstupovú pomoc pre Moldavsko a aby začala pripravovať Moldavsko ako novovymenovanú kandidátsku krajinu EÚ na účinné využívanie budúcej predvstupovej pomoci;</w:t>
      </w:r>
    </w:p>
    <w:p w14:paraId="5B3D6954" w14:textId="77777777" w:rsidR="00484B08" w:rsidRPr="00750C31" w:rsidRDefault="00484B08" w:rsidP="00A562EA">
      <w:pPr>
        <w:pStyle w:val="NormalHanging12a"/>
      </w:pPr>
      <w:r w:rsidRPr="00750C31">
        <w:t>9.</w:t>
      </w:r>
      <w:r w:rsidRPr="00750C31">
        <w:tab/>
        <w:t xml:space="preserve">opakuje, že podporu európskej integrácie zo strany moldavského obyvateľstva možno posilniť hmatateľným zlepšením ich životných podmienok, posilnením štátnych inštitúcií a verejnej správy s cieľom účinne využívať financovanie projektov a vykonávať a presadzovať </w:t>
      </w:r>
      <w:proofErr w:type="spellStart"/>
      <w:r w:rsidRPr="00750C31">
        <w:rPr>
          <w:i/>
          <w:iCs/>
        </w:rPr>
        <w:t>acquis</w:t>
      </w:r>
      <w:proofErr w:type="spellEnd"/>
      <w:r w:rsidRPr="00750C31">
        <w:t xml:space="preserve"> EÚ, zabezpečiť spoľahlivý systém sociálneho zabezpečenia, bojovať proti korupcii a oligarchickému vplyvu a zabezpečiť zodpovednosť; vyzýva moldavské orgány, aby pokračovali v zabezpečovaní zmysluplného zapájania organizácií občianskej spoločnosti, </w:t>
      </w:r>
      <w:proofErr w:type="spellStart"/>
      <w:r w:rsidRPr="00750C31">
        <w:t>diaspory</w:t>
      </w:r>
      <w:proofErr w:type="spellEnd"/>
      <w:r w:rsidRPr="00750C31">
        <w:t>, zraniteľných skupín a sociálnych partnerov vrátane odborových zväzov s cieľom posilniť dôveru v demokratické inštitúcie a procesy a zvýšiť verejnú podporu reforiem súvisiacich s pristúpením k EÚ;</w:t>
      </w:r>
    </w:p>
    <w:p w14:paraId="5DFEAE3B" w14:textId="77777777" w:rsidR="00484B08" w:rsidRPr="00750C31" w:rsidRDefault="00484B08" w:rsidP="00A562EA">
      <w:pPr>
        <w:pStyle w:val="NormalHanging12a"/>
      </w:pPr>
      <w:r w:rsidRPr="00750C31">
        <w:t>10.</w:t>
      </w:r>
      <w:r w:rsidRPr="00750C31">
        <w:tab/>
        <w:t xml:space="preserve">zdôrazňuje význam organizácií občianskej spoločnosti pri monitorovaní správy vecí verejných a pokroku v reformách súvisiacich s EÚ, presadzovaní transparentnosti, ochrane ľudských práv a boji proti dezinformáciám a vonkajšiemu škodlivému vplyvu </w:t>
      </w:r>
      <w:proofErr w:type="spellStart"/>
      <w:r w:rsidRPr="00750C31">
        <w:t>protireformných</w:t>
      </w:r>
      <w:proofErr w:type="spellEnd"/>
      <w:r w:rsidRPr="00750C31">
        <w:t xml:space="preserve"> politických aktérov a ruských zástupcov;</w:t>
      </w:r>
    </w:p>
    <w:p w14:paraId="0E6EEACC" w14:textId="77777777" w:rsidR="00484B08" w:rsidRPr="00750C31" w:rsidRDefault="00484B08" w:rsidP="00A562EA">
      <w:pPr>
        <w:pStyle w:val="NormalHanging12a"/>
      </w:pPr>
      <w:r w:rsidRPr="00750C31">
        <w:t>11.</w:t>
      </w:r>
      <w:r w:rsidRPr="00750C31">
        <w:tab/>
        <w:t>vyzýva na komplexné reformy sociálnej politiky, ktoré by sa zameriavali na otázku chudoby a stálej masívnej emigrácie, zvýšenie rozsahu zdravotnej starostlivosti, posilnenie verejného vzdelávania, zlepšenie pracovných podmienok a rozvoj primeraných systémov sociálnej ochrany; zdôrazňuje, že hospodársky rozvoj musí byť inkluzívny a udržateľný s príležitosťami pre malé a stredné podniky; zdôrazňuje potrebu cielených sociálnych investícií do mladých ľudí a vidieckych oblastí Moldavska s cieľom znížiť regionálne rozdiely a zachovať sociálnu súdržnosť;</w:t>
      </w:r>
    </w:p>
    <w:p w14:paraId="50325406" w14:textId="77777777" w:rsidR="00484B08" w:rsidRPr="00750C31" w:rsidRDefault="00484B08" w:rsidP="00A562EA">
      <w:pPr>
        <w:pStyle w:val="NormalHanging12a"/>
      </w:pPr>
      <w:r w:rsidRPr="00750C31">
        <w:t>12.</w:t>
      </w:r>
      <w:r w:rsidRPr="00750C31">
        <w:tab/>
      </w:r>
      <w:r w:rsidRPr="00750C31">
        <w:rPr>
          <w:rStyle w:val="NormalHanging12aChar"/>
          <w:color w:val="000000"/>
        </w:rPr>
        <w:t>žiada, aby sa kládol osobitný dôraz na účasť Moldavska na sociálnych, vzdelávacích a kultúrnych programoch EÚ s cieľom podporiť sociálnu konvergenciu, inovácie a technologický pokrok;</w:t>
      </w:r>
    </w:p>
    <w:p w14:paraId="35CE41B2" w14:textId="77777777" w:rsidR="00484B08" w:rsidRPr="00750C31" w:rsidRDefault="00484B08" w:rsidP="00A562EA">
      <w:pPr>
        <w:pStyle w:val="NormalHanging12a"/>
      </w:pPr>
      <w:r w:rsidRPr="00750C31">
        <w:t>13.</w:t>
      </w:r>
      <w:r w:rsidRPr="00750C31">
        <w:tab/>
        <w:t xml:space="preserve">vyzýva Moldavsko, aby realizovalo program reforiem, ktorý načrtáva kľúčové sociálno-ekonomické a základné reformy na urýchlenie rastu a konkurencieschopnosti </w:t>
      </w:r>
      <w:r w:rsidRPr="00750C31">
        <w:lastRenderedPageBreak/>
        <w:t>moldavského hospodárstva a jeho konvergencie s EÚ na základe posilneného vykonávania AA/DCFTA;</w:t>
      </w:r>
    </w:p>
    <w:p w14:paraId="44BB297F" w14:textId="748F6CD8" w:rsidR="00484B08" w:rsidRPr="00750C31" w:rsidRDefault="00484B08" w:rsidP="00A562EA">
      <w:pPr>
        <w:pStyle w:val="NormalHanging12a"/>
        <w:rPr>
          <w:rStyle w:val="NormalHanging12aChar"/>
          <w:color w:val="000000"/>
        </w:rPr>
      </w:pPr>
      <w:r w:rsidRPr="00750C31">
        <w:t>14.</w:t>
      </w:r>
      <w:r w:rsidRPr="00750C31">
        <w:tab/>
      </w:r>
      <w:r w:rsidRPr="00750C31">
        <w:rPr>
          <w:rStyle w:val="NormalHanging12aChar"/>
          <w:color w:val="000000"/>
        </w:rPr>
        <w:t xml:space="preserve">dôrazne vyzýva na urýchlenie postupnej integrácie Moldavska do EÚ a jednotného trhu pokračovaním v zosúlaďovaní svojho právneho a regulačného rámca s </w:t>
      </w:r>
      <w:proofErr w:type="spellStart"/>
      <w:r w:rsidRPr="00750C31">
        <w:rPr>
          <w:rStyle w:val="NormalHanging12aChar"/>
          <w:i/>
          <w:iCs/>
          <w:color w:val="000000"/>
        </w:rPr>
        <w:t>acquis</w:t>
      </w:r>
      <w:proofErr w:type="spellEnd"/>
      <w:r w:rsidRPr="00750C31">
        <w:rPr>
          <w:rStyle w:val="NormalHanging12aChar"/>
          <w:color w:val="000000"/>
        </w:rPr>
        <w:t xml:space="preserve"> EÚ a pridružením krajiny k viacerým programom a iniciatívam EÚ, a to aj udelením štatútu pozorovateľa moldavským úradníkom a expertom v príslušných orgánoch EÚ, čo by prinieslo hmatateľné sociálno-ekonomické výhody ešte pred formálnym vstupom krajiny do EÚ; blahoželá Moldavsku k jeho začleneniu do geografického rozsahu platobných režimov jednotnej oblasti platieb v eurách, čím sa uľahčili prevody v eurách a znížili náklady pre moldavských občanov a podniky; </w:t>
      </w:r>
      <w:r w:rsidR="00651003" w:rsidRPr="00F66900">
        <w:rPr>
          <w:bCs/>
          <w:iCs/>
        </w:rPr>
        <w:t>oceňuje zahrnutie liberalizácie roamingu do aktualizovanej dohody o pridružení medzi EÚ a Moldavskom;</w:t>
      </w:r>
      <w:r w:rsidR="00651003">
        <w:rPr>
          <w:b/>
          <w:i/>
        </w:rPr>
        <w:t xml:space="preserve"> </w:t>
      </w:r>
      <w:r w:rsidRPr="00750C31">
        <w:rPr>
          <w:rStyle w:val="NormalHanging12aChar"/>
          <w:color w:val="000000"/>
        </w:rPr>
        <w:t xml:space="preserve">víta nedávny pokrok Moldavska pri transpozícii </w:t>
      </w:r>
      <w:proofErr w:type="spellStart"/>
      <w:r w:rsidRPr="00750C31">
        <w:rPr>
          <w:rStyle w:val="NormalHanging12aChar"/>
          <w:i/>
          <w:iCs/>
          <w:color w:val="000000"/>
        </w:rPr>
        <w:t>acquis</w:t>
      </w:r>
      <w:proofErr w:type="spellEnd"/>
      <w:r w:rsidRPr="00750C31">
        <w:rPr>
          <w:rStyle w:val="NormalHanging12aChar"/>
          <w:color w:val="000000"/>
        </w:rPr>
        <w:t xml:space="preserve"> EÚ v oblasti roamingu a telekomunikácií a vyjadruje podporu rýchlemu rozhodnutiu o začlenení Moldavska do oblasti EÚ, kde sa uplatňuje roaming za vnútroštátne ceny; vyzýva poskytovateľov služieb, aby v dobrej viere spolupracovali s moldavskými orgánmi pri uplatňovaní roamingu za vnútroštátne ceny;</w:t>
      </w:r>
    </w:p>
    <w:p w14:paraId="5B33D330" w14:textId="77777777" w:rsidR="00484B08" w:rsidRPr="00750C31" w:rsidRDefault="00484B08" w:rsidP="00A562EA">
      <w:pPr>
        <w:pStyle w:val="NormalHanging12a"/>
      </w:pPr>
      <w:r w:rsidRPr="00750C31">
        <w:t>15.</w:t>
      </w:r>
      <w:r w:rsidRPr="00750C31">
        <w:tab/>
      </w:r>
      <w:r w:rsidRPr="00750C31">
        <w:rPr>
          <w:rStyle w:val="NormalHanging12aChar"/>
          <w:color w:val="000000"/>
        </w:rPr>
        <w:t>víta obnovenie dočasných opatrení EÚ na liberalizáciu obchodu v júli 2024 s cieľom podporiť moldavské hospodárstvo, čím sa nahradí strata obchodu spôsobená útočnou vojnou Ruska proti Ukrajine a jeho nepriateľskou politikou voči Moldavsku; vyzýva EÚ, aby podnikla urýchlené a významné kroky smerom k trvalej liberalizácii svojich colných kvót s cieľom zabezpečiť predvídateľnosť a zvýšiť príťažlivosť tejto krajiny pre investorov;</w:t>
      </w:r>
    </w:p>
    <w:p w14:paraId="6E39C169" w14:textId="77777777" w:rsidR="00484B08" w:rsidRPr="00750C31" w:rsidRDefault="00484B08" w:rsidP="00A562EA">
      <w:pPr>
        <w:pStyle w:val="NormalHanging12a"/>
      </w:pPr>
      <w:r w:rsidRPr="00750C31">
        <w:t>16.</w:t>
      </w:r>
      <w:r w:rsidRPr="00750C31">
        <w:tab/>
        <w:t>konštatuje, že nedávne rozhodnutie vlády USA pozastaviť podporu občianskej spoločnosti, nezávislých médií, kľúčových reforiem a projektov v oblasti infraštruktúry vytvorilo v Moldavsku ďalšie naliehavé potreby, v súvislosti s ktorými by EÚ mala zasiahnuť; v tejto súvislosti vyzýva Komisiu, aby zvýšila svoje financovanie nástrojov EÚ na podporu demokracie, ako je Európska nadácia na podporu demokracie, a ďalších kľúčových projektov, ktoré až donedávna financovala Agentúra USA pre medzinárodný rozvoj (USAID) a ďalšie agentúry USA;</w:t>
      </w:r>
    </w:p>
    <w:p w14:paraId="38BDC557" w14:textId="77777777" w:rsidR="00484B08" w:rsidRPr="00750C31" w:rsidRDefault="00484B08" w:rsidP="00A562EA">
      <w:pPr>
        <w:spacing w:after="240"/>
        <w:rPr>
          <w:b/>
          <w:i/>
        </w:rPr>
      </w:pPr>
      <w:r w:rsidRPr="00750C31">
        <w:rPr>
          <w:b/>
          <w:i/>
        </w:rPr>
        <w:t>Ľudské práva</w:t>
      </w:r>
    </w:p>
    <w:p w14:paraId="63487F88" w14:textId="77777777" w:rsidR="00484B08" w:rsidRPr="00750C31" w:rsidRDefault="00484B08" w:rsidP="00A562EA">
      <w:pPr>
        <w:pStyle w:val="NormalHanging12a"/>
      </w:pPr>
      <w:r w:rsidRPr="00750C31">
        <w:t>17.</w:t>
      </w:r>
      <w:r w:rsidRPr="00750C31">
        <w:tab/>
        <w:t>berie na vedomie pokrok Moldavska pri dosahovaní rodovej rovnosti vrátane jeho prijatia programu na podporu a zabezpečenie rovnosti žien a mužov na obdobie 2023 – 2027 a vyzýva na jeho pokračujúce úsilie v tejto súvislosti, najmä o zníženie rozdielov v odmeňovaní žien a mužov, boj proti stereotypom, diskriminácii a rodovo motivovanému násiliu a o zvýšenie zastúpenia žien v politike a podnikaní;</w:t>
      </w:r>
    </w:p>
    <w:p w14:paraId="6F5177F1" w14:textId="77777777" w:rsidR="00484B08" w:rsidRPr="00750C31" w:rsidRDefault="00484B08" w:rsidP="00A562EA">
      <w:pPr>
        <w:pStyle w:val="NormalHanging12a"/>
      </w:pPr>
      <w:r w:rsidRPr="00750C31">
        <w:t>18.</w:t>
      </w:r>
      <w:r w:rsidRPr="00750C31">
        <w:tab/>
        <w:t>víta úsilie moldavských orgánov bojovať proti násiliu páchanému na ženách a zlepšiť ochranu obetí, najmä prijatie národného programu na predchádzanie násiliu na ženách a domácemu násiliu a boj proti nemu na obdobie 2023 – 2027; konštatuje, že vplyv týchto opatrení je však stále nedostatočný, a preto vyzýva na vytvorenie väčšieho počtu útulkov pre osoby, ktoré prežili domáce násilie, na primeranú pozornosť justičného systému venovanú násiliu páchanému na ženách a na politické zmeny a zvýšenie informovanosti mužov o rodovo motivovanom násilí;</w:t>
      </w:r>
    </w:p>
    <w:p w14:paraId="23735C34" w14:textId="77777777" w:rsidR="00484B08" w:rsidRPr="00750C31" w:rsidRDefault="00484B08" w:rsidP="00A562EA">
      <w:pPr>
        <w:pStyle w:val="NormalHanging12a"/>
      </w:pPr>
      <w:r w:rsidRPr="00750C31">
        <w:t>19.</w:t>
      </w:r>
      <w:r w:rsidRPr="00750C31">
        <w:tab/>
        <w:t xml:space="preserve">vyzýva moldavskú vládu, aby posilnila svoje úsilie, vrátane účinného uplatňovania legislatívneho rámca, v boji proti rasovej diskriminácii, </w:t>
      </w:r>
      <w:proofErr w:type="spellStart"/>
      <w:r w:rsidRPr="00750C31">
        <w:t>marginalizácii</w:t>
      </w:r>
      <w:proofErr w:type="spellEnd"/>
      <w:r w:rsidRPr="00750C31">
        <w:t xml:space="preserve">, rasistickým </w:t>
      </w:r>
      <w:r w:rsidRPr="00750C31">
        <w:lastRenderedPageBreak/>
        <w:t>nenávistným prejavom a trestným činom z nenávisti zameraným na príslušníkov etnických menšín vrátane Rómov;</w:t>
      </w:r>
    </w:p>
    <w:p w14:paraId="1BA4EFEA" w14:textId="77777777" w:rsidR="00484B08" w:rsidRPr="00750C31" w:rsidRDefault="00484B08" w:rsidP="00A562EA">
      <w:pPr>
        <w:pStyle w:val="NormalHanging12a"/>
      </w:pPr>
      <w:r w:rsidRPr="00750C31">
        <w:t>20.</w:t>
      </w:r>
      <w:r w:rsidRPr="00750C31">
        <w:tab/>
        <w:t>vyjadruje uznanie Moldavsku za jeho úsilie o zlepšenie práv komunity LGBTIQ+ v posledných rokoch;</w:t>
      </w:r>
    </w:p>
    <w:p w14:paraId="2194A041" w14:textId="77777777" w:rsidR="00484B08" w:rsidRPr="00750C31" w:rsidRDefault="00484B08" w:rsidP="00A562EA">
      <w:pPr>
        <w:pStyle w:val="NormalHanging12a"/>
      </w:pPr>
      <w:r w:rsidRPr="00750C31">
        <w:t>21.</w:t>
      </w:r>
      <w:r w:rsidRPr="00750C31">
        <w:tab/>
        <w:t>vyzýva moldavskú vládu, aby v plnej miere zosúladila svoje právne predpisy o právach osôb so zdravotným postihnutím s </w:t>
      </w:r>
      <w:proofErr w:type="spellStart"/>
      <w:r w:rsidRPr="00750C31">
        <w:rPr>
          <w:i/>
          <w:iCs/>
        </w:rPr>
        <w:t>acquis</w:t>
      </w:r>
      <w:proofErr w:type="spellEnd"/>
      <w:r w:rsidRPr="00750C31">
        <w:t xml:space="preserve"> EÚ a aby riešila systematický problém umiestňovania detí s mentálnym postihnutím do psychiatrických zariadení;</w:t>
      </w:r>
    </w:p>
    <w:p w14:paraId="5DD49296" w14:textId="77777777" w:rsidR="00484B08" w:rsidRPr="00750C31" w:rsidRDefault="00484B08" w:rsidP="00A562EA">
      <w:pPr>
        <w:pStyle w:val="NormalHanging12a"/>
        <w:rPr>
          <w:b/>
          <w:i/>
        </w:rPr>
      </w:pPr>
      <w:r w:rsidRPr="00750C31">
        <w:rPr>
          <w:b/>
          <w:i/>
        </w:rPr>
        <w:t>Energetika, životné prostredie a prepojenosť</w:t>
      </w:r>
    </w:p>
    <w:p w14:paraId="3F086E71" w14:textId="77777777" w:rsidR="00484B08" w:rsidRPr="00750C31" w:rsidRDefault="00484B08" w:rsidP="00A562EA">
      <w:pPr>
        <w:pStyle w:val="NormalHanging12a"/>
        <w:rPr>
          <w:bCs/>
          <w:iCs/>
        </w:rPr>
      </w:pPr>
      <w:r w:rsidRPr="00750C31">
        <w:t>22.</w:t>
      </w:r>
      <w:r w:rsidRPr="00750C31">
        <w:tab/>
      </w:r>
      <w:r w:rsidRPr="00750C31">
        <w:rPr>
          <w:rStyle w:val="NormalHanging12aChar"/>
          <w:color w:val="000000"/>
        </w:rPr>
        <w:t xml:space="preserve">odsudzuje </w:t>
      </w:r>
      <w:proofErr w:type="spellStart"/>
      <w:r w:rsidRPr="00750C31">
        <w:rPr>
          <w:rStyle w:val="NormalHanging12aChar"/>
          <w:color w:val="000000"/>
        </w:rPr>
        <w:t>inštrumentalizáciu</w:t>
      </w:r>
      <w:proofErr w:type="spellEnd"/>
      <w:r w:rsidRPr="00750C31">
        <w:rPr>
          <w:rStyle w:val="NormalHanging12aChar"/>
          <w:color w:val="000000"/>
        </w:rPr>
        <w:t xml:space="preserve"> energetiky proti Moldavsku zo strany Ruska, naposledy tým, že 1. januára 2025 zastavilo dodávky plynu do </w:t>
      </w:r>
      <w:proofErr w:type="spellStart"/>
      <w:r w:rsidRPr="00750C31">
        <w:rPr>
          <w:rStyle w:val="NormalHanging12aChar"/>
          <w:color w:val="000000"/>
        </w:rPr>
        <w:t>Podnesterska</w:t>
      </w:r>
      <w:proofErr w:type="spellEnd"/>
      <w:r w:rsidRPr="00750C31">
        <w:rPr>
          <w:rStyle w:val="NormalHanging12aChar"/>
          <w:color w:val="000000"/>
        </w:rPr>
        <w:t xml:space="preserve">, čím porušilo zmluvné záväzky a spôsobilo vážnu krízu v regióne; víta rýchly návrh Komisie na komplexnú stratégiu pre energetickú nezávislosť a odolnosť a jej podporný balík v hodnote 250 miliónov EUR, ktorý zníži účty moldavských spotrebiteľov za energiu, a to aj v regióne </w:t>
      </w:r>
      <w:proofErr w:type="spellStart"/>
      <w:r w:rsidRPr="00750C31">
        <w:rPr>
          <w:rStyle w:val="NormalHanging12aChar"/>
          <w:color w:val="000000"/>
        </w:rPr>
        <w:t>Podnesterska</w:t>
      </w:r>
      <w:proofErr w:type="spellEnd"/>
      <w:r w:rsidRPr="00750C31">
        <w:rPr>
          <w:rStyle w:val="NormalHanging12aChar"/>
          <w:color w:val="000000"/>
        </w:rPr>
        <w:t>, podporí oddelenie Moldavska od ruských dodávok energie a integruje Moldavsko do energetického trhu EÚ; zdôrazňuje, že je potrebné, aby EÚ a moldavské orgány účinne informovali o rozsiahlom podpornom balíku EÚ zameranom na riešenie energetickej krízy v Moldavsku;</w:t>
      </w:r>
    </w:p>
    <w:p w14:paraId="4181B8BF" w14:textId="77777777" w:rsidR="00484B08" w:rsidRPr="00750C31" w:rsidRDefault="00484B08" w:rsidP="00A562EA">
      <w:pPr>
        <w:pStyle w:val="NormalHanging12a"/>
      </w:pPr>
      <w:r w:rsidRPr="00750C31">
        <w:t>23.</w:t>
      </w:r>
      <w:r w:rsidRPr="00750C31">
        <w:tab/>
        <w:t>oceňuje zosúlaďovanie energetického sektora Moldavska s </w:t>
      </w:r>
      <w:proofErr w:type="spellStart"/>
      <w:r w:rsidRPr="00750C31">
        <w:rPr>
          <w:i/>
          <w:iCs/>
        </w:rPr>
        <w:t>acquis</w:t>
      </w:r>
      <w:proofErr w:type="spellEnd"/>
      <w:r w:rsidRPr="00750C31">
        <w:t xml:space="preserve"> EÚ; vyzýva moldavskú vládu, aby s podporou EÚ, ktorá zahŕňa nástroje dostupné v rámci Nástroja na podporu reforiem a rastu pre Moldavsko, pokračovala vo svojom úsilí o diverzifikáciu trás dodávok plynu a elektrickej energie, rozvíjala prepojenia, zvyšovala energetickú efektívnosť a svoju vnútornú výrobnú a skladovaciu kapacitu a zároveň napredovala smerom k úplnej integrácii do energetického trhu EÚ s cieľom zaistiť energetickú bezpečnosť a odolnosť Moldavska; zdôrazňuje význam dokončenia 400 kV nadzemného elektrického vedenia medzi mestami </w:t>
      </w:r>
      <w:proofErr w:type="spellStart"/>
      <w:r w:rsidRPr="00750C31">
        <w:t>Vulcanesti</w:t>
      </w:r>
      <w:proofErr w:type="spellEnd"/>
      <w:r w:rsidRPr="00750C31">
        <w:t xml:space="preserve"> a Kišiňov do konca roka 2025 s cieľom znížiť závislosť Moldavska od energetickej infraštruktúry v </w:t>
      </w:r>
      <w:proofErr w:type="spellStart"/>
      <w:r w:rsidRPr="00750C31">
        <w:t>podnesterskej</w:t>
      </w:r>
      <w:proofErr w:type="spellEnd"/>
      <w:r w:rsidRPr="00750C31">
        <w:t xml:space="preserve"> oblasti; vyzýva EÚ, aby zmobilizovala potrebné zdroje na kompenzáciu pozastavenia podpory zo strany USAID pre energetický sektor Moldavska;</w:t>
      </w:r>
    </w:p>
    <w:p w14:paraId="28994D1B" w14:textId="77777777" w:rsidR="00484B08" w:rsidRPr="00750C31" w:rsidRDefault="00484B08" w:rsidP="00A562EA">
      <w:pPr>
        <w:pStyle w:val="NormalHanging12a"/>
        <w:rPr>
          <w:rStyle w:val="NormalHanging12aChar"/>
          <w:color w:val="000000"/>
        </w:rPr>
      </w:pPr>
      <w:r w:rsidRPr="00750C31">
        <w:t>24.</w:t>
      </w:r>
      <w:r w:rsidRPr="00750C31">
        <w:tab/>
      </w:r>
      <w:r w:rsidRPr="00750C31">
        <w:rPr>
          <w:rStyle w:val="NormalHanging12aChar"/>
          <w:color w:val="000000"/>
        </w:rPr>
        <w:t>chváli moldavskú vládu za jej pokrok v oblasti dekarbonizácie, energetickej efektívnosti a prechodu na zelené hospodárstvo vrátane zdvojnásobenia podielu energie z obnoviteľných zdrojov na 30 % do roku 2030; nabáda EÚ a jej členské štáty, aby naďalej poskytovali finančnú podporu a odborné znalosti moldavským partnerom v tejto oblasti; víta prijatie moldavského národného programu adaptácie na zmenu klímy do roku 2030 a jeho akčného plánu na tento účel v roku 2023; vyzýva moldavskú vládu, aby prijala a začala vykonávať svoj národný energetický a klimatický plán na obdobie 2025 – 2030; berie na vedomie význam plnenia záväzkov vyplývajúcich z plánu dekarbonizácie Energetického spoločenstva a vykonávania balíka opatrení v oblasti monitorovania, nahlasovania, overovania a akreditácie emisií s cieľom stanoviť ceny uhlíka a zosúladiť ich so systémom EÚ na obchodovanie s emisiami;</w:t>
      </w:r>
    </w:p>
    <w:p w14:paraId="1C2FD6DC" w14:textId="77777777" w:rsidR="00484B08" w:rsidRPr="00750C31" w:rsidRDefault="00484B08" w:rsidP="00A562EA">
      <w:pPr>
        <w:pStyle w:val="NormalHanging12a"/>
        <w:rPr>
          <w:bCs/>
          <w:iCs/>
          <w:color w:val="000000"/>
        </w:rPr>
      </w:pPr>
      <w:r w:rsidRPr="00750C31">
        <w:t>25.</w:t>
      </w:r>
      <w:r w:rsidRPr="00750C31">
        <w:tab/>
        <w:t xml:space="preserve">domnieva sa, že rozšírenie koridoru </w:t>
      </w:r>
      <w:proofErr w:type="spellStart"/>
      <w:r w:rsidRPr="00750C31">
        <w:t>transeurópskej</w:t>
      </w:r>
      <w:proofErr w:type="spellEnd"/>
      <w:r w:rsidRPr="00750C31">
        <w:t xml:space="preserve"> dopravnej siete (TEN-T) Baltské more – Čierne more – Egejské more (koridor IX) o trasu Kišiňov – Konstanca – Varna – </w:t>
      </w:r>
      <w:proofErr w:type="spellStart"/>
      <w:r w:rsidRPr="00750C31">
        <w:t>Burgas</w:t>
      </w:r>
      <w:proofErr w:type="spellEnd"/>
      <w:r w:rsidRPr="00750C31">
        <w:t xml:space="preserve"> by bolo strategickou investíciou do dopravnej infraštruktúry regiónu, ktorou by sa zlepšilo prepojenie a podporil hospodársky rast, a to vzhľadom na rozšírenie EÚ na východ a potenciálny pozitívny vplyv tohto rozšírenia na </w:t>
      </w:r>
      <w:r w:rsidRPr="00750C31">
        <w:lastRenderedPageBreak/>
        <w:t xml:space="preserve">bezpečnosť a stabilitu regiónu, a ktorá by slúžila ako kľúčová logistická trasa pre NATO a posilnila </w:t>
      </w:r>
      <w:proofErr w:type="spellStart"/>
      <w:r w:rsidRPr="00750C31">
        <w:t>geostrategickú</w:t>
      </w:r>
      <w:proofErr w:type="spellEnd"/>
      <w:r w:rsidRPr="00750C31">
        <w:t xml:space="preserve"> autonómiu EÚ;</w:t>
      </w:r>
    </w:p>
    <w:p w14:paraId="7252656C" w14:textId="77777777" w:rsidR="00484B08" w:rsidRPr="00750C31" w:rsidRDefault="00484B08" w:rsidP="00A562EA">
      <w:pPr>
        <w:pStyle w:val="NormalHanging12a"/>
        <w:rPr>
          <w:b/>
          <w:i/>
        </w:rPr>
      </w:pPr>
      <w:r w:rsidRPr="00750C31">
        <w:rPr>
          <w:b/>
          <w:i/>
        </w:rPr>
        <w:t>Právny štát a dobrá správa vecí verejných</w:t>
      </w:r>
    </w:p>
    <w:p w14:paraId="5E09E694" w14:textId="77777777" w:rsidR="00484B08" w:rsidRPr="00750C31" w:rsidRDefault="00484B08" w:rsidP="00A562EA">
      <w:pPr>
        <w:pStyle w:val="NormalHanging12a"/>
      </w:pPr>
      <w:r w:rsidRPr="00750C31">
        <w:t>26.</w:t>
      </w:r>
      <w:r w:rsidRPr="00750C31">
        <w:tab/>
        <w:t>zdôrazňuje, že komplexná reforma súdnictva je kľúčom k úspechu demokratických reforiem Moldavska a reforiem súvisiacich s pristúpením k EÚ; uznáva neustávajúce úsilie Moldavska o vybudovanie nezávislého, nestranného, zodpovedného a profesionálneho súdneho systému a dokončenie procesu preverovania do konca roka 2026; vyzýva preto EÚ, aby naďalej aktívne podporovala reformu súdnictva a proces preverovania sudcov aj prokurátorov vrátane prilákania, odbornej prípravy a náboru kvalifikovaného justičného personálu a zvýšenia súdnej kapacity;</w:t>
      </w:r>
    </w:p>
    <w:p w14:paraId="3CDFAFD4" w14:textId="77777777" w:rsidR="00484B08" w:rsidRPr="00750C31" w:rsidRDefault="00484B08" w:rsidP="00A562EA">
      <w:pPr>
        <w:pStyle w:val="NormalHanging12a"/>
      </w:pPr>
      <w:r w:rsidRPr="00750C31">
        <w:t>27.</w:t>
      </w:r>
      <w:r w:rsidRPr="00750C31">
        <w:tab/>
        <w:t>konštatuje, že Moldavsko dosiahlo pokrok v boji proti korupcii a jej predchádzaní, ale zdôrazňuje, že je potrebné pokračovať v boji proti praniu špinavých peňazí; víta nadobudnutie účinnosti moldavského národného programu integrity a boja proti korupcii na roky 2024 – 2028 vo februári 2024; zdôrazňuje potrebu zabezpečiť posilnenú koordináciu medzi všetkými kľúčovými protikorupčnými a justičnými inštitúciami s cieľom vykonať komplexné reformy a zabezpečiť, aby mali primerané zdroje a kapacity; zdôrazňuje, že sa musia dosiahnuť výsledky, pokiaľ ide o trestné stíhanie a odsúdenie v prípadoch korupcie, aby sa zabezpečila dôvera verejnosti v prebiehajúce reformy;</w:t>
      </w:r>
    </w:p>
    <w:p w14:paraId="6C693FB7" w14:textId="77777777" w:rsidR="00484B08" w:rsidRPr="00750C31" w:rsidRDefault="00484B08" w:rsidP="00A562EA">
      <w:pPr>
        <w:pStyle w:val="NormalHanging12a"/>
      </w:pPr>
      <w:r w:rsidRPr="00750C31">
        <w:t>28.</w:t>
      </w:r>
      <w:r w:rsidRPr="00750C31">
        <w:tab/>
        <w:t xml:space="preserve">pripomína, že je dôležité pokračovať vo vyšetrovaní a postaviť pred súd osoby zodpovedné za bankový podvod z roku 2014; víta skutočnosť, že po dlhom úsilí moldavských orgánov </w:t>
      </w:r>
      <w:proofErr w:type="spellStart"/>
      <w:r w:rsidRPr="00750C31">
        <w:t>Interpol</w:t>
      </w:r>
      <w:proofErr w:type="spellEnd"/>
      <w:r w:rsidRPr="00750C31">
        <w:t xml:space="preserve"> konečne zaradil jedného z údajných páchateľov, </w:t>
      </w:r>
      <w:proofErr w:type="spellStart"/>
      <w:r w:rsidRPr="00750C31">
        <w:t>Vladimira</w:t>
      </w:r>
      <w:proofErr w:type="spellEnd"/>
      <w:r w:rsidRPr="00750C31">
        <w:t xml:space="preserve"> </w:t>
      </w:r>
      <w:proofErr w:type="spellStart"/>
      <w:r w:rsidRPr="00750C31">
        <w:t>Plahotniuca</w:t>
      </w:r>
      <w:proofErr w:type="spellEnd"/>
      <w:r w:rsidRPr="00750C31">
        <w:t>, na svoj zoznam medzinárodne hľadaných osôb;</w:t>
      </w:r>
    </w:p>
    <w:p w14:paraId="1CBE384F" w14:textId="77777777" w:rsidR="00484B08" w:rsidRPr="00750C31" w:rsidRDefault="00484B08" w:rsidP="00A562EA">
      <w:pPr>
        <w:spacing w:after="240"/>
        <w:ind w:left="567" w:hanging="567"/>
      </w:pPr>
      <w:r w:rsidRPr="00750C31">
        <w:t>29.</w:t>
      </w:r>
      <w:r w:rsidRPr="00750C31">
        <w:tab/>
      </w:r>
      <w:r w:rsidRPr="00750C31">
        <w:rPr>
          <w:rStyle w:val="NormalHanging12aChar"/>
        </w:rPr>
        <w:t xml:space="preserve">víta skutočnosť, že Moldavsko v roku 2023 prijalo novú národnú stratégiu na predchádzanie obchodovaniu s ľuďmi a boj proti nemu, ktorá je zosúladená s </w:t>
      </w:r>
      <w:proofErr w:type="spellStart"/>
      <w:r w:rsidRPr="00750C31">
        <w:rPr>
          <w:rStyle w:val="NormalHanging12aChar"/>
          <w:i/>
          <w:iCs/>
        </w:rPr>
        <w:t>acquis</w:t>
      </w:r>
      <w:proofErr w:type="spellEnd"/>
      <w:r w:rsidRPr="00750C31">
        <w:rPr>
          <w:rStyle w:val="NormalHanging12aChar"/>
        </w:rPr>
        <w:t xml:space="preserve"> EÚ, a spoluprácu Moldavska s </w:t>
      </w:r>
      <w:proofErr w:type="spellStart"/>
      <w:r w:rsidRPr="00750C31">
        <w:rPr>
          <w:rStyle w:val="NormalHanging12aChar"/>
        </w:rPr>
        <w:t>Europolom</w:t>
      </w:r>
      <w:proofErr w:type="spellEnd"/>
      <w:r w:rsidRPr="00750C31">
        <w:rPr>
          <w:rStyle w:val="NormalHanging12aChar"/>
        </w:rPr>
        <w:t xml:space="preserve"> v boji proti obchodovaniu s drogami;</w:t>
      </w:r>
    </w:p>
    <w:p w14:paraId="4882E6AC" w14:textId="18DC3D53" w:rsidR="00484B08" w:rsidRPr="00750C31" w:rsidRDefault="00484B08" w:rsidP="00A562EA">
      <w:pPr>
        <w:pStyle w:val="NormalHanging12a"/>
      </w:pPr>
      <w:r w:rsidRPr="00750C31">
        <w:t>30.</w:t>
      </w:r>
      <w:r w:rsidRPr="00750C31">
        <w:tab/>
        <w:t xml:space="preserve">vyjadruje pripravenosť naďalej podporovať moldavský parlament prostredníctvom vzájomne dohodnutých činností na podporu demokracie, ktoré reagujú na potreby inštitúcie, jej volených členov a zamestnancov; zdôrazňuje význam moldavského parlamentu pri podpore verejnej diskusie o európskej budúcnosti krajiny a pri dosahovaní širokého konsenzu a demokratickej legitimity reforiem súvisiacich s pristúpením k EÚ vo všetkých politických stranách a v širšej spoločnosti; vyzdvihuje rozhodnutie z 10. marca 2025 zriadiť kanceláriu Európskeho parlamentu v Kišiňove s cieľom ďalej posilniť angažovanosť </w:t>
      </w:r>
      <w:r w:rsidR="00A562EA" w:rsidRPr="00750C31">
        <w:t xml:space="preserve">Európskeho </w:t>
      </w:r>
      <w:r w:rsidR="00A562EA">
        <w:t>p</w:t>
      </w:r>
      <w:r w:rsidRPr="00750C31">
        <w:t>arlamentu v regióne Východného partnerstva;</w:t>
      </w:r>
    </w:p>
    <w:p w14:paraId="60D82242" w14:textId="77777777" w:rsidR="00484B08" w:rsidRPr="00750C31" w:rsidRDefault="00484B08" w:rsidP="00F66900">
      <w:pPr>
        <w:pStyle w:val="NormalHanging12a"/>
        <w:ind w:left="0" w:firstLine="0"/>
        <w:rPr>
          <w:b/>
          <w:i/>
        </w:rPr>
      </w:pPr>
      <w:r w:rsidRPr="00750C31">
        <w:rPr>
          <w:b/>
          <w:i/>
        </w:rPr>
        <w:t xml:space="preserve">Spolupráca v oblasti spoločnej zahraničnej a bezpečnostnej politiky (SZBP) a pokrok pri riešení konfliktu v </w:t>
      </w:r>
      <w:proofErr w:type="spellStart"/>
      <w:r w:rsidRPr="00750C31">
        <w:rPr>
          <w:b/>
          <w:i/>
        </w:rPr>
        <w:t>Podnestersku</w:t>
      </w:r>
      <w:proofErr w:type="spellEnd"/>
    </w:p>
    <w:p w14:paraId="5EA72CA5" w14:textId="77777777" w:rsidR="00484B08" w:rsidRPr="00750C31" w:rsidRDefault="00484B08" w:rsidP="00A562EA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750C31">
        <w:t>31.</w:t>
      </w:r>
      <w:r w:rsidRPr="00750C31">
        <w:tab/>
      </w:r>
      <w:r w:rsidRPr="00750C31">
        <w:rPr>
          <w:rStyle w:val="NormalHanging12aChar"/>
        </w:rPr>
        <w:t>víta dôslednú spoluprácu Moldavska v otázkach zahraničnej politiky a výrazne zvýšenú mieru jeho zosúladenia s pozíciami a reštriktívnymi opatreniami EÚ v oblasti SZBP, a to z 54 % v roku 2022 na 86 % v roku 2024; vyzýva ho, aby pokračovalo v prehlbovaní tohto súladu, a to aj pokiaľ ide o reštriktívne opatrenia voči Rusku, a aby pokračovalo v spolupráci na predchádzaní obchádzania sankcií voči Rusku a Bielorusku v súvislosti s útočnou vojnou Ruska proti Ukrajine;</w:t>
      </w:r>
    </w:p>
    <w:p w14:paraId="4E689AA5" w14:textId="77777777" w:rsidR="00484B08" w:rsidRPr="00750C31" w:rsidRDefault="00484B08" w:rsidP="00A562EA">
      <w:pPr>
        <w:pStyle w:val="NormalHanging12a"/>
      </w:pPr>
      <w:r w:rsidRPr="00750C31">
        <w:lastRenderedPageBreak/>
        <w:t>32.</w:t>
      </w:r>
      <w:r w:rsidRPr="00750C31">
        <w:tab/>
        <w:t>zdôrazňuje, že Moldavsko zásadným spôsobom prispieva k regionálnej a európskej bezpečnosti, a to aj prostredníctvom svojej neochvejnej podpory Ukrajine od začiatku ruskej útočnej vojny, napríklad prijímaním ukrajinských vojnových utečencov, a prostredníctvom svojich príspevkov k mechanizmu Európskej únie v oblasti civilnej ochrany, napríklad nasadením hasičských tímov na boj proti závažným lesným požiarom v Grécku;</w:t>
      </w:r>
    </w:p>
    <w:p w14:paraId="1E018A94" w14:textId="77777777" w:rsidR="00484B08" w:rsidRPr="00750C31" w:rsidRDefault="00484B08" w:rsidP="00A562EA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750C31">
        <w:t>33.</w:t>
      </w:r>
      <w:r w:rsidRPr="00750C31">
        <w:tab/>
      </w:r>
      <w:r w:rsidRPr="00750C31">
        <w:rPr>
          <w:rStyle w:val="NormalHanging12aChar"/>
        </w:rPr>
        <w:t>vyjadruje podporu EUPM v Moldavsku a vyzýva členské štáty, aby prispeli potrebnými expertmi a finančnými zdrojmi, keďže hybridné hrozby sa môžu zintenzívniť; víta nedávne predĺženie mandátu EUPM do apríla 2026; nabáda moldavské orgány, aby v plnej miere využívali odborné znalosti EUPM na zlepšenie svojej pripravenosti, najmä vzhľadom na opakované zasahovanie do volieb pred parlamentnými voľbami, ktoré sa uskutočnia 28. septembra 2025; vyzýva EÚ, aby sa poučila zo skúseností získaných v Moldavsku pri ochrane volebného procesu a demokratických inštitúcií v samotnej EÚ; nabáda Európsku službu pre vonkajšiu činnosť a Komisiu, aby využili všetky dostupné nástroje EÚ v oblasti boja proti hybridným hrozbám s cieľom naďalej podporovať Moldavsko, a to aj urýchleným nasadením tímu rýchlej reakcie na hybridné hrozby; víta zriadenie moldavského Centra pre strategickú komunikáciu a boj proti dezinformáciám ako prostriedku na koordináciu boja proti zahraničnému zasahovaniu v rôznych moldavských inštitúciách, ako aj Národnej agentúry pre kybernetickú bezpečnosť a Národného inštitútu pre inovácie v oblasti kybernetickej bezpečnosti; konštatuje, že v národnej bezpečnostnej stratégii Moldavska prijatej v decembri 2023 sa ako kľúčový cieľ zdôrazňuje pristúpenie k EÚ a po prvýkrát sa uvádza Rusko ako zdroj hlavných hrozieb pre bezpečnosť Moldavska; zdôrazňuje význam zlepšenia výmeny informácií a spolupráce v oblasti spravodajských služieb medzi Moldavskom a EÚ a jej členskými štátmi v súvislosti s bezpečnostnými hrozbami;</w:t>
      </w:r>
    </w:p>
    <w:p w14:paraId="3C2E130D" w14:textId="77777777" w:rsidR="00484B08" w:rsidRPr="00750C31" w:rsidRDefault="00484B08" w:rsidP="00A562EA">
      <w:pPr>
        <w:shd w:val="clear" w:color="auto" w:fill="FFFFFF" w:themeFill="background1"/>
        <w:spacing w:after="240"/>
        <w:ind w:left="567" w:hanging="567"/>
      </w:pPr>
      <w:r w:rsidRPr="00750C31">
        <w:t>34.</w:t>
      </w:r>
      <w:r w:rsidRPr="00750C31">
        <w:tab/>
      </w:r>
      <w:r w:rsidRPr="00750C31">
        <w:rPr>
          <w:rStyle w:val="NormalHanging12aChar"/>
        </w:rPr>
        <w:t>opakuje svoj plný záväzok voči územnej celistvosti Moldavska a mierovému riešeniu konfliktu na základe zvrchovanosti a územnej celistvosti Moldavska v jeho medzinárodne uznaných hraniciach;</w:t>
      </w:r>
    </w:p>
    <w:p w14:paraId="4E9DB7E8" w14:textId="77777777" w:rsidR="00484B08" w:rsidRPr="00750C31" w:rsidRDefault="00484B08" w:rsidP="00A562EA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750C31">
        <w:t>35.</w:t>
      </w:r>
      <w:r w:rsidRPr="00750C31">
        <w:tab/>
      </w:r>
      <w:r w:rsidRPr="00750C31">
        <w:rPr>
          <w:rStyle w:val="NormalHanging12aChar"/>
        </w:rPr>
        <w:t xml:space="preserve">víta iniciatívy Komisie, ktorých cieľom je zahrnúť aktívnu podporu </w:t>
      </w:r>
      <w:proofErr w:type="spellStart"/>
      <w:r w:rsidRPr="00750C31">
        <w:rPr>
          <w:rStyle w:val="NormalHanging12aChar"/>
        </w:rPr>
        <w:t>podnesterského</w:t>
      </w:r>
      <w:proofErr w:type="spellEnd"/>
      <w:r w:rsidRPr="00750C31">
        <w:rPr>
          <w:rStyle w:val="NormalHanging12aChar"/>
        </w:rPr>
        <w:t xml:space="preserve"> regiónu do jej balíkov núdzovej energetickej podpory a výmenu informácií a praktickú spoluprácu medzi moldavskou vládou a de </w:t>
      </w:r>
      <w:proofErr w:type="spellStart"/>
      <w:r w:rsidRPr="00750C31">
        <w:rPr>
          <w:rStyle w:val="NormalHanging12aChar"/>
        </w:rPr>
        <w:t>facto</w:t>
      </w:r>
      <w:proofErr w:type="spellEnd"/>
      <w:r w:rsidRPr="00750C31">
        <w:rPr>
          <w:rStyle w:val="NormalHanging12aChar"/>
        </w:rPr>
        <w:t xml:space="preserve"> orgánmi </w:t>
      </w:r>
      <w:proofErr w:type="spellStart"/>
      <w:r w:rsidRPr="00750C31">
        <w:rPr>
          <w:rStyle w:val="NormalHanging12aChar"/>
        </w:rPr>
        <w:t>podnesterského</w:t>
      </w:r>
      <w:proofErr w:type="spellEnd"/>
      <w:r w:rsidRPr="00750C31">
        <w:rPr>
          <w:rStyle w:val="NormalHanging12aChar"/>
        </w:rPr>
        <w:t xml:space="preserve"> regiónu počas celej energetickej krízy spôsobenej Ruskom; víta pokrok v súvislosti s podmienkami pre </w:t>
      </w:r>
      <w:proofErr w:type="spellStart"/>
      <w:r w:rsidRPr="00750C31">
        <w:rPr>
          <w:rStyle w:val="NormalHanging12aChar"/>
        </w:rPr>
        <w:t>Tiraspol</w:t>
      </w:r>
      <w:proofErr w:type="spellEnd"/>
      <w:r w:rsidRPr="00750C31">
        <w:rPr>
          <w:rStyle w:val="NormalHanging12aChar"/>
        </w:rPr>
        <w:t xml:space="preserve"> vzhľadom na nedávnu dohodu o tranzite plynu a vyzýva na ich náležité splnenie vrátane prepustenia všetkých politických väzňov </w:t>
      </w:r>
      <w:proofErr w:type="spellStart"/>
      <w:r w:rsidRPr="00750C31">
        <w:rPr>
          <w:rStyle w:val="NormalHanging12aChar"/>
        </w:rPr>
        <w:t>Tiraspolom</w:t>
      </w:r>
      <w:proofErr w:type="spellEnd"/>
      <w:r w:rsidRPr="00750C31">
        <w:rPr>
          <w:rStyle w:val="NormalHanging12aChar"/>
        </w:rPr>
        <w:t xml:space="preserve"> a zrušenia zostávajúcich nezákonných kontrolných miest;</w:t>
      </w:r>
    </w:p>
    <w:p w14:paraId="13A5257D" w14:textId="5CDF6C5E" w:rsidR="00484B08" w:rsidRPr="00750C31" w:rsidRDefault="00484B08" w:rsidP="00A562EA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750C31">
        <w:t>36.</w:t>
      </w:r>
      <w:r w:rsidRPr="00750C31">
        <w:tab/>
      </w:r>
      <w:r w:rsidRPr="00750C31">
        <w:rPr>
          <w:rStyle w:val="NormalHanging12aChar"/>
        </w:rPr>
        <w:t>víta veľký záujem Moldavska prispievať k spoločnej bezpečnostnej a obrannej politike EÚ (SBOP) a skutočnosť, že Moldavsko je prvou krajinou, ktorá podpísala partnerstvo s EÚ v oblasti bezpečnosti a obrany; víta pokračujúcu aktívnu účasť Moldavska na misiách a operáciách EÚ v rámci SBOP</w:t>
      </w:r>
      <w:r w:rsidR="00B946C8" w:rsidRPr="00672238">
        <w:t xml:space="preserve">, </w:t>
      </w:r>
      <w:r w:rsidR="00B946C8" w:rsidRPr="00F66900">
        <w:rPr>
          <w:bCs/>
          <w:iCs/>
        </w:rPr>
        <w:t>konkrétne v silách EÚ v Bosne a Hercegovine (</w:t>
      </w:r>
      <w:proofErr w:type="spellStart"/>
      <w:r w:rsidR="00B946C8" w:rsidRPr="00F66900">
        <w:rPr>
          <w:bCs/>
          <w:iCs/>
        </w:rPr>
        <w:t>Althea</w:t>
      </w:r>
      <w:proofErr w:type="spellEnd"/>
      <w:r w:rsidR="00B946C8" w:rsidRPr="00F66900">
        <w:rPr>
          <w:bCs/>
          <w:iCs/>
        </w:rPr>
        <w:t>) a na výcvikovej misii EÚ v Somálsku</w:t>
      </w:r>
      <w:r w:rsidRPr="00B946C8">
        <w:rPr>
          <w:rStyle w:val="NormalHanging12aChar"/>
          <w:bCs/>
          <w:iCs/>
        </w:rPr>
        <w:t>,</w:t>
      </w:r>
      <w:r w:rsidRPr="00B946C8">
        <w:rPr>
          <w:rStyle w:val="NormalHanging12aChar"/>
          <w:bCs/>
        </w:rPr>
        <w:t xml:space="preserve"> jeho</w:t>
      </w:r>
      <w:r w:rsidRPr="00750C31">
        <w:rPr>
          <w:rStyle w:val="NormalHanging12aChar"/>
        </w:rPr>
        <w:t xml:space="preserve"> záujem o účasť na projektoch PESCO a prebiehajúce rokovania o rámcovej dohode s Európskou obrannou agentúrou; vyzýva EÚ, aby Moldavsko zahrnula do bezpečnostných a obranných programov EÚ a súvisiacich rozpočtových prostriedkov vrátane Programu pre európsky obranný priemysel a plánu Pripravenosť 2030, čo krajine umožní zúčastňovať sa na spoločnom obstarávaní spolu s členskými štátmi;</w:t>
      </w:r>
    </w:p>
    <w:p w14:paraId="419BD698" w14:textId="77777777" w:rsidR="00484B08" w:rsidRDefault="00484B08" w:rsidP="00A562EA">
      <w:pPr>
        <w:pStyle w:val="NormalHanging12a"/>
      </w:pPr>
      <w:r w:rsidRPr="00750C31">
        <w:t>37.</w:t>
      </w:r>
      <w:r w:rsidRPr="00750C31">
        <w:tab/>
        <w:t xml:space="preserve">víta vyčlenenie 50 miliónov EUR na modernizáciu obranných kapacít moldavských </w:t>
      </w:r>
      <w:r w:rsidRPr="00750C31">
        <w:lastRenderedPageBreak/>
        <w:t>ozbrojených síl v kontexte súčasných bezpečnostných výziev prostredníctvom Európskeho mierového nástroja (EPF) na rok 2024; konštatuje, že Moldavsko je po Ukrajine druhým najväčším príjemcom prostriedkov z EPF a od roku 2021 mu bolo pridelených celkovo 137 miliónov EUR; víta oznámenú podporu vo výške 60 miliónov EUR, ktorá bude Moldavsku poskytnutá z rozpočtu EPF v roku 2025; vyzýva členské štáty, aby postupne zvýšili financovanie EPF pre Moldavsko s cieľom ďalej posilniť obranné spôsobilosti krajiny;</w:t>
      </w:r>
    </w:p>
    <w:p w14:paraId="1284692D" w14:textId="77777777" w:rsidR="00A562EA" w:rsidRDefault="00A562EA" w:rsidP="00A562EA">
      <w:pPr>
        <w:pStyle w:val="NormalHanging12a"/>
        <w:widowControl/>
        <w:ind w:left="0" w:firstLine="0"/>
        <w:jc w:val="center"/>
        <w:rPr>
          <w:bCs/>
          <w:iCs/>
        </w:rPr>
      </w:pPr>
      <w:r>
        <w:rPr>
          <w:bCs/>
          <w:iCs/>
        </w:rPr>
        <w:t>°</w:t>
      </w:r>
    </w:p>
    <w:p w14:paraId="7CC3A2A9" w14:textId="77777777" w:rsidR="00A562EA" w:rsidRDefault="00A562EA" w:rsidP="00A562EA">
      <w:pPr>
        <w:pStyle w:val="NormalHanging12a"/>
        <w:widowControl/>
        <w:ind w:left="0" w:firstLine="0"/>
        <w:jc w:val="center"/>
        <w:rPr>
          <w:bCs/>
          <w:iCs/>
        </w:rPr>
      </w:pPr>
      <w:r>
        <w:rPr>
          <w:bCs/>
          <w:iCs/>
        </w:rPr>
        <w:t>°     °</w:t>
      </w:r>
    </w:p>
    <w:p w14:paraId="784419E3" w14:textId="77777777" w:rsidR="00E365E1" w:rsidRPr="00750C31" w:rsidRDefault="00484B08" w:rsidP="00A562EA">
      <w:pPr>
        <w:pStyle w:val="NormalHanging12a"/>
      </w:pPr>
      <w:r w:rsidRPr="00750C31">
        <w:t>38.</w:t>
      </w:r>
      <w:r w:rsidRPr="00750C31">
        <w:tab/>
        <w:t>poveruje svoju predsedníčku, aby postúpila toto uznesenie Rade, Komisii, podpredsedníčke Komisie/vysokej predstaviteľke Únie pre zahraničné veci a bezpečnostnú politiku a prezidentke, vláde a parlamentu Moldavskej republiky.</w:t>
      </w:r>
    </w:p>
    <w:sectPr w:rsidR="00E365E1" w:rsidRPr="00750C31" w:rsidSect="00750C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55881" w14:textId="77777777" w:rsidR="0074152F" w:rsidRPr="00750C31" w:rsidRDefault="0074152F">
      <w:r w:rsidRPr="00750C31">
        <w:separator/>
      </w:r>
    </w:p>
  </w:endnote>
  <w:endnote w:type="continuationSeparator" w:id="0">
    <w:p w14:paraId="43785F11" w14:textId="77777777" w:rsidR="0074152F" w:rsidRPr="00750C31" w:rsidRDefault="0074152F">
      <w:r w:rsidRPr="00750C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65CF" w14:textId="77777777" w:rsidR="00064002" w:rsidRPr="00750C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C066" w14:textId="77777777" w:rsidR="00064002" w:rsidRPr="00750C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7A9C" w14:textId="77777777" w:rsidR="00064002" w:rsidRPr="00750C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A8EA4" w14:textId="77777777" w:rsidR="0074152F" w:rsidRPr="00750C31" w:rsidRDefault="0074152F">
      <w:r w:rsidRPr="00750C31">
        <w:separator/>
      </w:r>
    </w:p>
  </w:footnote>
  <w:footnote w:type="continuationSeparator" w:id="0">
    <w:p w14:paraId="24F36385" w14:textId="77777777" w:rsidR="0074152F" w:rsidRPr="00750C31" w:rsidRDefault="0074152F">
      <w:r w:rsidRPr="00750C31">
        <w:continuationSeparator/>
      </w:r>
    </w:p>
  </w:footnote>
  <w:footnote w:id="1">
    <w:p w14:paraId="32EF134D" w14:textId="77777777" w:rsidR="00484B08" w:rsidRPr="00215B38" w:rsidRDefault="00484B08" w:rsidP="00750C31">
      <w:pPr>
        <w:pStyle w:val="FootnoteText"/>
        <w:ind w:left="567" w:hanging="567"/>
        <w:rPr>
          <w:sz w:val="24"/>
          <w:szCs w:val="24"/>
          <w:lang w:val="sk-SK"/>
        </w:rPr>
      </w:pPr>
      <w:r w:rsidRPr="00215B38">
        <w:rPr>
          <w:rStyle w:val="FootnoteReference"/>
          <w:sz w:val="24"/>
          <w:szCs w:val="24"/>
          <w:lang w:val="sk-SK"/>
        </w:rPr>
        <w:footnoteRef/>
      </w:r>
      <w:r w:rsidR="00750C31" w:rsidRPr="00215B38">
        <w:rPr>
          <w:sz w:val="24"/>
          <w:szCs w:val="24"/>
          <w:lang w:val="sk-SK"/>
        </w:rPr>
        <w:t xml:space="preserve"> </w:t>
      </w:r>
      <w:r w:rsidR="00750C31" w:rsidRPr="00215B38">
        <w:rPr>
          <w:sz w:val="24"/>
          <w:szCs w:val="24"/>
          <w:lang w:val="sk-SK"/>
        </w:rPr>
        <w:tab/>
      </w:r>
      <w:r w:rsidRPr="00215B38">
        <w:rPr>
          <w:sz w:val="24"/>
          <w:szCs w:val="24"/>
          <w:lang w:val="sk-SK"/>
        </w:rPr>
        <w:t xml:space="preserve">Ú. v. EÚ L, 2025/535, 21.3.2025, ELI: </w:t>
      </w:r>
      <w:hyperlink r:id="rId1" w:history="1">
        <w:r w:rsidRPr="00215B38">
          <w:rPr>
            <w:rStyle w:val="Hyperlink"/>
            <w:sz w:val="24"/>
            <w:szCs w:val="24"/>
            <w:lang w:val="sk-SK"/>
          </w:rPr>
          <w:t>http://data.europa.eu/eli/reg/2025/535/oj</w:t>
        </w:r>
      </w:hyperlink>
      <w:r w:rsidRPr="00215B38">
        <w:rPr>
          <w:sz w:val="24"/>
          <w:szCs w:val="24"/>
          <w:lang w:val="sk-SK"/>
        </w:rPr>
        <w:t>.</w:t>
      </w:r>
    </w:p>
  </w:footnote>
  <w:footnote w:id="2">
    <w:p w14:paraId="18C430E4" w14:textId="4EE3945E" w:rsidR="00484B08" w:rsidRPr="00215B38" w:rsidRDefault="00484B08" w:rsidP="00750C31">
      <w:pPr>
        <w:pStyle w:val="FootnoteText"/>
        <w:ind w:left="567" w:hanging="567"/>
        <w:rPr>
          <w:sz w:val="24"/>
          <w:szCs w:val="24"/>
          <w:lang w:val="sk-SK"/>
        </w:rPr>
      </w:pPr>
      <w:r w:rsidRPr="00215B38">
        <w:rPr>
          <w:rStyle w:val="FootnoteReference"/>
          <w:sz w:val="24"/>
          <w:szCs w:val="24"/>
          <w:lang w:val="sk-SK"/>
        </w:rPr>
        <w:footnoteRef/>
      </w:r>
      <w:r w:rsidR="00750C31" w:rsidRPr="00215B38">
        <w:rPr>
          <w:sz w:val="24"/>
          <w:szCs w:val="24"/>
          <w:shd w:val="clear" w:color="auto" w:fill="FFFFFF"/>
          <w:lang w:val="sk-SK"/>
        </w:rPr>
        <w:t xml:space="preserve"> </w:t>
      </w:r>
      <w:r w:rsidR="00750C31" w:rsidRPr="00215B38">
        <w:rPr>
          <w:sz w:val="24"/>
          <w:szCs w:val="24"/>
          <w:shd w:val="clear" w:color="auto" w:fill="FFFFFF"/>
          <w:lang w:val="sk-SK"/>
        </w:rPr>
        <w:tab/>
      </w:r>
      <w:r w:rsidRPr="00215B38">
        <w:rPr>
          <w:sz w:val="24"/>
          <w:szCs w:val="24"/>
          <w:shd w:val="clear" w:color="auto" w:fill="FFFFFF"/>
          <w:lang w:val="sk-SK"/>
        </w:rPr>
        <w:t>Dohoda o pridružení medzi Európskou úniou a Európskym spoločenstvom pre atómovú energiu a ich členskými štátmi na jednej strane a Moldavskou republikou na strane druhej (</w:t>
      </w:r>
      <w:r w:rsidRPr="00215B38">
        <w:rPr>
          <w:rStyle w:val="Emphasis"/>
          <w:i w:val="0"/>
          <w:sz w:val="24"/>
          <w:szCs w:val="24"/>
          <w:shd w:val="clear" w:color="auto" w:fill="FFFFFF"/>
          <w:lang w:val="sk-SK"/>
        </w:rPr>
        <w:t>Ú. v. EÚ L 260, 30.8.2014, s. 4</w:t>
      </w:r>
      <w:r w:rsidR="00A562EA" w:rsidRPr="00215B38">
        <w:rPr>
          <w:rStyle w:val="Emphasis"/>
          <w:i w:val="0"/>
          <w:sz w:val="24"/>
          <w:szCs w:val="24"/>
          <w:shd w:val="clear" w:color="auto" w:fill="FFFFFF"/>
          <w:lang w:val="sk-SK"/>
        </w:rPr>
        <w:t>,</w:t>
      </w:r>
      <w:r w:rsidR="00A562EA" w:rsidRPr="00215B38">
        <w:rPr>
          <w:sz w:val="24"/>
          <w:szCs w:val="24"/>
          <w:shd w:val="clear" w:color="auto" w:fill="FFFFFF"/>
          <w:lang w:val="sk-SK"/>
        </w:rPr>
        <w:t xml:space="preserve"> </w:t>
      </w:r>
      <w:r w:rsidRPr="00215B38">
        <w:rPr>
          <w:sz w:val="24"/>
          <w:szCs w:val="24"/>
          <w:shd w:val="clear" w:color="auto" w:fill="FFFFFF"/>
          <w:lang w:val="sk-SK"/>
        </w:rPr>
        <w:t>ELI: </w:t>
      </w:r>
      <w:r w:rsidR="00EE5B4D">
        <w:fldChar w:fldCharType="begin"/>
      </w:r>
      <w:r w:rsidR="00EE5B4D" w:rsidRPr="00EE5B4D">
        <w:rPr>
          <w:lang w:val="sk-SK"/>
        </w:rPr>
        <w:instrText>HYPERLINK "http://data.europa.eu/eli/agree_internation/2014/492/oj" \o "Umožňuje prístup k tomuto dokumentu prostredníctvom jeho ELI URL."</w:instrText>
      </w:r>
      <w:r w:rsidR="00EE5B4D">
        <w:fldChar w:fldCharType="separate"/>
      </w:r>
      <w:r w:rsidRPr="00215B38">
        <w:rPr>
          <w:rStyle w:val="Hyperlink"/>
          <w:sz w:val="24"/>
          <w:szCs w:val="24"/>
          <w:shd w:val="clear" w:color="auto" w:fill="FFFFFF"/>
          <w:lang w:val="sk-SK"/>
        </w:rPr>
        <w:t>http://data.europa.eu/eli/agree_internation/2014/492/oj</w:t>
      </w:r>
      <w:r w:rsidR="00EE5B4D">
        <w:rPr>
          <w:rStyle w:val="Hyperlink"/>
          <w:sz w:val="24"/>
          <w:szCs w:val="24"/>
          <w:shd w:val="clear" w:color="auto" w:fill="FFFFFF"/>
          <w:lang w:val="sk-SK"/>
        </w:rPr>
        <w:fldChar w:fldCharType="end"/>
      </w:r>
      <w:r w:rsidR="00010938" w:rsidRPr="00215B38">
        <w:rPr>
          <w:rStyle w:val="Hyperlink"/>
          <w:color w:val="auto"/>
          <w:sz w:val="24"/>
          <w:szCs w:val="24"/>
          <w:u w:val="none"/>
          <w:shd w:val="clear" w:color="auto" w:fill="FFFFFF"/>
          <w:lang w:val="sk-SK"/>
        </w:rPr>
        <w:t>)</w:t>
      </w:r>
      <w:r w:rsidRPr="00215B38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95DE" w14:textId="77777777" w:rsidR="00064002" w:rsidRPr="00750C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61C9" w14:textId="77777777" w:rsidR="00064002" w:rsidRPr="00750C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0D37" w14:textId="77777777" w:rsidR="00064002" w:rsidRPr="00750C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029232">
    <w:abstractNumId w:val="9"/>
  </w:num>
  <w:num w:numId="2" w16cid:durableId="298540895">
    <w:abstractNumId w:val="9"/>
  </w:num>
  <w:num w:numId="3" w16cid:durableId="671370876">
    <w:abstractNumId w:val="7"/>
  </w:num>
  <w:num w:numId="4" w16cid:durableId="530460113">
    <w:abstractNumId w:val="7"/>
  </w:num>
  <w:num w:numId="5" w16cid:durableId="863518879">
    <w:abstractNumId w:val="6"/>
  </w:num>
  <w:num w:numId="6" w16cid:durableId="1227187236">
    <w:abstractNumId w:val="6"/>
  </w:num>
  <w:num w:numId="7" w16cid:durableId="697971104">
    <w:abstractNumId w:val="5"/>
  </w:num>
  <w:num w:numId="8" w16cid:durableId="2028868650">
    <w:abstractNumId w:val="5"/>
  </w:num>
  <w:num w:numId="9" w16cid:durableId="641927320">
    <w:abstractNumId w:val="4"/>
  </w:num>
  <w:num w:numId="10" w16cid:durableId="1193113963">
    <w:abstractNumId w:val="4"/>
  </w:num>
  <w:num w:numId="11" w16cid:durableId="1384938363">
    <w:abstractNumId w:val="8"/>
  </w:num>
  <w:num w:numId="12" w16cid:durableId="618680015">
    <w:abstractNumId w:val="8"/>
  </w:num>
  <w:num w:numId="13" w16cid:durableId="980426903">
    <w:abstractNumId w:val="3"/>
  </w:num>
  <w:num w:numId="14" w16cid:durableId="1983732106">
    <w:abstractNumId w:val="3"/>
  </w:num>
  <w:num w:numId="15" w16cid:durableId="1167401699">
    <w:abstractNumId w:val="2"/>
  </w:num>
  <w:num w:numId="16" w16cid:durableId="83654880">
    <w:abstractNumId w:val="2"/>
  </w:num>
  <w:num w:numId="17" w16cid:durableId="1409959601">
    <w:abstractNumId w:val="1"/>
  </w:num>
  <w:num w:numId="18" w16cid:durableId="1356421731">
    <w:abstractNumId w:val="1"/>
  </w:num>
  <w:num w:numId="19" w16cid:durableId="1602453413">
    <w:abstractNumId w:val="0"/>
  </w:num>
  <w:num w:numId="20" w16cid:durableId="950942924">
    <w:abstractNumId w:val="0"/>
  </w:num>
  <w:num w:numId="21" w16cid:durableId="231502993">
    <w:abstractNumId w:val="9"/>
  </w:num>
  <w:num w:numId="22" w16cid:durableId="102268115">
    <w:abstractNumId w:val="7"/>
  </w:num>
  <w:num w:numId="23" w16cid:durableId="912932770">
    <w:abstractNumId w:val="6"/>
  </w:num>
  <w:num w:numId="24" w16cid:durableId="1515026390">
    <w:abstractNumId w:val="5"/>
  </w:num>
  <w:num w:numId="25" w16cid:durableId="1840271796">
    <w:abstractNumId w:val="4"/>
  </w:num>
  <w:num w:numId="26" w16cid:durableId="2076925060">
    <w:abstractNumId w:val="8"/>
  </w:num>
  <w:num w:numId="27" w16cid:durableId="1372874404">
    <w:abstractNumId w:val="3"/>
  </w:num>
  <w:num w:numId="28" w16cid:durableId="1058892271">
    <w:abstractNumId w:val="2"/>
  </w:num>
  <w:num w:numId="29" w16cid:durableId="1540582705">
    <w:abstractNumId w:val="1"/>
  </w:num>
  <w:num w:numId="30" w16cid:durableId="191188957">
    <w:abstractNumId w:val="0"/>
  </w:num>
  <w:num w:numId="31" w16cid:durableId="855271640">
    <w:abstractNumId w:val="9"/>
  </w:num>
  <w:num w:numId="32" w16cid:durableId="52702363">
    <w:abstractNumId w:val="7"/>
  </w:num>
  <w:num w:numId="33" w16cid:durableId="501286310">
    <w:abstractNumId w:val="6"/>
  </w:num>
  <w:num w:numId="34" w16cid:durableId="1895310746">
    <w:abstractNumId w:val="5"/>
  </w:num>
  <w:num w:numId="35" w16cid:durableId="530531100">
    <w:abstractNumId w:val="4"/>
  </w:num>
  <w:num w:numId="36" w16cid:durableId="1234900403">
    <w:abstractNumId w:val="8"/>
  </w:num>
  <w:num w:numId="37" w16cid:durableId="1964381891">
    <w:abstractNumId w:val="3"/>
  </w:num>
  <w:num w:numId="38" w16cid:durableId="963194611">
    <w:abstractNumId w:val="2"/>
  </w:num>
  <w:num w:numId="39" w16cid:durableId="610286749">
    <w:abstractNumId w:val="1"/>
  </w:num>
  <w:num w:numId="40" w16cid:durableId="1259220895">
    <w:abstractNumId w:val="0"/>
  </w:num>
  <w:num w:numId="41" w16cid:durableId="806780640">
    <w:abstractNumId w:val="10"/>
  </w:num>
  <w:num w:numId="42" w16cid:durableId="984314340">
    <w:abstractNumId w:val="10"/>
  </w:num>
  <w:num w:numId="43" w16cid:durableId="167909062">
    <w:abstractNumId w:val="10"/>
  </w:num>
  <w:num w:numId="44" w16cid:durableId="1756556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6/2025"/>
    <w:docVar w:name="dvlangue" w:val="SK"/>
    <w:docVar w:name="dvnumam" w:val="0"/>
    <w:docVar w:name="dvpe" w:val="768.179"/>
    <w:docVar w:name="dvrapporteur" w:val="Spravodajca: "/>
    <w:docVar w:name="dvtitre" w:val="Uznesenie Európskeho parlamentu z xx. júna 2025 o správach Komisie o Moldavsku za roky 2023 a 2024(2025/2025(INI))"/>
  </w:docVars>
  <w:rsids>
    <w:rsidRoot w:val="0074152F"/>
    <w:rsid w:val="00002272"/>
    <w:rsid w:val="00010938"/>
    <w:rsid w:val="0006271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5B38"/>
    <w:rsid w:val="002767FF"/>
    <w:rsid w:val="00290B4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B08"/>
    <w:rsid w:val="004861F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003"/>
    <w:rsid w:val="006631B6"/>
    <w:rsid w:val="00680577"/>
    <w:rsid w:val="006F74FA"/>
    <w:rsid w:val="00731ADD"/>
    <w:rsid w:val="00734777"/>
    <w:rsid w:val="0074152F"/>
    <w:rsid w:val="00747932"/>
    <w:rsid w:val="00750C31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562EA"/>
    <w:rsid w:val="00A778C7"/>
    <w:rsid w:val="00AB441E"/>
    <w:rsid w:val="00AB6293"/>
    <w:rsid w:val="00AE0928"/>
    <w:rsid w:val="00AF3B82"/>
    <w:rsid w:val="00B12E95"/>
    <w:rsid w:val="00B22876"/>
    <w:rsid w:val="00B558F0"/>
    <w:rsid w:val="00B946C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B4D"/>
    <w:rsid w:val="00F04346"/>
    <w:rsid w:val="00F075DC"/>
    <w:rsid w:val="00F149E9"/>
    <w:rsid w:val="00F5134D"/>
    <w:rsid w:val="00F6690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BFCD7"/>
  <w15:chartTrackingRefBased/>
  <w15:docId w15:val="{1E572FF9-2EE1-4161-95E2-6A241FC4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autoRedefine/>
    <w:rsid w:val="00484B08"/>
    <w:pPr>
      <w:spacing w:after="240"/>
      <w:ind w:left="567" w:hanging="567"/>
    </w:pPr>
  </w:style>
  <w:style w:type="paragraph" w:customStyle="1" w:styleId="EPComma">
    <w:name w:val="EPComma"/>
    <w:basedOn w:val="Normal"/>
    <w:rsid w:val="00484B0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84B08"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484B08"/>
    <w:rPr>
      <w:i/>
      <w:iCs/>
    </w:rPr>
  </w:style>
  <w:style w:type="character" w:styleId="Hyperlink">
    <w:name w:val="Hyperlink"/>
    <w:basedOn w:val="DefaultParagraphFont"/>
    <w:uiPriority w:val="99"/>
    <w:unhideWhenUsed/>
    <w:rsid w:val="00484B08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484B08"/>
  </w:style>
  <w:style w:type="paragraph" w:styleId="Revision">
    <w:name w:val="Revision"/>
    <w:hidden/>
    <w:uiPriority w:val="99"/>
    <w:semiHidden/>
    <w:rsid w:val="00651003"/>
    <w:rPr>
      <w:sz w:val="24"/>
      <w:lang w:val="sk-SK"/>
    </w:rPr>
  </w:style>
  <w:style w:type="paragraph" w:styleId="BalloonText">
    <w:name w:val="Balloon Text"/>
    <w:basedOn w:val="Normal"/>
    <w:link w:val="BalloonTextChar"/>
    <w:rsid w:val="00062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2717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5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81DC3-4853-4730-ACA9-426013E2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3469</Words>
  <Characters>21808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2025-07-18T07:17:00Z</dcterms:created>
  <dcterms:modified xsi:type="dcterms:W3CDTF">2025-07-18T07:17:00Z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A10-0096/2025</vt:lpwstr>
  </property>
  <property fmtid="{D5CDD505-2E9C-101B-9397-08002B2CF9AE}" pid="4" name="&lt;Type&gt;">
    <vt:lpwstr>RR</vt:lpwstr>
  </property>
</Properties>
</file>