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3AE5" w:rsidTr="0010095E">
        <w:trPr>
          <w:trHeight w:hRule="exact" w:val="1418"/>
        </w:trPr>
        <w:tc>
          <w:tcPr>
            <w:tcW w:w="6804" w:type="dxa"/>
            <w:shd w:val="clear" w:color="auto" w:fill="auto"/>
            <w:vAlign w:val="center"/>
          </w:tcPr>
          <w:p w:rsidR="00751A4A" w:rsidRPr="00F73AE5" w:rsidRDefault="000068E0" w:rsidP="0010095E">
            <w:pPr>
              <w:pStyle w:val="EPName"/>
            </w:pPr>
            <w:bookmarkStart w:id="0" w:name="_GoBack"/>
            <w:bookmarkEnd w:id="0"/>
            <w:r w:rsidRPr="00F73AE5">
              <w:t>Europees Parlement</w:t>
            </w:r>
          </w:p>
          <w:p w:rsidR="00751A4A" w:rsidRPr="00F73AE5" w:rsidRDefault="005F1B17" w:rsidP="005F1B17">
            <w:pPr>
              <w:pStyle w:val="EPTerm"/>
              <w:rPr>
                <w:rStyle w:val="HideTWBExt"/>
                <w:noProof w:val="0"/>
                <w:vanish w:val="0"/>
                <w:color w:val="auto"/>
              </w:rPr>
            </w:pPr>
            <w:r w:rsidRPr="00F73AE5">
              <w:t>2024</w:t>
            </w:r>
            <w:r w:rsidR="00817416" w:rsidRPr="00F73AE5">
              <w:t>-202</w:t>
            </w:r>
            <w:r w:rsidRPr="00F73AE5">
              <w:t>9</w:t>
            </w:r>
          </w:p>
        </w:tc>
        <w:tc>
          <w:tcPr>
            <w:tcW w:w="2268" w:type="dxa"/>
            <w:shd w:val="clear" w:color="auto" w:fill="auto"/>
          </w:tcPr>
          <w:p w:rsidR="00751A4A" w:rsidRPr="00F73AE5" w:rsidRDefault="00187494" w:rsidP="0010095E">
            <w:pPr>
              <w:pStyle w:val="EPLogo"/>
            </w:pPr>
            <w:r w:rsidRPr="00F73A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3AE5" w:rsidRDefault="00D058B8" w:rsidP="004C5D52">
      <w:pPr>
        <w:pStyle w:val="LineTop"/>
      </w:pPr>
    </w:p>
    <w:p w:rsidR="00680577" w:rsidRPr="00F73AE5" w:rsidRDefault="000068E0" w:rsidP="00680577">
      <w:pPr>
        <w:pStyle w:val="EPBodyTA1"/>
      </w:pPr>
      <w:r w:rsidRPr="00F73AE5">
        <w:t>AANGENOMEN TEKSTEN</w:t>
      </w:r>
    </w:p>
    <w:p w:rsidR="00D058B8" w:rsidRPr="00F73AE5" w:rsidRDefault="00D058B8" w:rsidP="00D058B8">
      <w:pPr>
        <w:pStyle w:val="LineBottom"/>
      </w:pPr>
    </w:p>
    <w:p w:rsidR="000068E0" w:rsidRPr="00F73AE5" w:rsidRDefault="000068E0" w:rsidP="000068E0">
      <w:pPr>
        <w:pStyle w:val="ATHeading1"/>
      </w:pPr>
      <w:bookmarkStart w:id="1" w:name="TANumber"/>
      <w:r w:rsidRPr="00F73AE5">
        <w:t>P10_</w:t>
      </w:r>
      <w:proofErr w:type="gramStart"/>
      <w:r w:rsidRPr="00F73AE5">
        <w:t>TA(</w:t>
      </w:r>
      <w:proofErr w:type="gramEnd"/>
      <w:r w:rsidRPr="00F73AE5">
        <w:t>2025)0</w:t>
      </w:r>
      <w:r w:rsidR="001D565F" w:rsidRPr="00F73AE5">
        <w:t>134</w:t>
      </w:r>
      <w:bookmarkEnd w:id="1"/>
    </w:p>
    <w:p w:rsidR="000068E0" w:rsidRPr="00F73AE5" w:rsidRDefault="000068E0" w:rsidP="000068E0">
      <w:pPr>
        <w:pStyle w:val="ATHeading2"/>
      </w:pPr>
      <w:bookmarkStart w:id="2" w:name="title"/>
      <w:r w:rsidRPr="00F73AE5">
        <w:t>Ontbinding van politieke partijen en het hardhandige optreden tegen de oppositie in Mali</w:t>
      </w:r>
      <w:bookmarkEnd w:id="2"/>
    </w:p>
    <w:p w:rsidR="000068E0" w:rsidRPr="00F73AE5" w:rsidRDefault="000068E0" w:rsidP="000068E0">
      <w:pPr>
        <w:rPr>
          <w:i/>
          <w:vanish/>
        </w:rPr>
      </w:pPr>
      <w:r w:rsidRPr="00F73AE5">
        <w:rPr>
          <w:i/>
        </w:rPr>
        <w:fldChar w:fldCharType="begin"/>
      </w:r>
      <w:r w:rsidRPr="00F73AE5">
        <w:rPr>
          <w:i/>
        </w:rPr>
        <w:instrText xml:space="preserve"> TC"(</w:instrText>
      </w:r>
      <w:bookmarkStart w:id="3" w:name="DocNumber"/>
      <w:r w:rsidRPr="00F73AE5">
        <w:rPr>
          <w:i/>
        </w:rPr>
        <w:instrText>B10-0291, 0294, 0297 en 0298/2025</w:instrText>
      </w:r>
      <w:bookmarkEnd w:id="3"/>
      <w:r w:rsidRPr="00F73AE5">
        <w:rPr>
          <w:i/>
        </w:rPr>
        <w:instrText xml:space="preserve">)"\l3 \n&gt; \* MERGEFORMAT </w:instrText>
      </w:r>
      <w:r w:rsidRPr="00F73AE5">
        <w:rPr>
          <w:i/>
        </w:rPr>
        <w:fldChar w:fldCharType="end"/>
      </w:r>
    </w:p>
    <w:p w:rsidR="000068E0" w:rsidRPr="00F73AE5" w:rsidRDefault="000068E0" w:rsidP="000068E0">
      <w:pPr>
        <w:rPr>
          <w:vanish/>
        </w:rPr>
      </w:pPr>
      <w:bookmarkStart w:id="4" w:name="PE"/>
      <w:r w:rsidRPr="00F73AE5">
        <w:rPr>
          <w:vanish/>
        </w:rPr>
        <w:t>PE773.975</w:t>
      </w:r>
      <w:bookmarkEnd w:id="4"/>
    </w:p>
    <w:p w:rsidR="000068E0" w:rsidRPr="00F73AE5" w:rsidRDefault="000068E0" w:rsidP="000068E0">
      <w:pPr>
        <w:pStyle w:val="ATHeading3"/>
      </w:pPr>
      <w:bookmarkStart w:id="5" w:name="Sujet"/>
      <w:r w:rsidRPr="00F73AE5">
        <w:t>Resolutie van het Europees Parlement van 19 juni 2025 over de ontbinding van politieke partijen en het hardhandige optreden tegen de oppositie in Mali</w:t>
      </w:r>
      <w:bookmarkEnd w:id="5"/>
      <w:r w:rsidRPr="00F73AE5">
        <w:t xml:space="preserve"> </w:t>
      </w:r>
      <w:bookmarkStart w:id="6" w:name="References"/>
      <w:r w:rsidRPr="00F73AE5">
        <w:t>(2025/2754(RSP))</w:t>
      </w:r>
      <w:bookmarkEnd w:id="6"/>
    </w:p>
    <w:p w:rsidR="006B09D5" w:rsidRPr="00F73AE5" w:rsidRDefault="006B09D5" w:rsidP="006B09D5">
      <w:pPr>
        <w:pStyle w:val="EPComma"/>
      </w:pPr>
      <w:bookmarkStart w:id="7" w:name="TextBodyBegin"/>
      <w:bookmarkEnd w:id="7"/>
      <w:r w:rsidRPr="00F73AE5">
        <w:rPr>
          <w:i/>
        </w:rPr>
        <w:t>Het Europees Parlement</w:t>
      </w:r>
      <w:r w:rsidRPr="00F73AE5">
        <w:t>,</w:t>
      </w:r>
    </w:p>
    <w:p w:rsidR="006B09D5" w:rsidRPr="00F73AE5" w:rsidRDefault="006B09D5" w:rsidP="006B09D5">
      <w:pPr>
        <w:pStyle w:val="NormalHanging12a"/>
      </w:pPr>
      <w:r w:rsidRPr="00F73AE5">
        <w:t>–</w:t>
      </w:r>
      <w:r w:rsidRPr="00F73AE5">
        <w:tab/>
        <w:t>gezien artikel 150, lid 5, en artikel 136, lid 4, van zijn Reglement,</w:t>
      </w:r>
    </w:p>
    <w:p w:rsidR="006B09D5" w:rsidRPr="00F73AE5" w:rsidRDefault="006B09D5" w:rsidP="006B09D5">
      <w:pPr>
        <w:pStyle w:val="NormalHanging12a"/>
        <w:rPr>
          <w:bdr w:val="none" w:sz="0" w:space="0" w:color="auto" w:frame="1"/>
        </w:rPr>
      </w:pPr>
      <w:r w:rsidRPr="00F73AE5">
        <w:t>A.</w:t>
      </w:r>
      <w:r w:rsidRPr="00F73AE5">
        <w:rPr>
          <w:bdr w:val="none" w:sz="0" w:space="0" w:color="auto" w:frame="1"/>
        </w:rPr>
        <w:tab/>
        <w:t xml:space="preserve">overwegende dat het leger Mali regeert sinds de staatsgreep van 2020, waarbij generaal </w:t>
      </w:r>
      <w:proofErr w:type="spellStart"/>
      <w:r w:rsidRPr="00F73AE5">
        <w:rPr>
          <w:bdr w:val="none" w:sz="0" w:space="0" w:color="auto" w:frame="1"/>
        </w:rPr>
        <w:t>Assimi</w:t>
      </w:r>
      <w:proofErr w:type="spellEnd"/>
      <w:r w:rsidRPr="00F73AE5">
        <w:rPr>
          <w:bdr w:val="none" w:sz="0" w:space="0" w:color="auto" w:frame="1"/>
        </w:rPr>
        <w:t xml:space="preserve"> </w:t>
      </w:r>
      <w:proofErr w:type="spellStart"/>
      <w:r w:rsidRPr="00F73AE5">
        <w:rPr>
          <w:bdr w:val="none" w:sz="0" w:space="0" w:color="auto" w:frame="1"/>
        </w:rPr>
        <w:t>Goïta</w:t>
      </w:r>
      <w:proofErr w:type="spellEnd"/>
      <w:r w:rsidRPr="00F73AE5">
        <w:rPr>
          <w:bdr w:val="none" w:sz="0" w:space="0" w:color="auto" w:frame="1"/>
        </w:rPr>
        <w:t xml:space="preserve"> werd aangesteld als overgangspresident, en de herhaaldelijk beloofde verkiezingen niet hebben plaatsgevonden;</w:t>
      </w:r>
    </w:p>
    <w:p w:rsidR="006B09D5" w:rsidRPr="00F73AE5" w:rsidRDefault="006B09D5" w:rsidP="006B09D5">
      <w:pPr>
        <w:pStyle w:val="NormalHanging12a"/>
        <w:rPr>
          <w:bdr w:val="none" w:sz="0" w:space="0" w:color="auto" w:frame="1"/>
        </w:rPr>
      </w:pPr>
      <w:r w:rsidRPr="00F73AE5">
        <w:rPr>
          <w:bdr w:val="none" w:sz="0" w:space="0" w:color="auto" w:frame="1"/>
        </w:rPr>
        <w:t>B.</w:t>
      </w:r>
      <w:r w:rsidRPr="00F73AE5">
        <w:rPr>
          <w:bdr w:val="none" w:sz="0" w:space="0" w:color="auto" w:frame="1"/>
        </w:rPr>
        <w:tab/>
      </w:r>
      <w:r w:rsidRPr="00F73AE5">
        <w:t>overwegende dat de militaire autoriteiten op 13 mei 2025 politieke partijen en organisaties hebben ontbonden en wetten ter bescherming van politieke participatie hebben ingetrokken, wat leidde tot binnenlandse protesten en internationale bezorgdheid over de consolidatie van het autoritaire bewind en de onderdrukking en criminalisering van de oppositie en demonstranten;</w:t>
      </w:r>
    </w:p>
    <w:p w:rsidR="006B09D5" w:rsidRPr="00F73AE5" w:rsidRDefault="006B09D5" w:rsidP="006B09D5">
      <w:pPr>
        <w:pStyle w:val="NormalHanging12a"/>
        <w:rPr>
          <w:bdr w:val="none" w:sz="0" w:space="0" w:color="auto" w:frame="1"/>
        </w:rPr>
      </w:pPr>
      <w:r w:rsidRPr="00F73AE5">
        <w:rPr>
          <w:bdr w:val="none" w:sz="0" w:space="0" w:color="auto" w:frame="1"/>
        </w:rPr>
        <w:t>C.</w:t>
      </w:r>
      <w:r w:rsidRPr="00F73AE5">
        <w:rPr>
          <w:bdr w:val="none" w:sz="0" w:space="0" w:color="auto" w:frame="1"/>
        </w:rPr>
        <w:tab/>
      </w:r>
      <w:r w:rsidRPr="00F73AE5">
        <w:t>overwegende dat de recente ontvoeringen en arrestaties van oppositieleden hebben bijgedragen aan de gedwongen verdwijningen die teruggaan tot ten minste 2021, en dat de militaire junta de onderdrukking van de politieke oppositie en de burgerlijke vrijheden heeft geïntensiveerd;</w:t>
      </w:r>
    </w:p>
    <w:p w:rsidR="006B09D5" w:rsidRPr="00F73AE5" w:rsidRDefault="006B09D5" w:rsidP="006B09D5">
      <w:pPr>
        <w:pStyle w:val="NormalHanging12a"/>
        <w:rPr>
          <w:bdr w:val="none" w:sz="0" w:space="0" w:color="auto" w:frame="1"/>
        </w:rPr>
      </w:pPr>
      <w:r w:rsidRPr="00F73AE5">
        <w:rPr>
          <w:bdr w:val="none" w:sz="0" w:space="0" w:color="auto" w:frame="1"/>
        </w:rPr>
        <w:t>D.</w:t>
      </w:r>
      <w:r w:rsidRPr="00F73AE5">
        <w:rPr>
          <w:bdr w:val="none" w:sz="0" w:space="0" w:color="auto" w:frame="1"/>
        </w:rPr>
        <w:tab/>
        <w:t>overwegende dat de Malinese ministerraad op 11 juni 2025 een wet heeft aangenomen waarbij zonder verkiezingen de overgangspresident een eventueel te verlengen ambtstermijn van vijf jaar wordt verleend;</w:t>
      </w:r>
    </w:p>
    <w:p w:rsidR="006B09D5" w:rsidRPr="00F73AE5" w:rsidRDefault="006B09D5" w:rsidP="006B09D5">
      <w:pPr>
        <w:pStyle w:val="NormalHanging12a"/>
        <w:rPr>
          <w:bdr w:val="none" w:sz="0" w:space="0" w:color="auto" w:frame="1"/>
        </w:rPr>
      </w:pPr>
      <w:r w:rsidRPr="00F73AE5">
        <w:rPr>
          <w:bdr w:val="none" w:sz="0" w:space="0" w:color="auto" w:frame="1"/>
        </w:rPr>
        <w:t>E.</w:t>
      </w:r>
      <w:r w:rsidRPr="00F73AE5">
        <w:rPr>
          <w:bdr w:val="none" w:sz="0" w:space="0" w:color="auto" w:frame="1"/>
        </w:rPr>
        <w:tab/>
      </w:r>
      <w:r w:rsidRPr="00F73AE5">
        <w:t>overwegende dat de EU het maatschappelijk middenveld blijft steunen en humanitaire hulp blijft verlenen in Mali;</w:t>
      </w:r>
    </w:p>
    <w:p w:rsidR="006B09D5" w:rsidRPr="00F73AE5" w:rsidRDefault="006B09D5" w:rsidP="006B09D5">
      <w:pPr>
        <w:pStyle w:val="NormalHanging12a"/>
        <w:rPr>
          <w:bdr w:val="none" w:sz="0" w:space="0" w:color="auto" w:frame="1"/>
        </w:rPr>
      </w:pPr>
      <w:r w:rsidRPr="00F73AE5">
        <w:rPr>
          <w:bdr w:val="none" w:sz="0" w:space="0" w:color="auto" w:frame="1"/>
        </w:rPr>
        <w:t>F.</w:t>
      </w:r>
      <w:r w:rsidRPr="00F73AE5">
        <w:rPr>
          <w:bdr w:val="none" w:sz="0" w:space="0" w:color="auto" w:frame="1"/>
        </w:rPr>
        <w:tab/>
        <w:t>overwegende dat aan Al Qaida gelieerde islamistische terroristische groeperingen burgers hebben gedood, waaronder christenen en mensen uit andere religieuze minderheden;</w:t>
      </w:r>
    </w:p>
    <w:p w:rsidR="006B09D5" w:rsidRPr="00F73AE5" w:rsidRDefault="006B09D5" w:rsidP="006B09D5">
      <w:pPr>
        <w:pStyle w:val="NormalHanging12a"/>
        <w:rPr>
          <w:bdr w:val="none" w:sz="0" w:space="0" w:color="auto" w:frame="1"/>
        </w:rPr>
      </w:pPr>
      <w:r w:rsidRPr="00F73AE5">
        <w:rPr>
          <w:bdr w:val="none" w:sz="0" w:space="0" w:color="auto" w:frame="1"/>
        </w:rPr>
        <w:t>G.</w:t>
      </w:r>
      <w:r w:rsidRPr="00F73AE5">
        <w:rPr>
          <w:bdr w:val="none" w:sz="0" w:space="0" w:color="auto" w:frame="1"/>
        </w:rPr>
        <w:tab/>
        <w:t xml:space="preserve">overwegende dat de EU en verschillende lidstaten op verzoek van de voormalige </w:t>
      </w:r>
      <w:r w:rsidRPr="00F73AE5">
        <w:rPr>
          <w:bdr w:val="none" w:sz="0" w:space="0" w:color="auto" w:frame="1"/>
        </w:rPr>
        <w:lastRenderedPageBreak/>
        <w:t>Malinese autoriteiten troepen hebben ingezet die om het leven zijn gekomen in de strijd tegen het jihadisme</w:t>
      </w:r>
      <w:r w:rsidR="001D565F" w:rsidRPr="00F73AE5">
        <w:rPr>
          <w:bdr w:val="none" w:sz="0" w:space="0" w:color="auto" w:frame="1"/>
        </w:rPr>
        <w:t>, waaronder 58 Franse soldaten, 2 Nederlandse soldaten en 1 Portugese soldaat</w:t>
      </w:r>
      <w:r w:rsidRPr="00F73AE5">
        <w:rPr>
          <w:bdr w:val="none" w:sz="0" w:space="0" w:color="auto" w:frame="1"/>
        </w:rPr>
        <w:t>;</w:t>
      </w:r>
    </w:p>
    <w:p w:rsidR="006B09D5" w:rsidRPr="00F73AE5" w:rsidRDefault="006B09D5" w:rsidP="006B09D5">
      <w:pPr>
        <w:pStyle w:val="NormalHanging12a"/>
        <w:rPr>
          <w:bdr w:val="none" w:sz="0" w:space="0" w:color="auto" w:frame="1"/>
        </w:rPr>
      </w:pPr>
      <w:r w:rsidRPr="00F73AE5">
        <w:rPr>
          <w:bdr w:val="none" w:sz="0" w:space="0" w:color="auto" w:frame="1"/>
        </w:rPr>
        <w:t>H.</w:t>
      </w:r>
      <w:r w:rsidRPr="00F73AE5">
        <w:rPr>
          <w:bdr w:val="none" w:sz="0" w:space="0" w:color="auto" w:frame="1"/>
        </w:rPr>
        <w:tab/>
        <w:t>overwegende dat Mali te lijden heeft onder Russische desinformatie;</w:t>
      </w:r>
    </w:p>
    <w:p w:rsidR="006B09D5" w:rsidRPr="00F73AE5" w:rsidRDefault="006B09D5" w:rsidP="006B09D5">
      <w:pPr>
        <w:pStyle w:val="NormalHanging12a"/>
        <w:rPr>
          <w:szCs w:val="24"/>
        </w:rPr>
      </w:pPr>
      <w:r w:rsidRPr="00F73AE5">
        <w:t>1.</w:t>
      </w:r>
      <w:r w:rsidRPr="00F73AE5">
        <w:tab/>
        <w:t>is ernstig bezorgd over de alarmerende politieke en veiligheidssituatie in Mali; veroordeelt met klem de ontbinding van politieke partijen en organisaties en het hardhandig optreden tegen de oppositie;</w:t>
      </w:r>
    </w:p>
    <w:p w:rsidR="006B09D5" w:rsidRPr="00F73AE5" w:rsidRDefault="006B09D5" w:rsidP="006B09D5">
      <w:pPr>
        <w:pStyle w:val="NormalHanging12a"/>
        <w:rPr>
          <w:szCs w:val="24"/>
        </w:rPr>
      </w:pPr>
      <w:r w:rsidRPr="00F73AE5">
        <w:t>2.</w:t>
      </w:r>
      <w:r w:rsidRPr="00F73AE5">
        <w:tab/>
        <w:t>hekelt de verscherpte maatregelen van de Malinese autoriteiten die de democratie, de mensenrechten, de vrijheid van meningsuiting en de vrijheid van vereniging en vreedzame vergadering ondermijnen;</w:t>
      </w:r>
    </w:p>
    <w:p w:rsidR="006B09D5" w:rsidRPr="00F73AE5" w:rsidRDefault="006B09D5" w:rsidP="006B09D5">
      <w:pPr>
        <w:pStyle w:val="NormalHanging12a"/>
        <w:widowControl/>
        <w:rPr>
          <w:szCs w:val="24"/>
          <w:bdr w:val="none" w:sz="0" w:space="0" w:color="auto" w:frame="1"/>
        </w:rPr>
      </w:pPr>
      <w:r w:rsidRPr="00F73AE5">
        <w:t>3.</w:t>
      </w:r>
      <w:r w:rsidRPr="00F73AE5">
        <w:tab/>
      </w:r>
      <w:r w:rsidRPr="00F73AE5">
        <w:rPr>
          <w:bdr w:val="none" w:sz="0" w:space="0" w:color="auto" w:frame="1"/>
        </w:rPr>
        <w:t>dringt er bij de Malinese autoriteiten op aan het internationaal recht inzake de mensenrechten en de door Mali aangegane verbintenissen op het gebied van politieke en burgerlijke rechten te eerbiedigen;</w:t>
      </w:r>
    </w:p>
    <w:p w:rsidR="006B09D5" w:rsidRPr="00F73AE5" w:rsidRDefault="006B09D5" w:rsidP="006B09D5">
      <w:pPr>
        <w:pStyle w:val="NormalHanging12a"/>
        <w:rPr>
          <w:szCs w:val="24"/>
        </w:rPr>
      </w:pPr>
      <w:r w:rsidRPr="00F73AE5">
        <w:t>4.</w:t>
      </w:r>
      <w:r w:rsidRPr="00F73AE5">
        <w:tab/>
        <w:t>herinnert aan de opdracht die de overgangspresident in november 2024 aan zijn kabinet heeft gegeven om zo spoedig mogelijk de voorwaarden te scheppen voor transparante en vreedzame verkiezingen;</w:t>
      </w:r>
    </w:p>
    <w:p w:rsidR="006B09D5" w:rsidRPr="00F73AE5" w:rsidRDefault="006B09D5" w:rsidP="006B09D5">
      <w:pPr>
        <w:pStyle w:val="NormalHanging12a"/>
        <w:rPr>
          <w:szCs w:val="24"/>
        </w:rPr>
      </w:pPr>
      <w:r w:rsidRPr="00F73AE5">
        <w:t>5.</w:t>
      </w:r>
      <w:r w:rsidRPr="00F73AE5">
        <w:tab/>
        <w:t>dringt er bij de autoriteiten op aan om degenen die om politieke redenen gearresteerd of ontvoerd zijn onmiddellijk vrij te laten, een definitief einde te maken aan de onderdrukking en intimidatie, de veiligheid van oppositieleden, activisten en actoren van het maatschappelijk middenveld te garanderen en vrede en stabiliteit in Mali te waarborgen;</w:t>
      </w:r>
    </w:p>
    <w:p w:rsidR="006B09D5" w:rsidRPr="00F73AE5" w:rsidRDefault="006B09D5" w:rsidP="006B09D5">
      <w:pPr>
        <w:pStyle w:val="NormalHanging12a"/>
        <w:rPr>
          <w:szCs w:val="24"/>
          <w:bdr w:val="none" w:sz="0" w:space="0" w:color="auto" w:frame="1"/>
        </w:rPr>
      </w:pPr>
      <w:r w:rsidRPr="00F73AE5">
        <w:rPr>
          <w:bdr w:val="none" w:sz="0" w:space="0" w:color="auto" w:frame="1"/>
        </w:rPr>
        <w:t>6.</w:t>
      </w:r>
      <w:r w:rsidRPr="00F73AE5">
        <w:rPr>
          <w:bdr w:val="none" w:sz="0" w:space="0" w:color="auto" w:frame="1"/>
        </w:rPr>
        <w:tab/>
        <w:t xml:space="preserve">betreurt het dat Mali nog steeds kampt met geweld en </w:t>
      </w:r>
      <w:proofErr w:type="spellStart"/>
      <w:r w:rsidRPr="00F73AE5">
        <w:rPr>
          <w:bdr w:val="none" w:sz="0" w:space="0" w:color="auto" w:frame="1"/>
        </w:rPr>
        <w:t>islamistisch</w:t>
      </w:r>
      <w:proofErr w:type="spellEnd"/>
      <w:r w:rsidRPr="00F73AE5">
        <w:rPr>
          <w:bdr w:val="none" w:sz="0" w:space="0" w:color="auto" w:frame="1"/>
        </w:rPr>
        <w:t xml:space="preserve"> terrorisme; herinnert eraan dat door Rusland gesponsorde huurlingen niet voor stabiliteit hebben gezorgd; </w:t>
      </w:r>
      <w:r w:rsidRPr="00F73AE5">
        <w:t>dringt erop aan ervoor te zorgen dat verantwoording wordt afgelegd voor de rechtenschendingen, waaronder de oorlogsmisdaden die de Wagner-groep/het Afrikakorps tegen het Malinese volk heeft begaan;</w:t>
      </w:r>
    </w:p>
    <w:p w:rsidR="006B09D5" w:rsidRPr="00F73AE5" w:rsidRDefault="006B09D5" w:rsidP="006B09D5">
      <w:pPr>
        <w:pStyle w:val="NormalHanging12a"/>
        <w:rPr>
          <w:bdr w:val="none" w:sz="0" w:space="0" w:color="auto" w:frame="1"/>
        </w:rPr>
      </w:pPr>
      <w:r w:rsidRPr="00F73AE5">
        <w:rPr>
          <w:bdr w:val="none" w:sz="0" w:space="0" w:color="auto" w:frame="1"/>
        </w:rPr>
        <w:t>7.</w:t>
      </w:r>
      <w:r w:rsidRPr="00F73AE5">
        <w:rPr>
          <w:bdr w:val="none" w:sz="0" w:space="0" w:color="auto" w:frame="1"/>
        </w:rPr>
        <w:tab/>
        <w:t xml:space="preserve">moedigt nauwere samenwerking aan tussen de EU, de speciale vertegenwoordiger van de Europese Unie voor de </w:t>
      </w:r>
      <w:proofErr w:type="spellStart"/>
      <w:r w:rsidRPr="00F73AE5">
        <w:rPr>
          <w:bdr w:val="none" w:sz="0" w:space="0" w:color="auto" w:frame="1"/>
        </w:rPr>
        <w:t>Sahelregio</w:t>
      </w:r>
      <w:proofErr w:type="spellEnd"/>
      <w:r w:rsidRPr="00F73AE5">
        <w:rPr>
          <w:bdr w:val="none" w:sz="0" w:space="0" w:color="auto" w:frame="1"/>
        </w:rPr>
        <w:t xml:space="preserve">, de </w:t>
      </w:r>
      <w:proofErr w:type="spellStart"/>
      <w:r w:rsidRPr="00F73AE5">
        <w:rPr>
          <w:bdr w:val="none" w:sz="0" w:space="0" w:color="auto" w:frame="1"/>
        </w:rPr>
        <w:t>Ecowas</w:t>
      </w:r>
      <w:proofErr w:type="spellEnd"/>
      <w:r w:rsidRPr="00F73AE5">
        <w:rPr>
          <w:bdr w:val="none" w:sz="0" w:space="0" w:color="auto" w:frame="1"/>
        </w:rPr>
        <w:t xml:space="preserve"> en de Afrikaanse Unie om de stabiliteit en de eerbiediging van de mensenrechten in Mali te bevorderen;</w:t>
      </w:r>
    </w:p>
    <w:p w:rsidR="001D565F" w:rsidRPr="00F73AE5" w:rsidRDefault="001D565F" w:rsidP="006B09D5">
      <w:pPr>
        <w:pStyle w:val="NormalHanging12a"/>
        <w:rPr>
          <w:szCs w:val="24"/>
          <w:bdr w:val="none" w:sz="0" w:space="0" w:color="auto" w:frame="1"/>
        </w:rPr>
      </w:pPr>
      <w:r w:rsidRPr="00F73AE5">
        <w:rPr>
          <w:szCs w:val="24"/>
          <w:bdr w:val="none" w:sz="0" w:space="0" w:color="auto" w:frame="1"/>
        </w:rPr>
        <w:t>8.</w:t>
      </w:r>
      <w:r w:rsidRPr="00F73AE5">
        <w:rPr>
          <w:szCs w:val="24"/>
          <w:bdr w:val="none" w:sz="0" w:space="0" w:color="auto" w:frame="1"/>
        </w:rPr>
        <w:tab/>
        <w:t xml:space="preserve">spreekt zijn ernstige bezorgdheid uit over de toenemende illegale migratiestromen vanuit Mali naar Europa, die worden aangewakkerd door toenemende onveiligheid, politieke instabiliteit en economische stagnatie; verzoekt de Malinese autoriteiten de volledige verantwoordelijkheid op zich te nemen om ongecontroleerd vertrek te voorkomen en dringt er bij de EU op aan het terugkeerbeleid en de samenwerking op het gebied van migratiebeheer met Mali en de doorreislanden te versterken; </w:t>
      </w:r>
    </w:p>
    <w:p w:rsidR="006B09D5" w:rsidRPr="00F73AE5" w:rsidRDefault="001D565F" w:rsidP="006B09D5">
      <w:pPr>
        <w:pStyle w:val="NormalHanging12a"/>
        <w:rPr>
          <w:szCs w:val="24"/>
        </w:rPr>
      </w:pPr>
      <w:r w:rsidRPr="00F73AE5">
        <w:t>9</w:t>
      </w:r>
      <w:r w:rsidR="006B09D5" w:rsidRPr="00F73AE5">
        <w:t>.</w:t>
      </w:r>
      <w:r w:rsidR="006B09D5" w:rsidRPr="00F73AE5">
        <w:tab/>
        <w:t>benadrukt dat de EU ondubbelzinnig steun verleent aan het herstel van de meerpartijendemocratie door hulp te bieden aan het maatschappelijk middenveld en democratische actoren en door ervoor te zorgen dat de mensenrechten een topprioriteit vormen in de steun van de EU, overeenkomstig de herziene aanpak voor de Sahel;</w:t>
      </w:r>
    </w:p>
    <w:p w:rsidR="006B09D5" w:rsidRPr="00F73AE5" w:rsidRDefault="001D565F" w:rsidP="006B09D5">
      <w:pPr>
        <w:pStyle w:val="NormalHanging12a"/>
        <w:rPr>
          <w:szCs w:val="24"/>
        </w:rPr>
      </w:pPr>
      <w:r w:rsidRPr="00F73AE5">
        <w:t>10</w:t>
      </w:r>
      <w:r w:rsidR="006B09D5" w:rsidRPr="00F73AE5">
        <w:t>.</w:t>
      </w:r>
      <w:r w:rsidR="006B09D5" w:rsidRPr="00F73AE5">
        <w:tab/>
      </w:r>
      <w:r w:rsidR="006B09D5" w:rsidRPr="00F73AE5">
        <w:rPr>
          <w:bdr w:val="none" w:sz="0" w:space="0" w:color="auto" w:frame="1"/>
        </w:rPr>
        <w:t>verzoekt de VV/HV en de lidstaten de Malinese autoriteiten te wijzen op de dringende noodzaak om de democratische orde te herstellen en de mensenrechten te beschermen;</w:t>
      </w:r>
    </w:p>
    <w:p w:rsidR="00DD16CD" w:rsidRPr="00F73AE5" w:rsidRDefault="001D565F" w:rsidP="00DD16CD">
      <w:pPr>
        <w:pStyle w:val="NormalHanging12a"/>
      </w:pPr>
      <w:r w:rsidRPr="00F73AE5">
        <w:lastRenderedPageBreak/>
        <w:t>11</w:t>
      </w:r>
      <w:r w:rsidR="006B09D5" w:rsidRPr="00F73AE5">
        <w:t>.</w:t>
      </w:r>
      <w:r w:rsidR="006B09D5" w:rsidRPr="00F73AE5">
        <w:tab/>
      </w:r>
      <w:r w:rsidR="006B09D5" w:rsidRPr="00F73AE5">
        <w:rPr>
          <w:bdr w:val="none" w:sz="0" w:space="0" w:color="auto" w:frame="1"/>
        </w:rPr>
        <w:t xml:space="preserve">verzoekt zijn Voorzitter deze resolutie te doen toekomen aan de Raad, de Commissie, de VV/HV, de overgangspresident van Mali, de Malinese nationale assemblee, de Afrikaanse Unie en de </w:t>
      </w:r>
      <w:proofErr w:type="spellStart"/>
      <w:r w:rsidR="006B09D5" w:rsidRPr="00F73AE5">
        <w:rPr>
          <w:bdr w:val="none" w:sz="0" w:space="0" w:color="auto" w:frame="1"/>
        </w:rPr>
        <w:t>Ecowas</w:t>
      </w:r>
      <w:proofErr w:type="spellEnd"/>
      <w:r w:rsidR="006B09D5" w:rsidRPr="00F73AE5">
        <w:rPr>
          <w:bdr w:val="none" w:sz="0" w:space="0" w:color="auto" w:frame="1"/>
        </w:rPr>
        <w:t>.</w:t>
      </w:r>
    </w:p>
    <w:p w:rsidR="00E365E1" w:rsidRPr="00F73AE5" w:rsidRDefault="00E365E1" w:rsidP="000068E0"/>
    <w:sectPr w:rsidR="00E365E1" w:rsidRPr="00F73AE5" w:rsidSect="00DD16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8E0" w:rsidRPr="00DD16CD" w:rsidRDefault="000068E0">
      <w:r w:rsidRPr="00DD16CD">
        <w:separator/>
      </w:r>
    </w:p>
  </w:endnote>
  <w:endnote w:type="continuationSeparator" w:id="0">
    <w:p w:rsidR="000068E0" w:rsidRPr="00DD16CD" w:rsidRDefault="000068E0">
      <w:r w:rsidRPr="00DD16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6C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6C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6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8E0" w:rsidRPr="00DD16CD" w:rsidRDefault="000068E0">
      <w:r w:rsidRPr="00DD16CD">
        <w:separator/>
      </w:r>
    </w:p>
  </w:footnote>
  <w:footnote w:type="continuationSeparator" w:id="0">
    <w:p w:rsidR="000068E0" w:rsidRPr="00DD16CD" w:rsidRDefault="000068E0">
      <w:r w:rsidRPr="00DD16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6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6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6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 0294, 0297 en 0298/2025"/>
    <w:docVar w:name="dvlangue" w:val="NL"/>
    <w:docVar w:name="dvnumam" w:val="0"/>
    <w:docVar w:name="dvpe" w:val="773.975"/>
    <w:docVar w:name="dvtitre" w:val="Resolutie van het Europees Parlement van 19 juni 2025 over de ontbinding van politieke partijen en het hardhandige optreden tegen de oppositie in Mali(2025/2754(RSP))"/>
  </w:docVars>
  <w:rsids>
    <w:rsidRoot w:val="000068E0"/>
    <w:rsid w:val="00002272"/>
    <w:rsid w:val="000068E0"/>
    <w:rsid w:val="00064002"/>
    <w:rsid w:val="000677B9"/>
    <w:rsid w:val="000831BA"/>
    <w:rsid w:val="000A42CC"/>
    <w:rsid w:val="000E7DD9"/>
    <w:rsid w:val="0010095E"/>
    <w:rsid w:val="00125B37"/>
    <w:rsid w:val="00187494"/>
    <w:rsid w:val="001D565F"/>
    <w:rsid w:val="001F32AE"/>
    <w:rsid w:val="002767FF"/>
    <w:rsid w:val="002B18FE"/>
    <w:rsid w:val="002B5493"/>
    <w:rsid w:val="002C523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09D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6CD"/>
    <w:rsid w:val="00E365E1"/>
    <w:rsid w:val="00E820A4"/>
    <w:rsid w:val="00EB006A"/>
    <w:rsid w:val="00EB4772"/>
    <w:rsid w:val="00ED169E"/>
    <w:rsid w:val="00ED4235"/>
    <w:rsid w:val="00F04346"/>
    <w:rsid w:val="00F075DC"/>
    <w:rsid w:val="00F149E9"/>
    <w:rsid w:val="00F5134D"/>
    <w:rsid w:val="00F73AE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B88918-7160-4F01-9255-61BAAC66D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B09D5"/>
    <w:pPr>
      <w:spacing w:after="240"/>
      <w:ind w:left="567" w:hanging="567"/>
    </w:pPr>
  </w:style>
  <w:style w:type="paragraph" w:customStyle="1" w:styleId="EPComma">
    <w:name w:val="EPComma"/>
    <w:basedOn w:val="Normal"/>
    <w:link w:val="EPCommaChar"/>
    <w:rsid w:val="006B09D5"/>
    <w:pPr>
      <w:spacing w:before="480" w:after="240"/>
    </w:pPr>
  </w:style>
  <w:style w:type="character" w:customStyle="1" w:styleId="NormalHanging12aChar">
    <w:name w:val="NormalHanging12a Char"/>
    <w:basedOn w:val="DefaultParagraphFont"/>
    <w:link w:val="NormalHanging12a"/>
    <w:locked/>
    <w:rsid w:val="006B09D5"/>
    <w:rPr>
      <w:sz w:val="24"/>
      <w:lang w:val="nl-NL"/>
    </w:rPr>
  </w:style>
  <w:style w:type="character" w:customStyle="1" w:styleId="EPCommaChar">
    <w:name w:val="EPComma Char"/>
    <w:basedOn w:val="DefaultParagraphFont"/>
    <w:link w:val="EPComma"/>
    <w:rsid w:val="006B09D5"/>
    <w:rPr>
      <w:sz w:val="24"/>
      <w:lang w:val="nl-NL"/>
    </w:rPr>
  </w:style>
  <w:style w:type="paragraph" w:styleId="BalloonText">
    <w:name w:val="Balloon Text"/>
    <w:basedOn w:val="Normal"/>
    <w:link w:val="BalloonTextChar"/>
    <w:rsid w:val="001D565F"/>
    <w:rPr>
      <w:rFonts w:ascii="Segoe UI" w:hAnsi="Segoe UI" w:cs="Segoe UI"/>
      <w:sz w:val="18"/>
      <w:szCs w:val="18"/>
    </w:rPr>
  </w:style>
  <w:style w:type="character" w:customStyle="1" w:styleId="BalloonTextChar">
    <w:name w:val="Balloon Text Char"/>
    <w:basedOn w:val="DefaultParagraphFont"/>
    <w:link w:val="BalloonText"/>
    <w:rsid w:val="001D565F"/>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7C386-D98B-4481-85E2-BEB593875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2025-06-19T14:05:00Z</dcterms:created>
  <dcterms:modified xsi:type="dcterms:W3CDTF">2025-06-19T14:05:00Z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B10-0291, 0294, 0297 en 0298/2025</vt:lpwstr>
  </property>
  <property fmtid="{D5CDD505-2E9C-101B-9397-08002B2CF9AE}" pid="4" name="&lt;Type&gt;">
    <vt:lpwstr>RR</vt:lpwstr>
  </property>
</Properties>
</file>