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5E0" w:rsidRDefault="008045E0">
      <w:bookmarkStart w:id="0" w:name="_GoBack"/>
      <w:bookmarkEnd w:id="0"/>
    </w:p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06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063E" w:rsidRDefault="00C25234" w:rsidP="0010095E">
            <w:pPr>
              <w:pStyle w:val="EPName"/>
            </w:pPr>
            <w:r w:rsidRPr="001D063E">
              <w:t>Parlament Europejski</w:t>
            </w:r>
          </w:p>
          <w:p w:rsidR="00751A4A" w:rsidRPr="001D06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063E">
              <w:t>2024</w:t>
            </w:r>
            <w:r w:rsidR="00817416" w:rsidRPr="001D063E">
              <w:t>-202</w:t>
            </w:r>
            <w:r w:rsidRPr="001D063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D063E" w:rsidRDefault="00187494" w:rsidP="0010095E">
            <w:pPr>
              <w:pStyle w:val="EPLogo"/>
            </w:pPr>
            <w:r w:rsidRPr="001D06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063E" w:rsidRDefault="00D058B8" w:rsidP="004C5D52">
      <w:pPr>
        <w:pStyle w:val="LineTop"/>
      </w:pPr>
    </w:p>
    <w:p w:rsidR="00680577" w:rsidRPr="001D063E" w:rsidRDefault="00C25234" w:rsidP="00680577">
      <w:pPr>
        <w:pStyle w:val="EPBodyTA1"/>
      </w:pPr>
      <w:r w:rsidRPr="001D063E">
        <w:t>TEKSTY PRZYJĘTE</w:t>
      </w:r>
    </w:p>
    <w:p w:rsidR="00D058B8" w:rsidRPr="001D063E" w:rsidRDefault="00D058B8" w:rsidP="00D058B8">
      <w:pPr>
        <w:pStyle w:val="LineBottom"/>
      </w:pPr>
    </w:p>
    <w:p w:rsidR="00C25234" w:rsidRPr="001D063E" w:rsidRDefault="00C25234" w:rsidP="00C25234">
      <w:pPr>
        <w:pStyle w:val="ATHeading1"/>
      </w:pPr>
      <w:bookmarkStart w:id="1" w:name="TANumber"/>
      <w:r w:rsidRPr="001D063E">
        <w:t>P10_TA(2025)0</w:t>
      </w:r>
      <w:bookmarkEnd w:id="1"/>
      <w:r w:rsidR="003D1077">
        <w:t>134</w:t>
      </w:r>
    </w:p>
    <w:p w:rsidR="00C25234" w:rsidRPr="001D063E" w:rsidRDefault="00C25234" w:rsidP="00C25234">
      <w:pPr>
        <w:pStyle w:val="ATHeading2"/>
      </w:pPr>
      <w:bookmarkStart w:id="2" w:name="title"/>
      <w:r w:rsidRPr="001D063E">
        <w:t>Rozwiązanie partii politycznych i represje wobec opozycji w Mali</w:t>
      </w:r>
      <w:bookmarkEnd w:id="2"/>
    </w:p>
    <w:p w:rsidR="00C25234" w:rsidRPr="001D063E" w:rsidRDefault="00C25234" w:rsidP="00C25234">
      <w:pPr>
        <w:rPr>
          <w:i/>
          <w:vanish/>
        </w:rPr>
      </w:pPr>
      <w:r w:rsidRPr="001D063E">
        <w:rPr>
          <w:i/>
        </w:rPr>
        <w:fldChar w:fldCharType="begin"/>
      </w:r>
      <w:r w:rsidRPr="001D063E">
        <w:rPr>
          <w:i/>
        </w:rPr>
        <w:instrText xml:space="preserve"> TC"(</w:instrText>
      </w:r>
      <w:bookmarkStart w:id="3" w:name="DocNumber"/>
      <w:r w:rsidR="00BC71DB" w:rsidRPr="00D07C78">
        <w:rPr>
          <w:i/>
        </w:rPr>
        <w:instrText>B10-0291</w:instrText>
      </w:r>
      <w:r w:rsidR="00BC71DB">
        <w:rPr>
          <w:i/>
        </w:rPr>
        <w:instrText>, 0294, 0297 oraz 0298</w:instrText>
      </w:r>
      <w:r w:rsidR="00BC71DB" w:rsidRPr="00D07C78">
        <w:rPr>
          <w:i/>
        </w:rPr>
        <w:instrText>/2025</w:instrText>
      </w:r>
      <w:bookmarkEnd w:id="3"/>
      <w:r w:rsidRPr="001D063E">
        <w:rPr>
          <w:i/>
        </w:rPr>
        <w:instrText xml:space="preserve">)"\l3 \n&gt; \* MERGEFORMAT </w:instrText>
      </w:r>
      <w:r w:rsidRPr="001D063E">
        <w:rPr>
          <w:i/>
        </w:rPr>
        <w:fldChar w:fldCharType="end"/>
      </w:r>
    </w:p>
    <w:p w:rsidR="00C25234" w:rsidRPr="001D063E" w:rsidRDefault="00C25234" w:rsidP="00C25234">
      <w:pPr>
        <w:rPr>
          <w:vanish/>
        </w:rPr>
      </w:pPr>
      <w:bookmarkStart w:id="4" w:name="PE"/>
      <w:r w:rsidRPr="001D063E">
        <w:rPr>
          <w:vanish/>
        </w:rPr>
        <w:t>PE773.975</w:t>
      </w:r>
      <w:bookmarkEnd w:id="4"/>
    </w:p>
    <w:p w:rsidR="00C25234" w:rsidRPr="001D063E" w:rsidRDefault="00C25234" w:rsidP="00C25234">
      <w:pPr>
        <w:pStyle w:val="ATHeading3"/>
      </w:pPr>
      <w:bookmarkStart w:id="5" w:name="Sujet"/>
      <w:r w:rsidRPr="001D063E">
        <w:t xml:space="preserve">Rezolucja Parlamentu Europejskiego z dnia </w:t>
      </w:r>
      <w:r w:rsidR="00BC71DB">
        <w:t>19 czerwca</w:t>
      </w:r>
      <w:r w:rsidRPr="001D063E">
        <w:t xml:space="preserve"> 2025 r. w sprawie rozwiązania partii politycznych i represji wobec opozycji w Mali</w:t>
      </w:r>
      <w:bookmarkEnd w:id="5"/>
      <w:r w:rsidRPr="001D063E">
        <w:t xml:space="preserve"> </w:t>
      </w:r>
      <w:bookmarkStart w:id="6" w:name="References"/>
      <w:r w:rsidRPr="001D063E">
        <w:t>(2025/2754(RSP))</w:t>
      </w:r>
      <w:bookmarkEnd w:id="6"/>
    </w:p>
    <w:p w:rsidR="001B0155" w:rsidRPr="001D063E" w:rsidRDefault="001B0155" w:rsidP="001B0155">
      <w:pPr>
        <w:pStyle w:val="EPComma"/>
      </w:pPr>
      <w:bookmarkStart w:id="7" w:name="TextBodyBegin"/>
      <w:bookmarkEnd w:id="7"/>
      <w:r w:rsidRPr="001D063E">
        <w:rPr>
          <w:i/>
        </w:rPr>
        <w:t>Parlament Europejski</w:t>
      </w:r>
      <w:r w:rsidRPr="001D063E">
        <w:t>,</w:t>
      </w:r>
    </w:p>
    <w:p w:rsidR="001B0155" w:rsidRPr="001D063E" w:rsidRDefault="001B0155" w:rsidP="001B0155">
      <w:pPr>
        <w:pStyle w:val="NormalHanging12a"/>
      </w:pPr>
      <w:r w:rsidRPr="001D063E">
        <w:t>–</w:t>
      </w:r>
      <w:r w:rsidRPr="001D063E">
        <w:tab/>
        <w:t>uwzględniając art. 150 ust. 5 i art. 136 ust. 4 Regulaminu,</w:t>
      </w:r>
    </w:p>
    <w:p w:rsidR="001B0155" w:rsidRPr="001D063E" w:rsidRDefault="001B0155" w:rsidP="001B0155">
      <w:pPr>
        <w:pStyle w:val="NormalHanging12a"/>
        <w:rPr>
          <w:bdr w:val="none" w:sz="0" w:space="0" w:color="auto" w:frame="1"/>
        </w:rPr>
      </w:pPr>
      <w:r w:rsidRPr="001D063E">
        <w:t>A.</w:t>
      </w:r>
      <w:r w:rsidRPr="001D063E">
        <w:rPr>
          <w:bdr w:val="none" w:sz="0" w:space="0" w:color="auto" w:frame="1"/>
        </w:rPr>
        <w:tab/>
        <w:t>mając na uwadze, że od czasu zamachu stanu w 2020 r., w wyniku którego prezydentem tymczasowym został mianowany generał Assimi Goïta, rządy w Mali sprawuje wojsko, a wielokrotnie zapowiadane wybory nie odbyły się;</w:t>
      </w:r>
    </w:p>
    <w:p w:rsidR="001B0155" w:rsidRPr="001D063E" w:rsidRDefault="001B0155" w:rsidP="001B0155">
      <w:pPr>
        <w:pStyle w:val="NormalHanging12a"/>
        <w:rPr>
          <w:bdr w:val="none" w:sz="0" w:space="0" w:color="auto" w:frame="1"/>
        </w:rPr>
      </w:pPr>
      <w:r w:rsidRPr="001D063E">
        <w:rPr>
          <w:bdr w:val="none" w:sz="0" w:space="0" w:color="auto" w:frame="1"/>
        </w:rPr>
        <w:t>B.</w:t>
      </w:r>
      <w:r w:rsidRPr="001D063E">
        <w:rPr>
          <w:bdr w:val="none" w:sz="0" w:space="0" w:color="auto" w:frame="1"/>
        </w:rPr>
        <w:tab/>
      </w:r>
      <w:r w:rsidRPr="001D063E">
        <w:t>mając na uwadze, że 13 maja 2025 r. władze wojskowe rozwiązały partie i organizacje polityczne oraz uchyliły przepisy chroniące udział w życiu politycznym, co wywołało protesty w kraju i międzynarodowe obawy co do konsolidacji rządów autorytarnych oraz represji i kryminalizacji opozycji i demonstrantów;</w:t>
      </w:r>
    </w:p>
    <w:p w:rsidR="001B0155" w:rsidRPr="001D063E" w:rsidRDefault="001B0155" w:rsidP="001B0155">
      <w:pPr>
        <w:pStyle w:val="NormalHanging12a"/>
        <w:rPr>
          <w:bdr w:val="none" w:sz="0" w:space="0" w:color="auto" w:frame="1"/>
        </w:rPr>
      </w:pPr>
      <w:r w:rsidRPr="001D063E">
        <w:rPr>
          <w:bdr w:val="none" w:sz="0" w:space="0" w:color="auto" w:frame="1"/>
        </w:rPr>
        <w:t>C.</w:t>
      </w:r>
      <w:r w:rsidRPr="001D063E">
        <w:rPr>
          <w:bdr w:val="none" w:sz="0" w:space="0" w:color="auto" w:frame="1"/>
        </w:rPr>
        <w:tab/>
      </w:r>
      <w:r w:rsidRPr="001D063E">
        <w:t>mając na uwadze, że niedawne uprowadzenia i aresztowania członków opozycji powiększyły liczbę przypadków wymuszonych zaginięć, które sięgają co najmniej 2021 r., a junta wojskowa nasiliła represje wobec opozycji politycznej i ograniczyła swobody obywatelskie;</w:t>
      </w:r>
    </w:p>
    <w:p w:rsidR="001B0155" w:rsidRPr="001D063E" w:rsidRDefault="001B0155" w:rsidP="001B0155">
      <w:pPr>
        <w:pStyle w:val="NormalHanging12a"/>
        <w:rPr>
          <w:bdr w:val="none" w:sz="0" w:space="0" w:color="auto" w:frame="1"/>
        </w:rPr>
      </w:pPr>
      <w:r w:rsidRPr="001D063E">
        <w:rPr>
          <w:bdr w:val="none" w:sz="0" w:space="0" w:color="auto" w:frame="1"/>
        </w:rPr>
        <w:t>D.</w:t>
      </w:r>
      <w:r w:rsidRPr="001D063E">
        <w:rPr>
          <w:bdr w:val="none" w:sz="0" w:space="0" w:color="auto" w:frame="1"/>
        </w:rPr>
        <w:tab/>
        <w:t>mając na uwadze, że 11 czerwca 2025 r. malijska Rada Ministrów przyjęła ustawę upoważniającą prezydenta tymczasowego do sprawowania pięcioletniego mandatu z możliwością odnowienia bez przeprowadzania wyborów;</w:t>
      </w:r>
    </w:p>
    <w:p w:rsidR="001B0155" w:rsidRPr="001D063E" w:rsidRDefault="001B0155" w:rsidP="001B0155">
      <w:pPr>
        <w:pStyle w:val="NormalHanging12a"/>
        <w:rPr>
          <w:bdr w:val="none" w:sz="0" w:space="0" w:color="auto" w:frame="1"/>
        </w:rPr>
      </w:pPr>
      <w:r w:rsidRPr="001D063E">
        <w:rPr>
          <w:bdr w:val="none" w:sz="0" w:space="0" w:color="auto" w:frame="1"/>
        </w:rPr>
        <w:t>E.</w:t>
      </w:r>
      <w:r w:rsidRPr="001D063E">
        <w:rPr>
          <w:bdr w:val="none" w:sz="0" w:space="0" w:color="auto" w:frame="1"/>
        </w:rPr>
        <w:tab/>
      </w:r>
      <w:r w:rsidRPr="001D063E">
        <w:t>mając na uwadze, że UE nadal wspiera społeczeństwo obywatelskie i udziela pomocy humanitarnej w Mali;</w:t>
      </w:r>
    </w:p>
    <w:p w:rsidR="001B0155" w:rsidRPr="001D063E" w:rsidRDefault="001B0155" w:rsidP="001B0155">
      <w:pPr>
        <w:pStyle w:val="NormalHanging12a"/>
        <w:rPr>
          <w:bdr w:val="none" w:sz="0" w:space="0" w:color="auto" w:frame="1"/>
        </w:rPr>
      </w:pPr>
      <w:r w:rsidRPr="001D063E">
        <w:rPr>
          <w:bdr w:val="none" w:sz="0" w:space="0" w:color="auto" w:frame="1"/>
        </w:rPr>
        <w:t>F.</w:t>
      </w:r>
      <w:r w:rsidRPr="001D063E">
        <w:rPr>
          <w:bdr w:val="none" w:sz="0" w:space="0" w:color="auto" w:frame="1"/>
        </w:rPr>
        <w:tab/>
        <w:t>mając na uwadze, że islamistyczne ugrupowania terrorystyczne powiązane z Al-Kaidą zabijają cywilów, w tym chrześcijan i osoby należące do innych mniejszości religijnych;</w:t>
      </w:r>
    </w:p>
    <w:p w:rsidR="001B0155" w:rsidRPr="001D063E" w:rsidRDefault="001B0155" w:rsidP="001B0155">
      <w:pPr>
        <w:pStyle w:val="NormalHanging12a"/>
        <w:rPr>
          <w:bdr w:val="none" w:sz="0" w:space="0" w:color="auto" w:frame="1"/>
        </w:rPr>
      </w:pPr>
      <w:r w:rsidRPr="001D063E">
        <w:rPr>
          <w:bdr w:val="none" w:sz="0" w:space="0" w:color="auto" w:frame="1"/>
        </w:rPr>
        <w:t>G.</w:t>
      </w:r>
      <w:r w:rsidRPr="001D063E">
        <w:rPr>
          <w:bdr w:val="none" w:sz="0" w:space="0" w:color="auto" w:frame="1"/>
        </w:rPr>
        <w:tab/>
      </w:r>
      <w:r w:rsidR="003D1077" w:rsidRPr="003D1077">
        <w:rPr>
          <w:bdr w:val="none" w:sz="0" w:space="0" w:color="auto" w:frame="1"/>
        </w:rPr>
        <w:t>mając na uwadze, że na prośbę poprzednich władz Mali UE i kilka państw członkowskich wysłało swoje oddziały, a śmierć w walce z dżihadyzmem poniosło 58 żołnierzy francuskich, 2 żołnierzy holenderskich i 1 żołnierz portugalski;</w:t>
      </w:r>
    </w:p>
    <w:p w:rsidR="001B0155" w:rsidRPr="001D063E" w:rsidRDefault="001B0155" w:rsidP="001B0155">
      <w:pPr>
        <w:pStyle w:val="NormalHanging12a"/>
        <w:rPr>
          <w:bdr w:val="none" w:sz="0" w:space="0" w:color="auto" w:frame="1"/>
        </w:rPr>
      </w:pPr>
      <w:r w:rsidRPr="001D063E">
        <w:rPr>
          <w:bdr w:val="none" w:sz="0" w:space="0" w:color="auto" w:frame="1"/>
        </w:rPr>
        <w:lastRenderedPageBreak/>
        <w:t>H.</w:t>
      </w:r>
      <w:r w:rsidRPr="001D063E">
        <w:rPr>
          <w:bdr w:val="none" w:sz="0" w:space="0" w:color="auto" w:frame="1"/>
        </w:rPr>
        <w:tab/>
        <w:t>mając na uwadze, że rosyjska dezinformacja wywiera negatywny wpływ na Mali;</w:t>
      </w:r>
    </w:p>
    <w:p w:rsidR="001B0155" w:rsidRPr="001D063E" w:rsidRDefault="001B0155" w:rsidP="001B0155">
      <w:pPr>
        <w:pStyle w:val="NormalHanging12a"/>
        <w:rPr>
          <w:szCs w:val="24"/>
        </w:rPr>
      </w:pPr>
      <w:r w:rsidRPr="001D063E">
        <w:t>1.</w:t>
      </w:r>
      <w:r w:rsidRPr="001D063E">
        <w:tab/>
        <w:t>wyraża głębokie zaniepokojenie alarmującą sytuacją polityczną i stanem bezpieczeństwa w Mali; zdecydowanie potępia rozwiązanie partii i organizacji politycznych oraz represje wobec opozycji;</w:t>
      </w:r>
    </w:p>
    <w:p w:rsidR="001B0155" w:rsidRPr="001D063E" w:rsidRDefault="001B0155" w:rsidP="001B0155">
      <w:pPr>
        <w:pStyle w:val="NormalHanging12a"/>
        <w:rPr>
          <w:szCs w:val="24"/>
        </w:rPr>
      </w:pPr>
      <w:r w:rsidRPr="001D063E">
        <w:t>2.</w:t>
      </w:r>
      <w:r w:rsidRPr="001D063E">
        <w:tab/>
        <w:t>potępia nasilające się działania władz Mali, które podważają demokrację, prawa człowieka, wolność wypowiedzi i zrzeszania się oraz prawo do pokojowych zgromadzeń;</w:t>
      </w:r>
    </w:p>
    <w:p w:rsidR="001B0155" w:rsidRPr="001D063E" w:rsidRDefault="001B0155" w:rsidP="001B0155">
      <w:pPr>
        <w:pStyle w:val="NormalHanging12a"/>
        <w:rPr>
          <w:szCs w:val="24"/>
          <w:bdr w:val="none" w:sz="0" w:space="0" w:color="auto" w:frame="1"/>
        </w:rPr>
      </w:pPr>
      <w:r w:rsidRPr="001D063E">
        <w:t>3.</w:t>
      </w:r>
      <w:r w:rsidRPr="001D063E">
        <w:tab/>
      </w:r>
      <w:r w:rsidRPr="001D063E">
        <w:rPr>
          <w:bdr w:val="none" w:sz="0" w:space="0" w:color="auto" w:frame="1"/>
        </w:rPr>
        <w:t>wzywa władze malijskie do przestrzegania międzynarodowego prawa dotyczącego praw człowieka i podpisanych przez Mali zobowiązań dotyczących praw politycznych i obywatelskich;</w:t>
      </w:r>
    </w:p>
    <w:p w:rsidR="001B0155" w:rsidRPr="001D063E" w:rsidRDefault="001B0155" w:rsidP="001B0155">
      <w:pPr>
        <w:pStyle w:val="NormalHanging12a"/>
        <w:rPr>
          <w:szCs w:val="24"/>
        </w:rPr>
      </w:pPr>
      <w:r w:rsidRPr="001D063E">
        <w:t>4.</w:t>
      </w:r>
      <w:r w:rsidRPr="001D063E">
        <w:tab/>
        <w:t>przypomina, że w listopadzie 2024 r. prezydent tymczasowy polecił swojemu gabinetowi jak najszybciej stworzyć warunki do przeprowadzenia przejrzystych i pokojowych wyborów;</w:t>
      </w:r>
    </w:p>
    <w:p w:rsidR="001B0155" w:rsidRPr="001D063E" w:rsidRDefault="001B0155" w:rsidP="001B0155">
      <w:pPr>
        <w:pStyle w:val="NormalHanging12a"/>
        <w:rPr>
          <w:szCs w:val="24"/>
        </w:rPr>
      </w:pPr>
      <w:r w:rsidRPr="001D063E">
        <w:t>5.</w:t>
      </w:r>
      <w:r w:rsidRPr="001D063E">
        <w:tab/>
        <w:t>wzywa władze do natychmiastowego uwolnienia osób aresztowanych lub uprowadzonych z powodów politycznych, do trwałego zaprzestania represji i zastraszania, do zagwarantowania bezpieczeństwa członkom opozycji, aktywistom i przedstawicielom społeczeństwa obywatelskiego oraz do zapewnienia pokoju i stabilności w Mali;</w:t>
      </w:r>
    </w:p>
    <w:p w:rsidR="001B0155" w:rsidRPr="001D063E" w:rsidRDefault="001B0155" w:rsidP="001B0155">
      <w:pPr>
        <w:pStyle w:val="NormalHanging12a"/>
        <w:rPr>
          <w:szCs w:val="24"/>
          <w:bdr w:val="none" w:sz="0" w:space="0" w:color="auto" w:frame="1"/>
        </w:rPr>
      </w:pPr>
      <w:r w:rsidRPr="001D063E">
        <w:rPr>
          <w:bdr w:val="none" w:sz="0" w:space="0" w:color="auto" w:frame="1"/>
        </w:rPr>
        <w:t>6.</w:t>
      </w:r>
      <w:r w:rsidRPr="001D063E">
        <w:rPr>
          <w:bdr w:val="none" w:sz="0" w:space="0" w:color="auto" w:frame="1"/>
        </w:rPr>
        <w:tab/>
        <w:t xml:space="preserve">zauważa z ubolewaniem, że Mali nadal jest nękane przemocą i terroryzmem islamskim; przypomina, że sponsorowani przez Rosję najemnicy nie zdołali zapewnić stabilności; </w:t>
      </w:r>
      <w:r w:rsidRPr="001D063E">
        <w:t>wzywa do zapewnienia rozliczalności za naruszenia praw i nadużycia, w tym za zbrodnie wojenne popełnione na ludności malijskiej przez Grupę Wagnera/Korpus Afrykański;</w:t>
      </w:r>
    </w:p>
    <w:p w:rsidR="001B0155" w:rsidRDefault="001B0155" w:rsidP="001B0155">
      <w:pPr>
        <w:pStyle w:val="NormalHanging12a"/>
        <w:rPr>
          <w:bdr w:val="none" w:sz="0" w:space="0" w:color="auto" w:frame="1"/>
        </w:rPr>
      </w:pPr>
      <w:r w:rsidRPr="001D063E">
        <w:rPr>
          <w:bdr w:val="none" w:sz="0" w:space="0" w:color="auto" w:frame="1"/>
        </w:rPr>
        <w:t>7.</w:t>
      </w:r>
      <w:r w:rsidRPr="001D063E">
        <w:rPr>
          <w:bdr w:val="none" w:sz="0" w:space="0" w:color="auto" w:frame="1"/>
        </w:rPr>
        <w:tab/>
        <w:t>zachęca do ściślejszej współpracy między UE, specjalnym przedstawicielem UE ds. Sahelu, ECOWAS i Unią Afrykańską w promowaniu stabilności i praw człowieka w Mali;</w:t>
      </w:r>
    </w:p>
    <w:p w:rsidR="003D1077" w:rsidRPr="001D063E" w:rsidRDefault="003D1077" w:rsidP="001B0155">
      <w:pPr>
        <w:pStyle w:val="NormalHanging12a"/>
        <w:rPr>
          <w:szCs w:val="24"/>
          <w:bdr w:val="none" w:sz="0" w:space="0" w:color="auto" w:frame="1"/>
        </w:rPr>
      </w:pPr>
      <w:r>
        <w:rPr>
          <w:szCs w:val="24"/>
          <w:bdr w:val="none" w:sz="0" w:space="0" w:color="auto" w:frame="1"/>
        </w:rPr>
        <w:t>8</w:t>
      </w:r>
      <w:r w:rsidRPr="003D1077">
        <w:rPr>
          <w:szCs w:val="24"/>
          <w:bdr w:val="none" w:sz="0" w:space="0" w:color="auto" w:frame="1"/>
        </w:rPr>
        <w:t>.</w:t>
      </w:r>
      <w:r w:rsidRPr="003D1077">
        <w:rPr>
          <w:szCs w:val="24"/>
          <w:bdr w:val="none" w:sz="0" w:space="0" w:color="auto" w:frame="1"/>
        </w:rPr>
        <w:tab/>
        <w:t>wyraża poważne zaniepokojenie rosnącym napływem nielegalnych migrantów z Mali do Europy, spowodowanym rosnącym brakiem bezpieczeństwa, niestabilnością polityczną i stagnacją gospodarczą; wzywa władze Mali do wzięcia pełnej odpowiedzialności za zapobieganie niekontrolowanym wyjazdom i apeluje do UE o wzmocnienie polityki powrotów oraz współpracy w zakresie kontroli migracji z Mali i krajami tranzytowymi;</w:t>
      </w:r>
    </w:p>
    <w:p w:rsidR="001B0155" w:rsidRPr="001D063E" w:rsidRDefault="003D1077" w:rsidP="001B0155">
      <w:pPr>
        <w:pStyle w:val="NormalHanging12a"/>
        <w:rPr>
          <w:szCs w:val="24"/>
        </w:rPr>
      </w:pPr>
      <w:r>
        <w:t>9</w:t>
      </w:r>
      <w:r w:rsidR="001B0155" w:rsidRPr="001D063E">
        <w:t>.</w:t>
      </w:r>
      <w:r w:rsidR="001B0155" w:rsidRPr="001D063E">
        <w:tab/>
        <w:t>podkreśla wyraźne poparcie UE dla przywrócenia demokracji wielopartyjnej, zapewnienia pomocy społeczeństwu obywatelskiemu i podmiotom demokratycznym oraz zadbania, aby prawa człowieka były głównym priorytetem wsparcia UE w ramach odnowionego podejścia do regionu Sahelu;</w:t>
      </w:r>
    </w:p>
    <w:p w:rsidR="001B0155" w:rsidRPr="001D063E" w:rsidRDefault="003D1077" w:rsidP="001B0155">
      <w:pPr>
        <w:pStyle w:val="NormalHanging12a"/>
        <w:rPr>
          <w:szCs w:val="24"/>
        </w:rPr>
      </w:pPr>
      <w:r>
        <w:t>10</w:t>
      </w:r>
      <w:r w:rsidR="001B0155" w:rsidRPr="001D063E">
        <w:t>.</w:t>
      </w:r>
      <w:r w:rsidR="001B0155" w:rsidRPr="001D063E">
        <w:tab/>
      </w:r>
      <w:r w:rsidR="001B0155" w:rsidRPr="001D063E">
        <w:rPr>
          <w:bdr w:val="none" w:sz="0" w:space="0" w:color="auto" w:frame="1"/>
        </w:rPr>
        <w:t>wzywa wiceprzewodniczącą/wysoką przedstawicielkę i państwa członkowskie do zwrócenia uwagi władzom malijskim na pilną potrzebę przywrócenia porządku demokratycznego i ochrony praw człowieka;</w:t>
      </w:r>
    </w:p>
    <w:p w:rsidR="001D063E" w:rsidRPr="001D063E" w:rsidRDefault="003D1077" w:rsidP="001D063E">
      <w:pPr>
        <w:pStyle w:val="NormalHanging12a"/>
      </w:pPr>
      <w:r>
        <w:t>11</w:t>
      </w:r>
      <w:r w:rsidR="001B0155" w:rsidRPr="001D063E">
        <w:t>.</w:t>
      </w:r>
      <w:r w:rsidR="001B0155" w:rsidRPr="001D063E">
        <w:tab/>
      </w:r>
      <w:r w:rsidR="001B0155" w:rsidRPr="001D063E">
        <w:rPr>
          <w:bdr w:val="none" w:sz="0" w:space="0" w:color="auto" w:frame="1"/>
        </w:rPr>
        <w:t xml:space="preserve">zobowiązuje swoją przewodniczącą do przekazania niniejszej rezolucji Radzie, Komisji, wiceprzewodniczącej/wysokiej przedstawicielce, prezydentowi </w:t>
      </w:r>
      <w:r w:rsidR="001B0155" w:rsidRPr="001D063E">
        <w:rPr>
          <w:bdr w:val="none" w:sz="0" w:space="0" w:color="auto" w:frame="1"/>
        </w:rPr>
        <w:lastRenderedPageBreak/>
        <w:t>tymczasowemu Mali, Zgromadzeniu Narodowemu Mali, Unii Afrykańskiej i ECOWAS.</w:t>
      </w:r>
    </w:p>
    <w:p w:rsidR="00E365E1" w:rsidRPr="001D063E" w:rsidRDefault="00E365E1" w:rsidP="00C25234"/>
    <w:sectPr w:rsidR="00E365E1" w:rsidRPr="001D063E" w:rsidSect="001D06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234" w:rsidRPr="001D063E" w:rsidRDefault="00C25234">
      <w:r w:rsidRPr="001D063E">
        <w:separator/>
      </w:r>
    </w:p>
  </w:endnote>
  <w:endnote w:type="continuationSeparator" w:id="0">
    <w:p w:rsidR="00C25234" w:rsidRPr="001D063E" w:rsidRDefault="00C25234">
      <w:r w:rsidRPr="001D06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6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6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6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234" w:rsidRPr="001D063E" w:rsidRDefault="00C25234">
      <w:r w:rsidRPr="001D063E">
        <w:separator/>
      </w:r>
    </w:p>
  </w:footnote>
  <w:footnote w:type="continuationSeparator" w:id="0">
    <w:p w:rsidR="00C25234" w:rsidRPr="001D063E" w:rsidRDefault="00C25234">
      <w:r w:rsidRPr="001D06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6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6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6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/2025"/>
    <w:docVar w:name="dvlangue" w:val="PL"/>
    <w:docVar w:name="dvnumam" w:val="0"/>
    <w:docVar w:name="dvpe" w:val="773.975"/>
    <w:docVar w:name="dvtitre" w:val="Rezolucja Parlamentu Europejskiego z dnia  2025 r. w sprawie rozwiązania partii politycznych i represji wobec opozycji w Mali(2025/2754(RSP))"/>
  </w:docVars>
  <w:rsids>
    <w:rsidRoot w:val="00C252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155"/>
    <w:rsid w:val="001D063E"/>
    <w:rsid w:val="001F32AE"/>
    <w:rsid w:val="002767FF"/>
    <w:rsid w:val="002B18FE"/>
    <w:rsid w:val="002B5493"/>
    <w:rsid w:val="00343214"/>
    <w:rsid w:val="00361C00"/>
    <w:rsid w:val="00395FA1"/>
    <w:rsid w:val="003D107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5E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1DB"/>
    <w:rsid w:val="00BD48FE"/>
    <w:rsid w:val="00BD7BD8"/>
    <w:rsid w:val="00BE6ADC"/>
    <w:rsid w:val="00C05BFE"/>
    <w:rsid w:val="00C23CD4"/>
    <w:rsid w:val="00C2523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8B036"/>
  <w15:chartTrackingRefBased/>
  <w15:docId w15:val="{0F9E569D-7565-49CB-BEB7-5F6D088F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B015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B015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B0155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1B015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E9EEE-76BC-4664-A6AD-1570FE792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2025-06-19T14:13:00Z</dcterms:created>
  <dcterms:modified xsi:type="dcterms:W3CDTF">2025-06-19T14:13:00Z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B10-0291/2025</vt:lpwstr>
  </property>
  <property fmtid="{D5CDD505-2E9C-101B-9397-08002B2CF9AE}" pid="4" name="&lt;Type&gt;">
    <vt:lpwstr>RR</vt:lpwstr>
  </property>
</Properties>
</file>