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3C95" w14:paraId="5B9FFB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F71796" w14:textId="77777777" w:rsidR="00751A4A" w:rsidRPr="00D23C95" w:rsidRDefault="008D42E1" w:rsidP="0010095E">
            <w:pPr>
              <w:pStyle w:val="EPName"/>
            </w:pPr>
            <w:r w:rsidRPr="00D23C95">
              <w:t>Parlament Europejski</w:t>
            </w:r>
          </w:p>
          <w:p w14:paraId="6950B94B" w14:textId="77777777" w:rsidR="00751A4A" w:rsidRPr="00D23C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3C95">
              <w:t>2024</w:t>
            </w:r>
            <w:r w:rsidR="00817416" w:rsidRPr="00D23C95">
              <w:t>-202</w:t>
            </w:r>
            <w:r w:rsidRPr="00D23C95">
              <w:t>9</w:t>
            </w:r>
          </w:p>
        </w:tc>
        <w:tc>
          <w:tcPr>
            <w:tcW w:w="2268" w:type="dxa"/>
            <w:shd w:val="clear" w:color="auto" w:fill="auto"/>
          </w:tcPr>
          <w:p w14:paraId="58E17059" w14:textId="77777777" w:rsidR="00751A4A" w:rsidRPr="00D23C95" w:rsidRDefault="00187494" w:rsidP="0010095E">
            <w:pPr>
              <w:pStyle w:val="EPLogo"/>
            </w:pPr>
            <w:r w:rsidRPr="00D23C95">
              <w:rPr>
                <w:noProof/>
                <w:lang w:val="fr-FR" w:eastAsia="fr-FR"/>
              </w:rPr>
              <w:drawing>
                <wp:inline distT="0" distB="0" distL="0" distR="0" wp14:anchorId="0ABEA020" wp14:editId="4E118F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FBB3B" w14:textId="77777777" w:rsidR="00D058B8" w:rsidRPr="00D23C95" w:rsidRDefault="00D058B8" w:rsidP="004C5D52">
      <w:pPr>
        <w:pStyle w:val="LineTop"/>
      </w:pPr>
    </w:p>
    <w:p w14:paraId="106E8A2C" w14:textId="77777777" w:rsidR="00680577" w:rsidRPr="00D23C95" w:rsidRDefault="008D42E1" w:rsidP="00680577">
      <w:pPr>
        <w:pStyle w:val="EPBodyTA1"/>
      </w:pPr>
      <w:r w:rsidRPr="00D23C95">
        <w:t>TEKSTY PRZYJĘTE</w:t>
      </w:r>
    </w:p>
    <w:p w14:paraId="7BB77540" w14:textId="77777777" w:rsidR="00D058B8" w:rsidRPr="00D23C95" w:rsidRDefault="00D058B8" w:rsidP="00D058B8">
      <w:pPr>
        <w:pStyle w:val="LineBottom"/>
      </w:pPr>
    </w:p>
    <w:p w14:paraId="481A0C17" w14:textId="77777777" w:rsidR="008D42E1" w:rsidRPr="00D23C95" w:rsidRDefault="008D42E1" w:rsidP="008D42E1">
      <w:pPr>
        <w:pStyle w:val="ATHeading1"/>
      </w:pPr>
      <w:bookmarkStart w:id="0" w:name="TANumber"/>
      <w:r w:rsidRPr="00D23C95">
        <w:t>P10_</w:t>
      </w:r>
      <w:proofErr w:type="gramStart"/>
      <w:r w:rsidRPr="00D23C95">
        <w:t>TA(</w:t>
      </w:r>
      <w:proofErr w:type="gramEnd"/>
      <w:r w:rsidRPr="00D23C95">
        <w:t>2025)0</w:t>
      </w:r>
      <w:bookmarkEnd w:id="0"/>
      <w:r w:rsidR="003E1C6D">
        <w:t>136</w:t>
      </w:r>
    </w:p>
    <w:p w14:paraId="2A4EA14E" w14:textId="77777777" w:rsidR="008D42E1" w:rsidRPr="00DB75DB" w:rsidRDefault="00DB75DB" w:rsidP="008D42E1">
      <w:pPr>
        <w:pStyle w:val="ATHeading2"/>
      </w:pPr>
      <w:r w:rsidRPr="00DB75DB">
        <w:t>Sieci energetyczne – podstawa unijnego systemu energetycznego</w:t>
      </w:r>
    </w:p>
    <w:p w14:paraId="258EE3BC" w14:textId="77777777" w:rsidR="008D42E1" w:rsidRPr="00D23C95" w:rsidRDefault="008D42E1" w:rsidP="008D42E1">
      <w:pPr>
        <w:rPr>
          <w:i/>
          <w:vanish/>
        </w:rPr>
      </w:pPr>
      <w:r w:rsidRPr="00D23C95">
        <w:rPr>
          <w:i/>
        </w:rPr>
        <w:fldChar w:fldCharType="begin"/>
      </w:r>
      <w:r w:rsidRPr="00D23C95">
        <w:rPr>
          <w:i/>
        </w:rPr>
        <w:instrText xml:space="preserve"> TC"(</w:instrText>
      </w:r>
      <w:bookmarkStart w:id="1" w:name="DocNumber"/>
      <w:r w:rsidRPr="00D23C95">
        <w:rPr>
          <w:i/>
        </w:rPr>
        <w:instrText>A10-0091/2025</w:instrText>
      </w:r>
      <w:bookmarkEnd w:id="1"/>
      <w:r w:rsidRPr="00D23C95">
        <w:rPr>
          <w:i/>
        </w:rPr>
        <w:instrText xml:space="preserve"> - Sprawozdawca: Anna Stürgkh)"\l3 \n&gt; \* MERGEFORMAT </w:instrText>
      </w:r>
      <w:r w:rsidRPr="00D23C95">
        <w:rPr>
          <w:i/>
        </w:rPr>
        <w:fldChar w:fldCharType="end"/>
      </w:r>
    </w:p>
    <w:p w14:paraId="75C37830" w14:textId="77777777" w:rsidR="008D42E1" w:rsidRPr="00D23C95" w:rsidRDefault="008D42E1" w:rsidP="008D42E1">
      <w:pPr>
        <w:rPr>
          <w:vanish/>
        </w:rPr>
      </w:pPr>
      <w:bookmarkStart w:id="2" w:name="Commission"/>
      <w:r w:rsidRPr="00D23C95">
        <w:rPr>
          <w:vanish/>
        </w:rPr>
        <w:t>Komisja Przemysłu, Badań Naukowych i Energii</w:t>
      </w:r>
      <w:bookmarkEnd w:id="2"/>
    </w:p>
    <w:p w14:paraId="66E6C1EC" w14:textId="77777777" w:rsidR="008D42E1" w:rsidRPr="00D23C95" w:rsidRDefault="008D42E1" w:rsidP="008D42E1">
      <w:pPr>
        <w:rPr>
          <w:vanish/>
        </w:rPr>
      </w:pPr>
      <w:bookmarkStart w:id="3" w:name="PE"/>
      <w:r w:rsidRPr="00D23C95">
        <w:rPr>
          <w:vanish/>
        </w:rPr>
        <w:t>PE768.244</w:t>
      </w:r>
      <w:bookmarkEnd w:id="3"/>
    </w:p>
    <w:p w14:paraId="3DAA5792" w14:textId="77777777" w:rsidR="008D42E1" w:rsidRPr="00D23C95" w:rsidRDefault="008D42E1" w:rsidP="008D42E1">
      <w:pPr>
        <w:pStyle w:val="ATHeading3"/>
      </w:pPr>
      <w:bookmarkStart w:id="4" w:name="Sujet"/>
      <w:r w:rsidRPr="00D23C95">
        <w:t xml:space="preserve">Rezolucja Parlamentu Europejskiego z dnia </w:t>
      </w:r>
      <w:r w:rsidR="0081458A">
        <w:t>19</w:t>
      </w:r>
      <w:r w:rsidR="00DB75DB">
        <w:t xml:space="preserve"> czerwca</w:t>
      </w:r>
      <w:r w:rsidRPr="00D23C95">
        <w:t xml:space="preserve"> 2025 r. w sprawie sieci elektroenergetycznych – podstawy unijnego systemu energetycznego</w:t>
      </w:r>
      <w:bookmarkEnd w:id="4"/>
      <w:r w:rsidRPr="00D23C95">
        <w:t xml:space="preserve"> </w:t>
      </w:r>
      <w:bookmarkStart w:id="5" w:name="References"/>
      <w:r w:rsidRPr="00D23C95">
        <w:t>(2025/2006(INI))</w:t>
      </w:r>
      <w:bookmarkEnd w:id="5"/>
    </w:p>
    <w:p w14:paraId="4AEE57E7" w14:textId="77777777" w:rsidR="00C46676" w:rsidRPr="00D23C95" w:rsidRDefault="00C46676" w:rsidP="00C46676">
      <w:pPr>
        <w:pStyle w:val="EPComma"/>
        <w:rPr>
          <w:lang w:val="pl-PL"/>
        </w:rPr>
      </w:pPr>
      <w:r w:rsidRPr="00D23C95">
        <w:rPr>
          <w:rStyle w:val="Italic"/>
          <w:lang w:val="pl-PL"/>
        </w:rPr>
        <w:t>Parlament Europejski</w:t>
      </w:r>
      <w:r w:rsidRPr="00D23C95">
        <w:rPr>
          <w:lang w:val="pl-PL"/>
        </w:rPr>
        <w:t>,</w:t>
      </w:r>
    </w:p>
    <w:p w14:paraId="34AF06EB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Traktat o funkcjonowaniu Unii Europejskiej, w szczególności jego art. 194,</w:t>
      </w:r>
    </w:p>
    <w:p w14:paraId="39A9429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komunikat Komisji z dnia 8 lipca 2020 r. zatytułowany „Impuls dla gospodarki neutralnej dla klimatu: strategia UE dotycząca integracji systemu energetycznego” (</w:t>
      </w:r>
      <w:proofErr w:type="gramStart"/>
      <w:r w:rsidRPr="0081458A">
        <w:rPr>
          <w:lang w:val="pl-PL"/>
        </w:rPr>
        <w:t>COM(</w:t>
      </w:r>
      <w:proofErr w:type="gramEnd"/>
      <w:r w:rsidRPr="0081458A">
        <w:rPr>
          <w:lang w:val="pl-PL"/>
        </w:rPr>
        <w:t>2020)0299</w:t>
      </w:r>
      <w:r w:rsidRPr="00D23C95">
        <w:rPr>
          <w:lang w:val="pl-PL"/>
        </w:rPr>
        <w:t>),</w:t>
      </w:r>
    </w:p>
    <w:p w14:paraId="2D6C2679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komunikat Komisji z dnia 28 listopada 2023 r. zatytułowany „Sieci, brakujące ogniwo – unijny plan działania na rzecz sieci” (</w:t>
      </w:r>
      <w:proofErr w:type="gramStart"/>
      <w:r w:rsidRPr="00D23C95">
        <w:rPr>
          <w:lang w:val="pl-PL"/>
        </w:rPr>
        <w:t>COM(</w:t>
      </w:r>
      <w:proofErr w:type="gramEnd"/>
      <w:r w:rsidRPr="00D23C95">
        <w:rPr>
          <w:lang w:val="pl-PL"/>
        </w:rPr>
        <w:t>2023)0757),</w:t>
      </w:r>
    </w:p>
    <w:p w14:paraId="290CA95B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 xml:space="preserve">uwzględniając sprawozdanie Komisji ze stycznia 2025 r. zatytułowane: „Investment </w:t>
      </w:r>
      <w:proofErr w:type="spellStart"/>
      <w:r w:rsidRPr="00D23C95">
        <w:rPr>
          <w:lang w:val="pl-PL"/>
        </w:rPr>
        <w:t>needs</w:t>
      </w:r>
      <w:proofErr w:type="spellEnd"/>
      <w:r w:rsidRPr="00D23C95">
        <w:rPr>
          <w:lang w:val="pl-PL"/>
        </w:rPr>
        <w:t xml:space="preserve"> of </w:t>
      </w:r>
      <w:proofErr w:type="spellStart"/>
      <w:r w:rsidRPr="00D23C95">
        <w:rPr>
          <w:lang w:val="pl-PL"/>
        </w:rPr>
        <w:t>European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energy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infrastructure</w:t>
      </w:r>
      <w:proofErr w:type="spellEnd"/>
      <w:r w:rsidRPr="00D23C95">
        <w:rPr>
          <w:lang w:val="pl-PL"/>
        </w:rPr>
        <w:t xml:space="preserve"> to </w:t>
      </w:r>
      <w:proofErr w:type="spellStart"/>
      <w:r w:rsidRPr="00D23C95">
        <w:rPr>
          <w:lang w:val="pl-PL"/>
        </w:rPr>
        <w:t>enable</w:t>
      </w:r>
      <w:proofErr w:type="spellEnd"/>
      <w:r w:rsidRPr="00D23C95">
        <w:rPr>
          <w:lang w:val="pl-PL"/>
        </w:rPr>
        <w:t xml:space="preserve"> a </w:t>
      </w:r>
      <w:proofErr w:type="spellStart"/>
      <w:r w:rsidRPr="00D23C95">
        <w:rPr>
          <w:lang w:val="pl-PL"/>
        </w:rPr>
        <w:t>decarbonised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economy</w:t>
      </w:r>
      <w:proofErr w:type="spellEnd"/>
      <w:r w:rsidRPr="00D23C95">
        <w:rPr>
          <w:lang w:val="pl-PL"/>
        </w:rPr>
        <w:t>” [Konieczne inwestycje w europejską infrastrukturę energetyczną służące umożliwieniu dekarbonizacji gospodarki]</w:t>
      </w:r>
      <w:r w:rsidRPr="00D23C95">
        <w:rPr>
          <w:rStyle w:val="FootnoteReference"/>
          <w:lang w:val="pl-PL"/>
        </w:rPr>
        <w:footnoteReference w:id="1"/>
      </w:r>
      <w:r w:rsidRPr="00D23C95">
        <w:rPr>
          <w:lang w:val="pl-PL"/>
        </w:rPr>
        <w:t>;</w:t>
      </w:r>
    </w:p>
    <w:p w14:paraId="65C9C0C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komunikat Komisji z dnia 26 lutego 2025 r. zatytułowany „Plan działania na rzecz przystępnej cenowo energii – Odblokowanie prawdziwego potencjału unii energetycznej w celu zapewnienia przystępnej cenowo, efektywnej i czystej energii dla wszystkich Europejczyków” (</w:t>
      </w:r>
      <w:proofErr w:type="gramStart"/>
      <w:r w:rsidRPr="0081458A">
        <w:rPr>
          <w:lang w:val="pl-PL"/>
        </w:rPr>
        <w:t>COM(</w:t>
      </w:r>
      <w:proofErr w:type="gramEnd"/>
      <w:r w:rsidRPr="0081458A">
        <w:rPr>
          <w:lang w:val="pl-PL"/>
        </w:rPr>
        <w:t>2025)0079</w:t>
      </w:r>
      <w:r w:rsidRPr="00D23C95">
        <w:rPr>
          <w:lang w:val="pl-PL"/>
        </w:rPr>
        <w:t>),</w:t>
      </w:r>
    </w:p>
    <w:p w14:paraId="07F57F64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 xml:space="preserve">uwzględniając komunikat Komisji z dnia 26 lutego 2025 r. pt. „Pakt dla czystego przemysłu: wspólny plan działania na rzecz konkurencyjności i dekarbonizacji” </w:t>
      </w:r>
      <w:r w:rsidRPr="0081458A">
        <w:rPr>
          <w:lang w:val="pl-PL"/>
        </w:rPr>
        <w:t>(</w:t>
      </w:r>
      <w:proofErr w:type="gramStart"/>
      <w:r w:rsidRPr="0081458A">
        <w:rPr>
          <w:lang w:val="pl-PL"/>
        </w:rPr>
        <w:t>COM(</w:t>
      </w:r>
      <w:proofErr w:type="gramEnd"/>
      <w:r w:rsidRPr="0081458A">
        <w:rPr>
          <w:lang w:val="pl-PL"/>
        </w:rPr>
        <w:t>2025)0085</w:t>
      </w:r>
      <w:r w:rsidRPr="00D23C95">
        <w:rPr>
          <w:lang w:val="pl-PL"/>
        </w:rPr>
        <w:t>),</w:t>
      </w:r>
    </w:p>
    <w:p w14:paraId="7024E4C9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–</w:t>
      </w:r>
      <w:r w:rsidRPr="00D23C95">
        <w:rPr>
          <w:lang w:val="pl-PL"/>
        </w:rPr>
        <w:tab/>
        <w:t>uwzględniając komunikat Komisji z dnia 5 marca 2025 r. zatytułowany „Plan działania na rzecz Europejskiego filaru praw socjalnych” (</w:t>
      </w:r>
      <w:r w:rsidRPr="0081458A">
        <w:rPr>
          <w:lang w:val="pl-PL"/>
        </w:rPr>
        <w:t>COM(2025)0095</w:t>
      </w:r>
      <w:r w:rsidRPr="00D23C95">
        <w:rPr>
          <w:lang w:val="pl-PL"/>
        </w:rPr>
        <w:t>),</w:t>
      </w:r>
    </w:p>
    <w:p w14:paraId="5269DB7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rozporządzenie Parlamentu Europejskiego i Rady (UE) 2021/1153 z dnia 7 lipca 2021 r. ustanawiające instrument „Łącząc Europę” i uchylające rozporządzenia (UE) nr 1316/2013 i (UE) nr 283/2014</w:t>
      </w:r>
      <w:r w:rsidRPr="00D23C95">
        <w:rPr>
          <w:rStyle w:val="FootnoteReference"/>
          <w:lang w:val="pl-PL"/>
        </w:rPr>
        <w:footnoteReference w:id="2"/>
      </w:r>
      <w:r w:rsidRPr="00D23C95">
        <w:rPr>
          <w:lang w:val="pl-PL"/>
        </w:rPr>
        <w:t xml:space="preserve"> (rozporządzenie w sprawie instrumentu „Łącząc Europę”),</w:t>
      </w:r>
    </w:p>
    <w:p w14:paraId="42156C8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rozporządzenie Parlamentu Europejskiego i Rady (UE) 2022/869 z dnia 30 maja 2022 r. w sprawie wytycznych dotyczących transeuropejskiej infrastruktury energetycznej, zmiany rozporządzeń (WE) nr 715/2009, (UE) 2019/942 i (UE) 2019/943 oraz dyrektyw 2009/73/WE i (UE) 2019/944 oraz uchylenia rozporządzenia (UE) nr 347/2013</w:t>
      </w:r>
      <w:r w:rsidRPr="00D23C95">
        <w:rPr>
          <w:rStyle w:val="FootnoteReference"/>
          <w:lang w:val="pl-PL"/>
        </w:rPr>
        <w:footnoteReference w:id="3"/>
      </w:r>
      <w:r w:rsidRPr="00D23C95">
        <w:rPr>
          <w:lang w:val="pl-PL"/>
        </w:rPr>
        <w:t xml:space="preserve"> (rozporządzenie TEN-E),</w:t>
      </w:r>
    </w:p>
    <w:p w14:paraId="4AF13A0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dyrektywę Parlamentu Europejskiego i Rady (UE) 2019/944 z dnia 5 czerwca 2019 r. w sprawie wspólnych zasad rynku wewnętrznego energii elektrycznej oraz zmieniającą dyrektywę 2012/27/UE</w:t>
      </w:r>
      <w:r w:rsidRPr="00D23C95">
        <w:rPr>
          <w:rStyle w:val="FootnoteReference"/>
          <w:lang w:val="pl-PL"/>
        </w:rPr>
        <w:footnoteReference w:id="4"/>
      </w:r>
      <w:r w:rsidRPr="00D23C95">
        <w:rPr>
          <w:lang w:val="pl-PL"/>
        </w:rPr>
        <w:t>,</w:t>
      </w:r>
    </w:p>
    <w:p w14:paraId="234C073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rozporządzenie Parlamentu Europejskiego i Rady (UE) 2019/943 z dnia 5 czerwca 2019 r. w sprawie rynku wewnętrznego energii elektrycznej</w:t>
      </w:r>
      <w:r w:rsidRPr="00D23C95">
        <w:rPr>
          <w:rStyle w:val="FootnoteReference"/>
          <w:lang w:val="pl-PL"/>
        </w:rPr>
        <w:footnoteReference w:id="5"/>
      </w:r>
      <w:r w:rsidRPr="00D23C95">
        <w:rPr>
          <w:lang w:val="pl-PL"/>
        </w:rPr>
        <w:t>,</w:t>
      </w:r>
    </w:p>
    <w:p w14:paraId="36BDBFAB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dyrektywę Parlamentu Europejskiego i Rady (UE) 2023/2413 z dnia 18 października 2023 r. zmieniającą dyrektywę (UE) 2018/2001, rozporządzenie (UE) 2018/1999 i dyrektywę 98/70/WE w odniesieniu do promowania energii ze źródeł odnawialnych oraz uchylającą dyrektywę Rady (UE) 2015/652</w:t>
      </w:r>
      <w:r w:rsidRPr="00D23C95">
        <w:rPr>
          <w:rStyle w:val="FootnoteReference"/>
          <w:lang w:val="pl-PL"/>
        </w:rPr>
        <w:footnoteReference w:id="6"/>
      </w:r>
      <w:r w:rsidRPr="00D23C95">
        <w:rPr>
          <w:lang w:val="pl-PL"/>
        </w:rPr>
        <w:t xml:space="preserve"> (dyrektywa w sprawie energii odnawialnej),</w:t>
      </w:r>
    </w:p>
    <w:p w14:paraId="286ED22C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dyrektywę Parlamentu Europejskiego i Rady (UE) 2024/1275 z dnia 24 kwietnia 2024 r. w sprawie charakterystyki energetycznej budynków</w:t>
      </w:r>
      <w:r w:rsidRPr="00D23C95">
        <w:rPr>
          <w:rStyle w:val="FootnoteReference"/>
          <w:lang w:val="pl-PL"/>
        </w:rPr>
        <w:footnoteReference w:id="7"/>
      </w:r>
      <w:r w:rsidRPr="00D23C95">
        <w:rPr>
          <w:lang w:val="pl-PL"/>
        </w:rPr>
        <w:t>,</w:t>
      </w:r>
    </w:p>
    <w:p w14:paraId="3E81ADA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dyrektywę Parlamentu Europejskiego i Rady (UE) 2024/1711 z dnia 13 czerwca 2024 r. zmieniającą dyrektywy (UE) 2018/2001 i (UE) 2019/944 w odniesieniu do ulepszenia projektu unijnego rynku energii elektrycznej</w:t>
      </w:r>
      <w:r w:rsidRPr="00D23C95">
        <w:rPr>
          <w:rStyle w:val="FootnoteReference"/>
          <w:lang w:val="pl-PL"/>
        </w:rPr>
        <w:footnoteReference w:id="8"/>
      </w:r>
      <w:r w:rsidRPr="00D23C95">
        <w:rPr>
          <w:lang w:val="pl-PL"/>
        </w:rPr>
        <w:t>,</w:t>
      </w:r>
    </w:p>
    <w:p w14:paraId="0FF017C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rozporządzenie Parlamentu Europejskiego i Rady (UE) 2024/1747 z dnia 13 czerwca 2024 r. zmieniające rozporządzenia (UE) 2019/942 i (UE) 2019/943 w odniesieniu do poprawy struktury unijnego rynku energii elektrycznej</w:t>
      </w:r>
      <w:r w:rsidRPr="00D23C95">
        <w:rPr>
          <w:rStyle w:val="FootnoteReference"/>
          <w:lang w:val="pl-PL"/>
        </w:rPr>
        <w:footnoteReference w:id="9"/>
      </w:r>
      <w:r w:rsidRPr="00D23C95">
        <w:rPr>
          <w:lang w:val="pl-PL"/>
        </w:rPr>
        <w:t xml:space="preserve"> (rozporządzenie w sprawie struktury rynku energii elektrycznej),</w:t>
      </w:r>
    </w:p>
    <w:p w14:paraId="08CC9F3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 xml:space="preserve">uwzględniając rozporządzenie Parlamentu Europejskiego i Rady (UE) 2018/1999 z dnia 11 grudnia 2018 r. w sprawie zarządzania unią energetyczną i działaniami w dziedzinie klimatu, zmiany rozporządzeń Parlamentu Europejskiego i Rady (WE) nr 663/2009 i (WE) nr 715/2009, dyrektyw Parlamentu Europejskiego i Rady 94/22/WE, 98/70/WE, </w:t>
      </w:r>
      <w:r w:rsidRPr="00D23C95">
        <w:rPr>
          <w:lang w:val="pl-PL"/>
        </w:rPr>
        <w:lastRenderedPageBreak/>
        <w:t xml:space="preserve">2009/31/WE, 2009/73/WE, 2010/31/UE, 2012/27/UE i 2013/30/UE, dyrektyw Rady 2009/119/WE i </w:t>
      </w:r>
      <w:r w:rsidR="00D72749" w:rsidRPr="00D23C95">
        <w:rPr>
          <w:lang w:val="pl-PL"/>
        </w:rPr>
        <w:t>(UE)</w:t>
      </w:r>
      <w:r w:rsidR="00D72749">
        <w:rPr>
          <w:lang w:val="pl-PL"/>
        </w:rPr>
        <w:t xml:space="preserve"> </w:t>
      </w:r>
      <w:r w:rsidRPr="00D23C95">
        <w:rPr>
          <w:lang w:val="pl-PL"/>
        </w:rPr>
        <w:t>2015/652 oraz uchylenia rozporządzenia Parlamentu Europejskiego i Rady</w:t>
      </w:r>
      <w:r w:rsidRPr="00D23C95">
        <w:rPr>
          <w:rStyle w:val="FootnoteReference"/>
          <w:lang w:val="pl-PL"/>
        </w:rPr>
        <w:footnoteReference w:id="10"/>
      </w:r>
      <w:r w:rsidRPr="00D23C95">
        <w:rPr>
          <w:lang w:val="pl-PL"/>
        </w:rPr>
        <w:t xml:space="preserve"> (UE) nr 525/2013, które odzwierciedla unijne cele elektroenergetycznych połączeń międzysystemowych,</w:t>
      </w:r>
    </w:p>
    <w:p w14:paraId="2D04886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konkluzje Rady w sprawie rozwoju zrównoważonej infrastruktury sieci elektroenergetycznej w wersji zatwierdzonej przez Radę ds. Transportu, Telekomunikacji i Energii podczas jej posiedzenia w dniu 30 maja 2024 r.,</w:t>
      </w:r>
    </w:p>
    <w:p w14:paraId="21F18A39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swoją rezolucję z 10 lipca 2020 r. w sprawie kompleksowego europejskiego podejścia do magazynowania energii</w:t>
      </w:r>
      <w:r w:rsidRPr="00D23C95">
        <w:rPr>
          <w:rStyle w:val="FootnoteReference"/>
          <w:lang w:val="pl-PL"/>
        </w:rPr>
        <w:footnoteReference w:id="11"/>
      </w:r>
      <w:r w:rsidRPr="00D23C95">
        <w:rPr>
          <w:lang w:val="pl-PL"/>
        </w:rPr>
        <w:t>,</w:t>
      </w:r>
    </w:p>
    <w:p w14:paraId="4A50660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swoją rezolucję z 19 maja 2021 r. w sprawie strategii europejskiej na rzecz integracji systemów energetycznych</w:t>
      </w:r>
      <w:r w:rsidRPr="00D23C95">
        <w:rPr>
          <w:rStyle w:val="FootnoteReference"/>
          <w:lang w:val="pl-PL"/>
        </w:rPr>
        <w:footnoteReference w:id="12"/>
      </w:r>
      <w:r w:rsidRPr="00D23C95">
        <w:rPr>
          <w:lang w:val="pl-PL"/>
        </w:rPr>
        <w:t>,</w:t>
      </w:r>
    </w:p>
    <w:p w14:paraId="0966F2A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sprawozdanie ze stycznia 2023 r. Agencji UE ds. Współpracy Organów Regulacji Energetyki (ACER) w sprawie metodyki ustalania taryf przesyłowych i dystrybucyjnych energii elektrycznej w Europie;</w:t>
      </w:r>
    </w:p>
    <w:p w14:paraId="4D78083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sprawozdanie ACER z 19 grudnia 2023 r. pt. „</w:t>
      </w:r>
      <w:proofErr w:type="spellStart"/>
      <w:r w:rsidRPr="00D23C95">
        <w:rPr>
          <w:lang w:val="pl-PL"/>
        </w:rPr>
        <w:t>Demand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response</w:t>
      </w:r>
      <w:proofErr w:type="spellEnd"/>
      <w:r w:rsidRPr="00D23C95">
        <w:rPr>
          <w:lang w:val="pl-PL"/>
        </w:rPr>
        <w:t xml:space="preserve"> and </w:t>
      </w:r>
      <w:proofErr w:type="spellStart"/>
      <w:r w:rsidRPr="00D23C95">
        <w:rPr>
          <w:lang w:val="pl-PL"/>
        </w:rPr>
        <w:t>other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distributed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energy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resources</w:t>
      </w:r>
      <w:proofErr w:type="spellEnd"/>
      <w:r w:rsidRPr="00D23C95">
        <w:rPr>
          <w:lang w:val="pl-PL"/>
        </w:rPr>
        <w:t xml:space="preserve">: </w:t>
      </w:r>
      <w:proofErr w:type="spellStart"/>
      <w:r w:rsidRPr="00D23C95">
        <w:rPr>
          <w:lang w:val="pl-PL"/>
        </w:rPr>
        <w:t>what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barriers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are</w:t>
      </w:r>
      <w:proofErr w:type="spellEnd"/>
      <w:r w:rsidRPr="00D23C95">
        <w:rPr>
          <w:lang w:val="pl-PL"/>
        </w:rPr>
        <w:t xml:space="preserve"> holding </w:t>
      </w:r>
      <w:proofErr w:type="spellStart"/>
      <w:r w:rsidRPr="00D23C95">
        <w:rPr>
          <w:lang w:val="pl-PL"/>
        </w:rPr>
        <w:t>them</w:t>
      </w:r>
      <w:proofErr w:type="spellEnd"/>
      <w:r w:rsidRPr="00D23C95">
        <w:rPr>
          <w:lang w:val="pl-PL"/>
        </w:rPr>
        <w:t xml:space="preserve"> </w:t>
      </w:r>
      <w:proofErr w:type="spellStart"/>
      <w:r w:rsidRPr="00D23C95">
        <w:rPr>
          <w:lang w:val="pl-PL"/>
        </w:rPr>
        <w:t>back</w:t>
      </w:r>
      <w:proofErr w:type="spellEnd"/>
      <w:r w:rsidRPr="00D23C95">
        <w:rPr>
          <w:lang w:val="pl-PL"/>
        </w:rPr>
        <w:t>” [Odpowiedź odbioru a inne rozproszone zasoby energetyczne: identyfikacja barier uniemożliwiających ich wykorzystanie],</w:t>
      </w:r>
    </w:p>
    <w:p w14:paraId="10E1445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sprawozdanie europejskiej sieci operatorów systemów przesyłowych energii elektrycznej (ENTSO-E) z kwietnia 2025 r. pt. „</w:t>
      </w:r>
      <w:proofErr w:type="spellStart"/>
      <w:r w:rsidRPr="00D23C95">
        <w:rPr>
          <w:lang w:val="pl-PL"/>
        </w:rPr>
        <w:t>Bidding</w:t>
      </w:r>
      <w:proofErr w:type="spellEnd"/>
      <w:r w:rsidRPr="00D23C95">
        <w:rPr>
          <w:lang w:val="pl-PL"/>
        </w:rPr>
        <w:t xml:space="preserve"> Zone </w:t>
      </w:r>
      <w:proofErr w:type="spellStart"/>
      <w:r w:rsidRPr="00D23C95">
        <w:rPr>
          <w:lang w:val="pl-PL"/>
        </w:rPr>
        <w:t>Review</w:t>
      </w:r>
      <w:proofErr w:type="spellEnd"/>
      <w:r w:rsidRPr="00D23C95">
        <w:rPr>
          <w:lang w:val="pl-PL"/>
        </w:rPr>
        <w:t xml:space="preserve"> of the 2025 Target </w:t>
      </w:r>
      <w:proofErr w:type="spellStart"/>
      <w:r w:rsidRPr="00D23C95">
        <w:rPr>
          <w:lang w:val="pl-PL"/>
        </w:rPr>
        <w:t>Year</w:t>
      </w:r>
      <w:proofErr w:type="spellEnd"/>
      <w:r w:rsidRPr="00D23C95">
        <w:rPr>
          <w:lang w:val="pl-PL"/>
        </w:rPr>
        <w:t>” [Przegląd stref cenowych roku docelowego 2025]</w:t>
      </w:r>
      <w:r w:rsidRPr="00D23C95">
        <w:rPr>
          <w:rStyle w:val="FootnoteReference"/>
          <w:lang w:val="pl-PL"/>
        </w:rPr>
        <w:footnoteReference w:id="13"/>
      </w:r>
      <w:r w:rsidRPr="00D23C95">
        <w:rPr>
          <w:lang w:val="pl-PL"/>
        </w:rPr>
        <w:t>,</w:t>
      </w:r>
    </w:p>
    <w:p w14:paraId="2D075CD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art. 55 Regulaminu,</w:t>
      </w:r>
    </w:p>
    <w:p w14:paraId="0E81E739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–</w:t>
      </w:r>
      <w:r w:rsidRPr="00D23C95">
        <w:rPr>
          <w:lang w:val="pl-PL"/>
        </w:rPr>
        <w:tab/>
        <w:t>uwzględniając sprawozdanie Komisji Przemysłu, Badań Naukowych i Energii (A10‑0091/2025),</w:t>
      </w:r>
    </w:p>
    <w:p w14:paraId="289028E3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A.</w:t>
      </w:r>
      <w:r w:rsidRPr="00D23C95">
        <w:rPr>
          <w:lang w:val="pl-PL"/>
        </w:rPr>
        <w:tab/>
        <w:t>mając na uwadze, że sieci elektroenergetyczne są niezbędne, aby UE osiągnęła przejście na czystą energię i dostarczała energię odnawialną przy jednoczesnym wspieraniu wzrostu gospodarczego i dobrobytu; mając na uwadze, że nieefektywność i brak pełnej integracji negatywnie wpływają na ceny energii dla konsumentów i przedsiębiorstw;</w:t>
      </w:r>
    </w:p>
    <w:p w14:paraId="3D7D4244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B.</w:t>
      </w:r>
      <w:r w:rsidRPr="00D23C95">
        <w:rPr>
          <w:lang w:val="pl-PL"/>
        </w:rPr>
        <w:tab/>
        <w:t xml:space="preserve">mając na uwadze, że w świetle rosnącego zapotrzebowania na energię elektryczną konieczne są znaczne inwestycje i modernizacja oraz nadzór regulacyjny, umożliwiające zwiększenie transgranicznych i krajowych zdolności przesyłowych i </w:t>
      </w:r>
      <w:r w:rsidRPr="00D23C95">
        <w:rPr>
          <w:lang w:val="pl-PL"/>
        </w:rPr>
        <w:lastRenderedPageBreak/>
        <w:t>modernizacji infrastruktury, co zapewni zdekarbonizowany, elastyczny, bardziej zdecentralizowany, cyfrowy i odporny system elektroenergetyczny;</w:t>
      </w:r>
    </w:p>
    <w:p w14:paraId="0963EE3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C.</w:t>
      </w:r>
      <w:r w:rsidRPr="00D23C95">
        <w:rPr>
          <w:lang w:val="pl-PL"/>
        </w:rPr>
        <w:tab/>
        <w:t>mając na uwadze, że słaba łączność i wąskie gardła sieci są jednymi z głównych powodów, dla których UE nie może w pełni korzystać ze znacznych zainstalowanych mocy energii wiatrowej i słonecznej, co zapewniłoby przystępne ceny dla gospodarstw domowych i przemysłu; mając na uwadze, że brak silnych wzajemnych połączeń między regionami o różnych cechach naturalnych i klimatycznych prowadzi do nadprodukcji energii i administracyjnego ograniczenia produkcji odnawialnej w niektórych regionach, podczas gdy inne regiony zmagają się z niewystarczającą podażą i wysokimi cenami;</w:t>
      </w:r>
    </w:p>
    <w:p w14:paraId="59B680B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D.</w:t>
      </w:r>
      <w:r w:rsidRPr="00D23C95">
        <w:rPr>
          <w:lang w:val="pl-PL"/>
        </w:rPr>
        <w:tab/>
        <w:t>mając na uwadze, że operatorzy systemów przesyłowych (OSP) mają zasadnicze znaczenie dla integracji morskiej energii odnawialnej z siecią UE, w szczególności dla tych, którzy są podłączeni do więcej niż jednego rynku; mając na uwadze, że jeśli operatorzy systemów przesyłowych nie zapewnią uzgodnionej przepustowości sieci, projektodawcom należy wypłacić rekompensatę za utracone zdolności eksportowe, finansowaną z dochodu z ograniczeń; mając na uwadze, że taka rekompensata powinna być sprawiedliwie dzielona między OSP i zgodna z zasadami niedyskryminacji i maksymalizacji handlu transgranicznego; mając na uwadze, że podkreśla to znaczenie utrzymania funkcjonującej sieci szkieletowej połączeń międzysystemowych, ponieważ awarie przepustowości połączeń międzysystemowych mogą skutkować kosztami zarówno dla producentów, jak i operatorów systemów przesyłowych;</w:t>
      </w:r>
    </w:p>
    <w:p w14:paraId="4974799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E.</w:t>
      </w:r>
      <w:r w:rsidRPr="00D23C95">
        <w:rPr>
          <w:lang w:val="pl-PL"/>
        </w:rPr>
        <w:tab/>
        <w:t>mając na uwadze, że Europa osiągnie swoje cele w zakresie dekarbonizacji tylko wtedy, gdy wprowadzi skoordynowane, ogólnoeuropejskie podejście do planowania systemu elektroenergetycznego łączące granice, sektory i regiony;</w:t>
      </w:r>
    </w:p>
    <w:p w14:paraId="14698DE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F.</w:t>
      </w:r>
      <w:r w:rsidRPr="00D23C95">
        <w:rPr>
          <w:lang w:val="pl-PL"/>
        </w:rPr>
        <w:tab/>
        <w:t>mając na uwadze, że planowanie sieci przesyłowych i dystrybucyjnych energii elektrycznej musi być skoordynowane w celu zapewnienia skutecznego rozwoju unijnego systemu elektroenergetycznego;</w:t>
      </w:r>
    </w:p>
    <w:p w14:paraId="30753D3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G.</w:t>
      </w:r>
      <w:r w:rsidRPr="00D23C95">
        <w:rPr>
          <w:lang w:val="pl-PL"/>
        </w:rPr>
        <w:tab/>
        <w:t>mając na uwadze, że sieć elektroenergetyczna UE została zbudowana dla gospodarki XX wieku opartej na scentralizowanym wytwarzaniu energii elektrycznej z paliw kopalnych i musi zostać zmodernizowana, aby sprostać wymaganiom gospodarki cyfrowej o zwiększonym poziomie elektryfikacji i większym udziale energii ze zdecentralizowanych odnawialnych źródeł energii o zmiennej wydajności;</w:t>
      </w:r>
    </w:p>
    <w:p w14:paraId="1CBA5B92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H.</w:t>
      </w:r>
      <w:r w:rsidRPr="00D23C95">
        <w:rPr>
          <w:lang w:val="pl-PL"/>
        </w:rPr>
        <w:tab/>
        <w:t>mając na uwadze, że transgraniczne połączenia międzysystemowe i infrastruktura sieci przesyłowej i dystrybucyjnej mają kluczowe znaczenie dla integracji odnawialnych źródeł energii, obniżenia kosztów dla europejskich konsumentów i zwiększenia bezpieczeństwa dostaw energii;</w:t>
      </w:r>
    </w:p>
    <w:p w14:paraId="3457BBCB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I.</w:t>
      </w:r>
      <w:r w:rsidRPr="00D23C95">
        <w:rPr>
          <w:lang w:val="pl-PL"/>
        </w:rPr>
        <w:tab/>
        <w:t>mając na uwadze, że projekty sieciowe na poziomie dystrybucji kwalifikują się już do finansowania w ramach instrumentu „Łącząc Europę” – Energia (CEF-E); mając jednak na uwadze, że tylko niewielka część została przeznaczona na sieci dystrybucyjne na podstawie najnowszego wykazu projektów będących przedmiotem wspólnego zainteresowania; mając na uwadze, że CEF-E powinien lepiej odzwierciedlać rolę sieci dystrybucyjnych w osiąganiu celów UE w zakresie energii i klimatu;</w:t>
      </w:r>
    </w:p>
    <w:p w14:paraId="24CC26B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J.</w:t>
      </w:r>
      <w:r w:rsidRPr="00D23C95">
        <w:rPr>
          <w:lang w:val="pl-PL"/>
        </w:rPr>
        <w:tab/>
        <w:t>mając na uwadze, że ENTSO-E obliczyła, że transgraniczne inwestycje w energię elektryczną w wysokości 13 mld EUR rocznie do 2050 r. zmniejszyłyby koszty systemu o 23 mld EUR rocznie;</w:t>
      </w:r>
    </w:p>
    <w:p w14:paraId="46F6681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K.</w:t>
      </w:r>
      <w:r w:rsidRPr="00D23C95">
        <w:rPr>
          <w:lang w:val="pl-PL"/>
        </w:rPr>
        <w:tab/>
        <w:t>mając na uwadze, że zasada „efektywność energetyczna przede wszystkim” jest podstawową zasadą polityki energetycznej UE i jest prawnie wiążąca; zauważa, że prawidłowe wdrożenie tej zasady spowoduje znaczne zmniejszenie zużycia energii, a tym samym ograniczy potrzebę inwestycji w sieci elektroenergetyczne i połączenia międzysystemowe;</w:t>
      </w:r>
    </w:p>
    <w:p w14:paraId="76040ED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L.</w:t>
      </w:r>
      <w:r w:rsidRPr="00D23C95">
        <w:rPr>
          <w:lang w:val="pl-PL"/>
        </w:rPr>
        <w:tab/>
        <w:t>mając na uwadze, że utrzymanie równowagi między trzema elementami unijnej polityki energetycznej – zrównoważonym rozwojem, bezpieczeństwem dostaw i przystępnością cenową – jest kluczowe dla osiągnięcia udanej transformacji energetycznej i niezawodnego europejskiego systemu energetycznego;</w:t>
      </w:r>
    </w:p>
    <w:p w14:paraId="14BB7D0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M.</w:t>
      </w:r>
      <w:r w:rsidRPr="00D23C95">
        <w:rPr>
          <w:lang w:val="pl-PL"/>
        </w:rPr>
        <w:tab/>
        <w:t>mając na uwadze, że planowanie sieci energetycznej jest procesem długoterminowym, ściśle powiązanym ze stabilnością inwestycji;</w:t>
      </w:r>
    </w:p>
    <w:p w14:paraId="77B7F3F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N.</w:t>
      </w:r>
      <w:r w:rsidRPr="00D23C95">
        <w:rPr>
          <w:lang w:val="pl-PL"/>
        </w:rPr>
        <w:tab/>
        <w:t>mając na uwadze, że zapotrzebowanie na elastyczność systemu energetycznego podwoi się do 2030 r. w związku ze zwiększonym udziałem odnawialnych źródeł energii; mając na uwadze, że elastyczność po stronie popytu ma kluczowe znaczenie dla stabilności sieci; mając na uwadze, że poszczególni obywatele, przedsiębiorstwa i społeczności uczestniczące w rynku energii elektrycznej mogą przynieść sieciom różnorodne korzyści, takie jak zwiększona wydajność systemu, odporność, optymalizacja inwestycji, większa akceptacja społeczna i niższe koszty energii; mając na uwadze, że poważne opóźnienia i niespójności we wdrażaniu istniejących przepisów UE dotyczących energii dla obywateli, elastyczności popytu i inteligentnych operacji sieciowych nadal budzą obawy;</w:t>
      </w:r>
    </w:p>
    <w:p w14:paraId="6717520D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O.</w:t>
      </w:r>
      <w:r w:rsidRPr="00D23C95">
        <w:rPr>
          <w:lang w:val="pl-PL"/>
        </w:rPr>
        <w:tab/>
        <w:t>mając na uwadze, że chociaż dzięki recyklingowi możliwe jest zaspokojenie od 40 % do 55 % zapotrzebowania na aluminium i miedź w Europie, należy rozważyć dalsze środki mające na celu zwiększenie zdolności recyklingu, zbiórki odpadów i wydajności łańcucha dostaw;</w:t>
      </w:r>
    </w:p>
    <w:p w14:paraId="04B3985D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P.</w:t>
      </w:r>
      <w:r w:rsidRPr="00D23C95">
        <w:rPr>
          <w:lang w:val="pl-PL"/>
        </w:rPr>
        <w:tab/>
        <w:t>mając na uwadze, że we wspólnym komunikacie Komisji i wysokiej przedstawiciel zatytułowanym „Plan działania UE na rzecz bezpieczeństwa kabli” podkreślono znaczenie zapewnienia bezpiecznych dostaw części zamiennych do kabli oraz gromadzenia podstawowych materiałów i sprzętu;</w:t>
      </w:r>
    </w:p>
    <w:p w14:paraId="78E8E0E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Q.</w:t>
      </w:r>
      <w:r w:rsidRPr="00D23C95">
        <w:rPr>
          <w:lang w:val="pl-PL"/>
        </w:rPr>
        <w:tab/>
        <w:t>mając na uwadze, że przerwa w dostawie energii elektrycznej na Półwyspie Iberyjskim i w częściach Francji 28 kwietnia 2025 r. pokazały</w:t>
      </w:r>
      <w:r w:rsidR="003E1C6D">
        <w:rPr>
          <w:lang w:val="pl-PL"/>
        </w:rPr>
        <w:t xml:space="preserve"> </w:t>
      </w:r>
      <w:r w:rsidR="003E1C6D" w:rsidRPr="004F74BC">
        <w:rPr>
          <w:lang w:val="pl-PL"/>
        </w:rPr>
        <w:t>między innymi</w:t>
      </w:r>
      <w:r w:rsidRPr="00D23C95">
        <w:rPr>
          <w:lang w:val="pl-PL"/>
        </w:rPr>
        <w:t>, jak ważne jest zwiększenie odporności sieci energetycznej przez zapewnienie jej prawidłowej konserwacji, ochrony i równowagi przez cały czas, w tym dzięki elastycznym usługom systemowym i wzmocnionym transgranicznym połączeniom międzysystemowym, aby umożliwić szybkie przywrócenie dostaw w przypadku awarii systemu;</w:t>
      </w:r>
    </w:p>
    <w:p w14:paraId="1908015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R.</w:t>
      </w:r>
      <w:r w:rsidRPr="00D23C95">
        <w:rPr>
          <w:lang w:val="pl-PL"/>
        </w:rPr>
        <w:tab/>
        <w:t xml:space="preserve">mając na uwadze, że operatorzy systemów na szczeblu krajowym i regionalnym ponoszą dużą odpowiedzialność, zwłaszcza w dziedzinie bezpieczeństwa dostaw energii; mając na uwadze, że wszystkie zadania o charakterze regulacyjnym powinny być wykonywane przez agencje regulacyjne działające w interesie publicznym; mając jednak na uwadze, że wraz z tymi obowiązkami wzmocniona rola organów </w:t>
      </w:r>
      <w:r w:rsidRPr="00D23C95">
        <w:rPr>
          <w:lang w:val="pl-PL"/>
        </w:rPr>
        <w:lastRenderedPageBreak/>
        <w:t>regulacyjnych i ACER w procesach planowania może przyczynić się do wyeliminowania niedociągnięć, takich jak obecny dziesięcioletni plan rozwoju sieci ENTSO-E określony w sprawozdaniu z monitorowania sieci; mając na uwadze, że chociaż uznaje się odpowiedzialność operatorów systemów przesyłowych (OSP) za opracowanie tych scenariuszy, wczesne zaangażowanie ACER w proces opracowywania mogłoby pomóc zapewnić przestrzeganie wytycznych dotyczących sporządzania scenariuszy zgodnie z rozporządzeniem TEN-E;</w:t>
      </w:r>
    </w:p>
    <w:p w14:paraId="6327315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S.</w:t>
      </w:r>
      <w:r w:rsidRPr="00D23C95">
        <w:rPr>
          <w:lang w:val="pl-PL"/>
        </w:rPr>
        <w:tab/>
        <w:t>mając na uwadze, że rozwój połączeń międzysystemowych przyczyni się do dalszej integracji rynku energii elektrycznej w UE, co nie tylko zwiększy elastyczność i odporność systemu, ale także uwolni korzyści skali w produkcji energii elektrycznej ze źródeł odnawialnych;</w:t>
      </w:r>
    </w:p>
    <w:p w14:paraId="719D3AFC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T.</w:t>
      </w:r>
      <w:r w:rsidRPr="00D23C95">
        <w:rPr>
          <w:lang w:val="pl-PL"/>
        </w:rPr>
        <w:tab/>
        <w:t>mając na uwadze, że konieczne będzie zwiększenie siły roboczej o 50 %, aby umożliwić wdrożenie wymaganych technologii energii odnawialnej, sieci i efektywności energetycznej</w:t>
      </w:r>
      <w:r w:rsidRPr="00D23C95">
        <w:rPr>
          <w:rStyle w:val="FootnoteReference"/>
          <w:lang w:val="pl-PL"/>
        </w:rPr>
        <w:footnoteReference w:id="14"/>
      </w:r>
      <w:r w:rsidRPr="00D23C95">
        <w:rPr>
          <w:lang w:val="pl-PL"/>
        </w:rPr>
        <w:t>;</w:t>
      </w:r>
    </w:p>
    <w:p w14:paraId="37ECC7F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U.</w:t>
      </w:r>
      <w:r w:rsidRPr="00D23C95">
        <w:rPr>
          <w:lang w:val="pl-PL"/>
        </w:rPr>
        <w:tab/>
        <w:t>mając na uwadze, że małe i średnie przedsiębiorstwa (MŚP) stanowią trzon gospodarki, przedsiębiorczości i innowacji UE, ponieważ stanowią 99 % przedsiębiorstw, oferują miejsca pracy ponad 85 mln obywateli UE i generują ponad 58 % PKB UE;</w:t>
      </w:r>
    </w:p>
    <w:p w14:paraId="11C0104C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V.</w:t>
      </w:r>
      <w:r w:rsidRPr="00D23C95">
        <w:rPr>
          <w:lang w:val="pl-PL"/>
        </w:rPr>
        <w:tab/>
        <w:t>mając na uwadze, że zwiększenie zdecentralizowanego wytwarzania energii elektrycznej i reagowanie na zapotrzebowanie ma istotne znaczenie dla zmniejszenia zależności od scentralizowanej produkcji, która jest bardziej narażona na zagrożenia fizyczne, cyberzagrożenia lub na zdarzenia związane z klimatem;</w:t>
      </w:r>
    </w:p>
    <w:p w14:paraId="103DE49E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1.</w:t>
      </w:r>
      <w:r w:rsidRPr="00D23C95">
        <w:rPr>
          <w:lang w:val="pl-PL"/>
        </w:rPr>
        <w:tab/>
        <w:t>wzywa państwa członkowskie do pełnego zbadania, zoptymalizowania, zmodernizowania i zwiększenia zdolności sieci elektroenergetycznej, w tym przesyłu i dystrybucji; uważa, że sieci elektroenergetyczne są centralnym elementem umożliwiającym osiągnięcie konkurencyjnej unijnej gospodarki neutralnej emisyjnie do 2050 r., zdolnej do przyjęcia dużych ilości technologii wytwarzania energii odnawialnej o zmiennej wydajności i/lub dostosowania się do ewoluujących źródeł zapotrzebowania wynikających ze wzrostu poziomu elektryfikacji i postępu technologii cyfrowych; zwraca uwagę na prawo państw członkowskich do określania własnego koszyka energetycznego;</w:t>
      </w:r>
    </w:p>
    <w:p w14:paraId="31782CE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2.</w:t>
      </w:r>
      <w:r w:rsidRPr="00D23C95">
        <w:rPr>
          <w:lang w:val="pl-PL"/>
        </w:rPr>
        <w:tab/>
        <w:t>wzywa Komisję, państwa członkowskie, ACER, organizację OSD UE</w:t>
      </w:r>
      <w:r w:rsidRPr="00D23C95">
        <w:rPr>
          <w:rStyle w:val="FootnoteReference"/>
          <w:lang w:val="pl-PL"/>
        </w:rPr>
        <w:footnoteReference w:id="15"/>
      </w:r>
      <w:r w:rsidRPr="00D23C95">
        <w:rPr>
          <w:lang w:val="pl-PL"/>
        </w:rPr>
        <w:t xml:space="preserve"> i ENTSO-E</w:t>
      </w:r>
      <w:r w:rsidRPr="00D23C95">
        <w:rPr>
          <w:rStyle w:val="FootnoteReference"/>
          <w:lang w:val="pl-PL"/>
        </w:rPr>
        <w:footnoteReference w:id="16"/>
      </w:r>
      <w:r w:rsidRPr="00D23C95">
        <w:rPr>
          <w:lang w:val="pl-PL"/>
        </w:rPr>
        <w:t xml:space="preserve"> do niezwłocznej realizacji działań określonych w unijnym planie działania na rzecz sieci, planie działania na rzecz przystępnej cenowo energii, reformie struktury unijnego rynku energii elektrycznej i dyrektywie w sprawie energii odnawialnej;</w:t>
      </w:r>
    </w:p>
    <w:p w14:paraId="6A6094C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3.</w:t>
      </w:r>
      <w:r w:rsidRPr="00D23C95">
        <w:rPr>
          <w:lang w:val="pl-PL"/>
        </w:rPr>
        <w:tab/>
        <w:t>wskazuje, że zakończenie integracji unijnego rynku energii pozwoli zaoszczędzić do 40 mld EUR rocznie, a 50-procentowy wzrost transgranicznego handlu energią elektryczną może podnieść roczny PKB UE o 0,1 %</w:t>
      </w:r>
      <w:r w:rsidRPr="00D23C95">
        <w:rPr>
          <w:rStyle w:val="FootnoteReference"/>
          <w:lang w:val="pl-PL"/>
        </w:rPr>
        <w:footnoteReference w:id="17"/>
      </w:r>
      <w:r w:rsidRPr="00D23C95">
        <w:rPr>
          <w:lang w:val="pl-PL"/>
        </w:rPr>
        <w:t>;</w:t>
      </w:r>
    </w:p>
    <w:p w14:paraId="16379857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BoldItalic"/>
          <w:lang w:val="pl-PL"/>
        </w:rPr>
        <w:t>Znaczenie sieci elektroenergetycznych dla europejskiej transformacji energetycznej</w:t>
      </w:r>
    </w:p>
    <w:p w14:paraId="6DDC0E7B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4.</w:t>
      </w:r>
      <w:r w:rsidRPr="00D23C95">
        <w:rPr>
          <w:lang w:val="pl-PL"/>
        </w:rPr>
        <w:tab/>
        <w:t>z zadowoleniem przyjmuje komunikat Komisji w sprawie sieci</w:t>
      </w:r>
      <w:r w:rsidRPr="00D23C95">
        <w:rPr>
          <w:rStyle w:val="FootnoteReference"/>
          <w:lang w:val="pl-PL"/>
        </w:rPr>
        <w:footnoteReference w:id="18"/>
      </w:r>
      <w:r w:rsidRPr="00D23C95">
        <w:rPr>
          <w:lang w:val="pl-PL"/>
        </w:rPr>
        <w:t>; zwraca uwagę na oczekiwany wzrost zużycia energii elektrycznej o 60 % do 2030 r., rosnącą potrzebę włączenia do sieci dużego wolumenu energii ze źródeł odnawialnych o zmiennej wydajności oraz konieczność dostosowania sieci do bardziej zdecentralizowanego, cyfrowego i elastycznego systemu elektroenergetycznego, w tym potrzebę optymalizacji operacji systemowych i pełnego wykorzystania lokalnych zasobów zapewniających elastyczność, reagowania na popyt i rozwiązań w zakresie magazynowania energii w celu uzupełnienia rynków hurtowych i zwiększenia odporności sieci, co skutkuje dodatkowymi 23 GW transgranicznej mocy do 2025 r. i dalszymi 64 GW mocy do 2030 r.; zauważa, że ponad 40 % sieci dystrybucyjnych w Unii ma ponad 40 lat i wymaga modernizacji</w:t>
      </w:r>
      <w:r w:rsidRPr="00D23C95">
        <w:rPr>
          <w:rStyle w:val="FootnoteReference"/>
          <w:lang w:val="pl-PL"/>
        </w:rPr>
        <w:footnoteReference w:id="19"/>
      </w:r>
      <w:r w:rsidRPr="00D23C95">
        <w:rPr>
          <w:lang w:val="pl-PL"/>
        </w:rPr>
        <w:t>;</w:t>
      </w:r>
    </w:p>
    <w:p w14:paraId="2E246C7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5.</w:t>
      </w:r>
      <w:r w:rsidRPr="00D23C95">
        <w:rPr>
          <w:lang w:val="pl-PL"/>
        </w:rPr>
        <w:tab/>
        <w:t>przypomina, że do 2030 r. Unia musi zainwestować około 375 do 425 mld EUR w sieci dystrybucyjne i łącznie 584 mld EUR w przesyłowe i dystrybucyjne sieci elektroenergetyczne</w:t>
      </w:r>
      <w:r w:rsidRPr="00D23C95">
        <w:rPr>
          <w:rStyle w:val="FootnoteReference"/>
          <w:lang w:val="pl-PL"/>
        </w:rPr>
        <w:footnoteReference w:id="20"/>
      </w:r>
      <w:r w:rsidRPr="00D23C95">
        <w:rPr>
          <w:lang w:val="pl-PL"/>
        </w:rPr>
        <w:t>, w tym w dostosowanie sieci dystrybucyjnych do transformacji energetycznej;</w:t>
      </w:r>
    </w:p>
    <w:p w14:paraId="4661B45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6.</w:t>
      </w:r>
      <w:r w:rsidRPr="00D23C95">
        <w:rPr>
          <w:lang w:val="pl-PL"/>
        </w:rPr>
        <w:tab/>
        <w:t>z niepokojem zauważa, że w 2023 r. koszty zarządzania ograniczeniami przesyłowymi elektroenergetycznej sieci przesyłowej w UE wyniosły 4,2 mld EUR</w:t>
      </w:r>
      <w:r w:rsidRPr="00D23C95">
        <w:rPr>
          <w:rStyle w:val="FootnoteReference"/>
          <w:lang w:val="pl-PL"/>
        </w:rPr>
        <w:footnoteReference w:id="21"/>
      </w:r>
      <w:r w:rsidRPr="00D23C95">
        <w:rPr>
          <w:lang w:val="pl-PL"/>
        </w:rPr>
        <w:t xml:space="preserve"> i stale rosną, a nakładane ograniczenia stanowią przeszkodę w zwiększaniu udziału energii ze źródeł odnawialnych; zauważa, że liczba ta nie obejmuje elektroenergetycznej sieci dystrybucyjnej; podkreśla, że w 2023 r. z powodu niewystarczającej zdolności sieci w kilku państwach członkowski ograniczono ilość energii elektrycznej ze źródeł odnawialnych o prawie 30 TWh; zwraca ponadto uwagę na gwałtowny wzrost godzin ujemnych cen energii elektrycznej w ciągu roku, ze 154 w 2018 r. do 1 031 we wrześniu 2024 r.</w:t>
      </w:r>
      <w:r w:rsidRPr="00D23C95">
        <w:rPr>
          <w:rStyle w:val="FootnoteReference"/>
          <w:lang w:val="pl-PL"/>
        </w:rPr>
        <w:footnoteReference w:id="22"/>
      </w:r>
      <w:r w:rsidRPr="00D23C95">
        <w:rPr>
          <w:lang w:val="pl-PL"/>
        </w:rPr>
        <w:t xml:space="preserve">, który w dużej mierze wynika z ograniczeń przesyłowych w sieci na granicach, braku odpowiedniej infrastruktury magazynowania, elastyczności i reagowania na popyt na rynku energii elektrycznej, aby tymczasowo dostosować dostawy zmiennej odnawialnej energii elektrycznej do zapotrzebowania na energię </w:t>
      </w:r>
      <w:r w:rsidRPr="00D23C95">
        <w:rPr>
          <w:lang w:val="pl-PL"/>
        </w:rPr>
        <w:lastRenderedPageBreak/>
        <w:t>elektryczną; podkreśla, że rozwiązanie tego problemu mogłoby pomóc w absorpcji nadwyżek podaży, tym samym maksymalizując wykorzystanie istniejącej infrastruktury sieciowej, ale istniejące ramy rynkowe i regulacyjne często nie zapewniają odpowiednich zachęt do osiągnięcia tego celu;</w:t>
      </w:r>
    </w:p>
    <w:p w14:paraId="2D51819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7.</w:t>
      </w:r>
      <w:r w:rsidRPr="00D23C95">
        <w:rPr>
          <w:lang w:val="pl-PL"/>
        </w:rPr>
        <w:tab/>
        <w:t>podkreśla, że brak modernizacji i rozbudowy unijnej sieci elektroenergetycznej, wraz z szybkim wdrożeniem dużych ilości energii ze źródeł odnawialnych o zmiennej wydajności niezbędnej do osiągnięcia ustalonych celów, spowodował i nadal będzie powodował wysoki poziom obniżenia dyspozycyjności (instrukcje ograniczenia produkcji); uważa, że ograniczanie dostępu do odnawialnych źródeł energii, spowodowane przeciążeniem sieci i ograniczeniem przesyłu, stanowi niedopuszczalne marnotrawstwo cennej energii odnawialnej oraz środków finansowych; wzywa Komisję, aby w ramach przyszłego pakietu dotyczącego europejskich sieci energetycznych określiła strategię UE, aby znacząco zmniejszyć ograniczanie dostępu do energii elektrycznej ze źródeł odnawialnych;</w:t>
      </w:r>
    </w:p>
    <w:p w14:paraId="2AE673D3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8.</w:t>
      </w:r>
      <w:r w:rsidRPr="00D23C95">
        <w:rPr>
          <w:lang w:val="pl-PL"/>
        </w:rPr>
        <w:tab/>
        <w:t>podkreśla, że inteligentne sieci odgrywają istotną rolę w poprawie zarządzania ograniczeniami przesyłowymi i optymalizacji dystrybucji energii elektrycznej ze źródeł odnawialnych; podkreśla, że przyczyniają się one do zwiększenia elastyczności sieci dzięki integracji narzędzi cyfrowych, które ułatwiają odpowiedź odbioru i zbiorową konsumpcję własną; podkreśla, że lepsze zarządzanie siecią zwiększa odporność energetyczną, zmniejsza ograniczenia i zabezpiecza dostawy w okresach szczytowego zapotrzebowania;</w:t>
      </w:r>
    </w:p>
    <w:p w14:paraId="65F62EEE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9.</w:t>
      </w:r>
      <w:r w:rsidRPr="00D23C95">
        <w:rPr>
          <w:lang w:val="pl-PL"/>
        </w:rPr>
        <w:tab/>
        <w:t>podkreśla, że infrastruktura sieci elektroenergetycznej jest priorytetem dla osiągnięcia przez UE jej strategicznej autonomii oraz celów w zakresie klimatu i energii; odnotowuje zawarte w Pakcie dla czystego przemysłu zobowiązanie do elektryfikacji przy kluczowym wskaźniku efektywności wynoszącym 32 % wskaźnika elektryfikacji w całej gospodarce do 2030 r., co wymagałoby znacznej i ciągłej aktualizacji i wdrożenia projektów dotyczących sieci; ubolewa, że opóźnienia w reagowaniu na wnioski o podłączenie do sieci dystrybucyjnych skutkują wolniejszym tempem elektryfikacji, nawet w państwach członkowskich, w których produkcja energii ze źródeł odnawialnych szybko rośnie;</w:t>
      </w:r>
    </w:p>
    <w:p w14:paraId="3073530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10.</w:t>
      </w:r>
      <w:r w:rsidRPr="00D23C95">
        <w:rPr>
          <w:lang w:val="pl-PL"/>
        </w:rPr>
        <w:tab/>
        <w:t>podkreśla w szczególności kluczową rolę, jaką mogą odegrać społeczności energetyczne we wspieraniu lokalnych gospodarek; ubolewa, że społeczności energetyczne i mniejsi operatorzy napotykają nieproporcjonalne bariery w dostępie do sieci i finansowaniu sieci ze względu na przeszkody regulacyjne i ograniczenia zasobów; w związku z tym wzywa państwa członkowskie, które pozostają w tyle pod tym względem, do pełnego wdrożenia pakietu „Czysta energia”, przepisów pakietu „Gotowi na 55” i dyrektywy w sprawie odnawialnych źródeł energii, umożliwiając obywatelom, gminom, MŚP i przedsiębiorstwom aktywny udział w rynku energii elektrycznej, w szczególności poprzez opracowanie ram sprzyjających społecznościom energetycznym działającym w zakresie energii odnawialnej i promowanie systemów dzielenia się energią; apeluje, aby finansowanie na szczeblu unijnym i krajowym związane z siecią uwzględniało szczególne potrzeby projektów promowanych przez społeczności energetyczne;</w:t>
      </w:r>
    </w:p>
    <w:p w14:paraId="534502F7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BoldItalic"/>
          <w:lang w:val="pl-PL"/>
        </w:rPr>
        <w:t>Sytuacja regulacyjna i wyzwania</w:t>
      </w:r>
    </w:p>
    <w:p w14:paraId="198FAC4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11.</w:t>
      </w:r>
      <w:r w:rsidRPr="00D23C95">
        <w:rPr>
          <w:lang w:val="pl-PL"/>
        </w:rPr>
        <w:tab/>
        <w:t>jest przekonany, że stabilność regulacyjna jest kluczowym warunkiem umożliwiającym odblokowanie prywatnych inwestycji w sieć elektroenergetyczną i, tam gdzie jest to możliwe, w przystępną cenowo elektryfikację gospodarki UE, oraz ponownie podkreśla potrzebę wdrożenia już przyjętych przepisów przed oceną potencjalnych nowych przeglądów;</w:t>
      </w:r>
    </w:p>
    <w:p w14:paraId="37CFEA0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12.</w:t>
      </w:r>
      <w:r w:rsidRPr="00D23C95">
        <w:rPr>
          <w:lang w:val="pl-PL"/>
        </w:rPr>
        <w:tab/>
        <w:t>podkreśla, że zintegrowane planowanie sieci we wszystkich sektorach na szczeblu lokalnym, regionalnym, krajowym i unijnym doprowadzi do zwiększenia wydajności systemu i obniżenia kosztów; w związku z tym wzywa Komisję i państwa członkowskie do podjęcia działań na rzecz zintegrowanego planowania i dopilnowania, aby plany rozwoju sieci elektroenergetycznej były dostosowane do krajowych planów w dziedzinie energii i klimatu na lata 2021–2030 dla wszystkich poziomów napięcia; zauważa, że wzmocnione ramy zarządzania pomogłyby zapewnić zgodność między planami rozwoju sieci a celami polityki na szczeblu krajowym i unijnym; przyznaje, że o ile państwa członkowskie są zobowiązane do składania sprawozdań na temat ich wkładu w realizację celów UE za pośrednictwem krajowych planów w dziedzinie energii i klimatu (KPEiK), obecnie nie ma równoważnego obowiązku systematycznego składania sprawozdań na poziomie UE przez OSP;</w:t>
      </w:r>
    </w:p>
    <w:p w14:paraId="3E51825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13.</w:t>
      </w:r>
      <w:r w:rsidRPr="00D23C95">
        <w:rPr>
          <w:lang w:val="pl-PL"/>
        </w:rPr>
        <w:tab/>
        <w:t>podkreśla, że rozporządzenie TEN-E i projekty będące przedmiotem wspólnego zainteresowania oraz projekty będące przedmiotem wzajemnego zainteresowania są potężnymi narzędziami w rozwoju transgranicznej infrastruktury energetycznej Unii; ubolewa nad niedociągnięciami w obecnym dziesięcioletnim planie rozwoju sieci dla europejskiej infrastruktury elektroenergetycznej, powodującymi, że interesy inwestycyjne nie zaspokajają transgranicznych potrzeb</w:t>
      </w:r>
      <w:r w:rsidRPr="00D23C95">
        <w:rPr>
          <w:rStyle w:val="FootnoteReference"/>
          <w:lang w:val="pl-PL"/>
        </w:rPr>
        <w:footnoteReference w:id="23"/>
      </w:r>
      <w:r w:rsidRPr="00D23C95">
        <w:rPr>
          <w:lang w:val="pl-PL"/>
        </w:rPr>
        <w:t>, a w planowaniu sieci nie wykorzystuje się w pełni transgranicznych i międzysektorowych oszczędności</w:t>
      </w:r>
      <w:r w:rsidRPr="00D23C95">
        <w:rPr>
          <w:rStyle w:val="FootnoteReference"/>
          <w:lang w:val="pl-PL"/>
        </w:rPr>
        <w:footnoteReference w:id="24"/>
      </w:r>
      <w:r w:rsidRPr="00D23C95">
        <w:rPr>
          <w:lang w:val="pl-PL"/>
        </w:rPr>
        <w:t xml:space="preserve">; ponadto ubolewa nad opóźnieniami w realizacji projektów będących przedmiotem wspólnego zainteresowania; wzywa Komisję do wprowadzenia bardziej skoordynowanego, długoterminowego, międzysektorowego planowania w celu osiągnięcia związanych z tym oszczędności i korzyści w całej UE; podkreśla, że takie skoordynowane planowanie mogłoby lepiej ukierunkować podział kosztów infrastruktury między państwami członkowskimi; zauważa, że chociaż rozporządzenie TEN-E umożliwia projektom inteligentnych sieci elektroenergetycznych o oddziaływaniu transgranicznym uzyskanie statusu projektów będących przedmiotem wspólnego zainteresowania bez przekraczania granicy fizycznej, lista takich projektów w 2023 r. obejmowała ich zaledwie pięć; dlatego jest przekonany, że proces dotyczący projektów będących przedmiotem wspólnego zainteresowania wymaga usprawnienia, uproszczenia i włączenia do głównego nurtu, tak aby osiągnąć większą jasność i przejrzystość; wzywa państwa członkowskie do pełnego wdrożenia projektów będących przedmiotem wspólnego zainteresowania; wzywa Komisję do pilnego zaproponowania ukierunkowanego przeglądu rozporządzenia TEN-E, aby (1) wprowadzić solidny proces planowania, łączący odpowiedzialność operatorów systemu ze wzmocnioną rolą ACER poprzez uprawnienie ACER do żądania zmian w scenariuszach i w dziesięcioletnim planie rozwoju sieci (2) zapewnić opracowanie scenariuszy zgodnie z programem dekarbonizacji i umożliwić łatwiejszy dostęp do projektów inteligentnych sieci </w:t>
      </w:r>
      <w:r w:rsidRPr="00D23C95">
        <w:rPr>
          <w:lang w:val="pl-PL"/>
        </w:rPr>
        <w:lastRenderedPageBreak/>
        <w:t>elektroenergetycznych oraz (3) wprowadzić uproszczony proces składania wniosków dla małych i średnich operatorów systemów dystrybucyjnych;</w:t>
      </w:r>
    </w:p>
    <w:p w14:paraId="5801B96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14.</w:t>
      </w:r>
      <w:r w:rsidRPr="00D23C95">
        <w:rPr>
          <w:lang w:val="pl-PL"/>
        </w:rPr>
        <w:tab/>
        <w:t>podkreśla, że planowanie sieci jest procesem długoterminowym, ściśle powiązanym ze stabilnością inwestycji; proponuje zatem wydłużenie ram czasowych w odniesieniu do planów rozwoju sieci do 20 lat; podkreśla, że inwestycje w sieci są pilnie potrzebne w programie UE na rzecz konkurencyjności i nie powinny być opóźniane;</w:t>
      </w:r>
    </w:p>
    <w:p w14:paraId="5532FCBC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15.</w:t>
      </w:r>
      <w:r w:rsidRPr="00D23C95">
        <w:rPr>
          <w:lang w:val="pl-PL"/>
        </w:rPr>
        <w:tab/>
        <w:t>zauważa ponadto, że UE będzie nadal miała silne powiązania w zakresie energii elektrycznej z krajami sąsiadującymi i dlatego uważa, że Komisja powinna zacieśnić taką współpracę z krajami sąsiadującymi przez projekty będące przedmiotem wzajemnego zainteresowania z krajami spoza UE, jak przewidziano w rozporządzeniu TEN-E;</w:t>
      </w:r>
    </w:p>
    <w:p w14:paraId="2016A159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16.</w:t>
      </w:r>
      <w:r w:rsidRPr="00D23C95">
        <w:rPr>
          <w:lang w:val="pl-PL"/>
        </w:rPr>
        <w:tab/>
        <w:t>zdecydowanie podkreśla, że CEF-E okazał się kluczowym instrumentem współfinansowania transgranicznej infrastruktury energetycznej i nalega na jego kontynuację;  z zadowoleniem przyjmuje włączenie projektów dotyczących morskich sieci elektroenergetycznych do najnowszego przydziału dotacji Komisji w ramach CEF-E;</w:t>
      </w:r>
    </w:p>
    <w:p w14:paraId="1F38A023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17.</w:t>
      </w:r>
      <w:r w:rsidRPr="00D23C95">
        <w:rPr>
          <w:lang w:val="pl-PL"/>
        </w:rPr>
        <w:tab/>
        <w:t>uważa, że brak szczegółowych, wiarygodnych i porównywalnych danych na temat planowania sieci krajowych i unijnych stanowi przeszkodę w uzyskaniu bardziej wydajnych sieci; wzywa zatem państwa członkowskie do skrupulatnego wdrożenia odpowiednich przepisów dyrektywy w sprawie energii elektrycznej</w:t>
      </w:r>
      <w:r w:rsidRPr="00D23C95">
        <w:rPr>
          <w:rStyle w:val="FootnoteReference"/>
          <w:lang w:val="pl-PL"/>
        </w:rPr>
        <w:footnoteReference w:id="25"/>
      </w:r>
      <w:r w:rsidRPr="00D23C95">
        <w:rPr>
          <w:lang w:val="pl-PL"/>
        </w:rPr>
        <w:t>, w szczególności jej art. 32, aby zachęcić mniejszych operatorów sieci dystrybucyjnych do stosowania przepisów tego artykułu;</w:t>
      </w:r>
    </w:p>
    <w:p w14:paraId="5A641928" w14:textId="146932CD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18.</w:t>
      </w:r>
      <w:r w:rsidRPr="00D23C95">
        <w:rPr>
          <w:lang w:val="pl-PL"/>
        </w:rPr>
        <w:tab/>
        <w:t>z zadowoleniem przyjmuje sprawozdanie organizacji OSD UE na temat dobrych praktyk w zakresie planów rozwoju sieci dystrybucyjnej</w:t>
      </w:r>
      <w:r w:rsidRPr="00D23C95">
        <w:rPr>
          <w:rStyle w:val="FootnoteReference"/>
          <w:lang w:val="pl-PL"/>
        </w:rPr>
        <w:footnoteReference w:id="26"/>
      </w:r>
      <w:r w:rsidRPr="00D23C95">
        <w:rPr>
          <w:lang w:val="pl-PL"/>
        </w:rPr>
        <w:t xml:space="preserve">, w którym wzywa się państwa członkowskie do uwzględnienia w ich planach rozwoju sieci dystrybucyjnej analiz kosztów i korzyści w celu oceny możliwości inwestycyjnych; wzywa Komisję do opracowania wytycznych na podstawie niniejszego sprawozdania, we współpracy z organizacją OSD UE, w celu zharmonizowania i zwiększenia przejrzystości krajowego planowania rozwoju sieci dystrybucyjnych, do opublikowania europejskiego przeglądu planów rozwoju sieci dystrybucyjnej oraz do zobowiązania wszystkich operatorów systemów przesyłowych i dystrybucyjnych do dostarczania organom regulacyjnym energetyki niezbędnych danych dotyczących informacji na temat ich obecnej i przyszłej zdolności hostingowej sieci i planowania sieci, aby umożliwić tym organom odpowiedni nadzór nad planowaniem sieci; wzywa państwa członkowskie do wdrożenia art. 31 ust. 3 dyrektywy </w:t>
      </w:r>
      <w:r w:rsidR="00833EFF">
        <w:rPr>
          <w:lang w:val="pl-PL"/>
        </w:rPr>
        <w:t>(UE) </w:t>
      </w:r>
      <w:r w:rsidRPr="00D23C95">
        <w:rPr>
          <w:lang w:val="pl-PL"/>
        </w:rPr>
        <w:t xml:space="preserve">2024/1711, który zobowiązuje operatorów sieci do publikowania informacji na temat dostępnej zdolności w ich obszarze działalności, aby zapewnić przejrzystość i umożliwić zainteresowanym stronom podejmowanie świadomych decyzji inwestycyjnych; wzywa Komisję do opracowania </w:t>
      </w:r>
      <w:r w:rsidRPr="00D23C95">
        <w:rPr>
          <w:lang w:val="pl-PL"/>
        </w:rPr>
        <w:lastRenderedPageBreak/>
        <w:t>scentralizowanego internetowego repozytorium wszystkich planów przesyłu i planów rozwoju sieci dystrybucyjnej;</w:t>
      </w:r>
    </w:p>
    <w:p w14:paraId="4D260772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19.</w:t>
      </w:r>
      <w:r w:rsidRPr="00D23C95">
        <w:rPr>
          <w:lang w:val="pl-PL"/>
        </w:rPr>
        <w:tab/>
        <w:t>zwraca uwagę na poważne ryzyko, jakie dla opłacalności inwestycji w odnawialne źródła energii stwarzają ograniczenia wytwarzania energii, zwłaszcza biorąc pod uwagę, że wiele państw członkowskich nie rekompensuje uczestników rynku za te ograniczenia, pomimo wymogów określonych w art. 12 i 13 rozporządzenia (UE) 2019/943; wyraża ubolewanie z powodu braku przejrzystości, dostępności i szczegółowości danych dotyczących ograniczeń wytwarzania energii odnawialnej i kosztów zarządzania ograniczeniami przesyłowymi;</w:t>
      </w:r>
    </w:p>
    <w:p w14:paraId="46F87A2E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20.</w:t>
      </w:r>
      <w:r w:rsidRPr="00D23C95">
        <w:rPr>
          <w:lang w:val="pl-PL"/>
        </w:rPr>
        <w:tab/>
        <w:t>podkreśla wartość udostępnienia jasnych wskaźników pozwalających stwierdzić, czy UE jest na dobrej drodze do zapewnienia rozbudowy i wzmocnienia sieci niezbędnej do osiągnięcia celów na rok 2050; zauważa, że takie wskaźniki mogłyby obejmować zmniejszenie ograniczeń wytwarzania energii odnawialnej, niższe koszty rozwoju sieci w stosunku do ilości dostarczonej zdolności, zwiększenie efektywnego wykorzystania istniejącej infrastruktury, zmniejszenie strat i mniejszą intensywność wykorzystania surowców;</w:t>
      </w:r>
    </w:p>
    <w:p w14:paraId="4574016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21.</w:t>
      </w:r>
      <w:r w:rsidRPr="00D23C95">
        <w:rPr>
          <w:lang w:val="pl-PL"/>
        </w:rPr>
        <w:tab/>
        <w:t>odnotowuje prace wykonane przez ENTSO-E i organizację OSD UE nad zharmonizowanymi definicjami dostępnej zdolności hostingowej sieci dla operatorów systemów oraz nad ustanowieniem ogólnounijnego przeglądu w tym zakresie; uważa, że krajowe organy regulacyjne mogłyby skorzystać z jasnych przepisów dotyczących sposobu, w jaki państwa członkowskie mogą priorytetowo traktować przyłączenia do sieci, aby zrezygnować z zasady „kto pierwszy, ten lepszy”; w związku z tym zwraca się do Komisji o zmianę art. 6 dyrektywy (UE) 2019/944 w sprawie rynku wewnętrznego energii elektrycznej w ramach przeglądu wdrażania, który Komisja musi zakończyć do 31 grudnia 2025 r., a w związku z tym o wprowadzenie przejrzystych priorytetowych kryteriów przyłączenia, które mają zostać wybrane i doprecyzowane przez państwa członkowskie w odniesieniu do 1) przyłączenia zdolności produkcyjnych – takich jak jakość i dojrzałość projektu, poziom zaangażowania, wkład w dekarbonizację, wartość społeczna oraz 2) przyłączenia konsumentów – takich jak jakość i dojrzałość projektu, poziom zaangażowania, wkład w dekarbonizację, interes publiczny lub jego wartość strategiczna i/lub społeczna oraz optymalizacja sieci; wzywa krajowe organy regulacyjne państw członkowskich do zapewnienia jasnych zasad ustalania priorytetów zgodnie z ich specyfiką lokalną i krajową, aby umożliwić odejście od podejścia „kto pierwszy, ten lepszy” poprzez zniechęcanie do składania wniosków o przyłączenie, gdy nie są one poparte solidnym projektem lub gdy są spekulacyjne, lub gdy projektodawca nie może wykazać wystarczającego zaangażowania w realizację projektu;</w:t>
      </w:r>
    </w:p>
    <w:p w14:paraId="0E671D0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22.</w:t>
      </w:r>
      <w:r w:rsidRPr="00D23C95">
        <w:rPr>
          <w:lang w:val="pl-PL"/>
        </w:rPr>
        <w:tab/>
        <w:t>podkreśla, że usprawnione połączenia transgraniczne oferują znaczący potencjał oszczędności kosztów na poziomie całego systemu – szacuje się, że roczne oszczędności w kosztach wytwarzania mogą wynieść 9 mld EUR do 2040 r., podczas gdy wymagane roczne inwestycje w infrastrukturę transgraniczną i zdolności magazynowe wynoszą 6 mld EUR;</w:t>
      </w:r>
    </w:p>
    <w:p w14:paraId="24D116AB" w14:textId="55CD821F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23.</w:t>
      </w:r>
      <w:r w:rsidRPr="00D23C95">
        <w:rPr>
          <w:lang w:val="pl-PL"/>
        </w:rPr>
        <w:tab/>
        <w:t>ubolewa, że niektóre państwa członkowskie nie osiągnęły celu, jakim jest 10 % połączeń międzysystemowych do 2020 r., i wzywa je, by dążyły do osiągnięcia obecnego celu 15 % połączeń międzysystemowych do 2030 r., zgodnie z rozporządzeniem (UE)</w:t>
      </w:r>
      <w:r w:rsidR="00833EFF">
        <w:rPr>
          <w:lang w:val="pl-PL"/>
        </w:rPr>
        <w:t xml:space="preserve"> </w:t>
      </w:r>
      <w:r w:rsidRPr="00D23C95">
        <w:rPr>
          <w:lang w:val="pl-PL"/>
        </w:rPr>
        <w:t xml:space="preserve">2018/1999, ponieważ zdolności połączeń międzysystemowych </w:t>
      </w:r>
      <w:r w:rsidRPr="00D23C95">
        <w:rPr>
          <w:lang w:val="pl-PL"/>
        </w:rPr>
        <w:lastRenderedPageBreak/>
        <w:t>mają kluczowe znaczenie dla funkcjonowania unijnego rynku wewnętrznego energii elektrycznej, co prowadzi do znacznej oszczędności kosztów na poziomie systemu i obniży koszty wytwarzania energii o 9 mld EUR rocznie do 2040 r.</w:t>
      </w:r>
      <w:r w:rsidRPr="00D23C95">
        <w:rPr>
          <w:rStyle w:val="FootnoteReference"/>
          <w:lang w:val="pl-PL"/>
        </w:rPr>
        <w:footnoteReference w:id="27"/>
      </w:r>
      <w:r w:rsidRPr="00D23C95">
        <w:rPr>
          <w:lang w:val="pl-PL"/>
        </w:rPr>
        <w:t>; ubolewa, że dotychczas nie podjęto działań w celu zapewnienia 32 GW zdolności transgranicznej, która będzie niezbędna do 2030 r.</w:t>
      </w:r>
      <w:r w:rsidRPr="00D23C95">
        <w:rPr>
          <w:rStyle w:val="FootnoteReference"/>
          <w:lang w:val="pl-PL"/>
        </w:rPr>
        <w:footnoteReference w:id="28"/>
      </w:r>
      <w:r w:rsidRPr="00D23C95">
        <w:rPr>
          <w:lang w:val="pl-PL"/>
        </w:rPr>
        <w:t>; ubolewa nad opóźnieniami i niepewnością wokół kilku projektów dotyczących połączeń międzysystemowych; w związku z tym wzywa Komisję, aby najpóźniej do czerwca 2026 r. zaproponowała wiążący cel w zakresie połączeń międzysystemowych na 2036 r. w oparciu o ocenę potrzeb; podkreśla potrzebę współpracy z państwami członkowskimi niebędącymi gospodarzami oraz zaangażowania UE i krajów z nią sąsiadujących w negocjacje, aby zapewnić zakończenie projektów;</w:t>
      </w:r>
    </w:p>
    <w:p w14:paraId="045F6D6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24.</w:t>
      </w:r>
      <w:r w:rsidRPr="00D23C95">
        <w:rPr>
          <w:lang w:val="pl-PL"/>
        </w:rPr>
        <w:tab/>
        <w:t>podkreśla potrzebę przyspieszenia procedur wydawania pozwoleń na infrastrukturę elektroenergetyczną; podkreśla, że rozbudowa sieci nie powinna być opóźniana z powodu długotrwałych procedur wydawania pozwoleń lub nadmiernych wymogów sprawozdawczych; w związku z tym z zadowoleniem przyjmuje pozytywne postępy poczynione w odniesieniu do przepisów przyjętych w czasie ostatniego przeglądu dyrektywy w sprawie odnawialnych źródeł energii, w szczególności jej art. 16f, oraz rozporządzenia nadzwyczajnego w sprawie wydawania zezwoleń</w:t>
      </w:r>
      <w:r w:rsidRPr="00D23C95">
        <w:rPr>
          <w:rStyle w:val="FootnoteReference"/>
          <w:lang w:val="pl-PL"/>
        </w:rPr>
        <w:footnoteReference w:id="29"/>
      </w:r>
      <w:r w:rsidRPr="00D23C95">
        <w:rPr>
          <w:lang w:val="pl-PL"/>
        </w:rPr>
        <w:t>, aby przyspieszyć, usprawnić i uprościć procedury wydawania pozwoleń na projekty dotyczące sieci i energii odnawialnej, w szczególności zasadę nadrzędnego interesu publicznego w odniesieniu do projektów sieciowych; zauważa jednak, że niektóre państwa członkowskie nie odnotowały istotnej poprawy terminów wydawania pozwoleń na projekty pomimo ambitnych ram ustanowionych na szczeblu UE; w związku z tym wzywa państwa członkowskie do niezwłocznego wdrożenia tych środków i wzywa Komisję do ścisłego monitorowania wdrażania dyrektywy w sprawie odnawialnych źródeł energii oraz do regularnej oceny, czy zmienione przepisy dotyczące pozwoleń są wystarczające do osiągnięcia celów UE; ponadto wzywa Komisję do określenia wytycznych dla państw członkowskich w celu włączenia zasady milczącej zgody do ich krajowych systemów planowania, zgodnie z art. 16a dyrektywy w sprawie odnawialnych źródeł energii; podkreśla, że wzmocnienie zdolności administracyjnych, w tym poprzez odpowiednia liczbę pracowników organów ds. planowania i wydawania pozwoleń, przyspieszy procedury wydawania pozwoleń;</w:t>
      </w:r>
    </w:p>
    <w:p w14:paraId="5BF49C4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25.</w:t>
      </w:r>
      <w:r w:rsidRPr="00D23C95">
        <w:rPr>
          <w:lang w:val="pl-PL"/>
        </w:rPr>
        <w:tab/>
        <w:t xml:space="preserve">zachęca państwa członkowskie do opracowania planów wyznaczenia specjalnych obszarów infrastruktury na potrzeby projektów dotyczących sieci zgodnie z art. 15e dyrektywy w sprawie energii odnawialnej; podkreśla, że takie plany są niezbędne do uwzględnienia specyfiki lokalnej i zapewnienia poszanowania obszarów chronionych; zwraca uwagę, że aby zapewnić sprawne, skuteczne i zintegrowane podejście do </w:t>
      </w:r>
      <w:r w:rsidRPr="00D23C95">
        <w:rPr>
          <w:lang w:val="pl-PL"/>
        </w:rPr>
        <w:lastRenderedPageBreak/>
        <w:t>rozwoju infrastruktury energetycznej, plany te powinny być ściśle skoordynowane z wyznaczeniem obszarów przyspieszonego rozwoju energii ze źródeł odnawialnych;</w:t>
      </w:r>
    </w:p>
    <w:p w14:paraId="521C0870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26.</w:t>
      </w:r>
      <w:r w:rsidRPr="00D23C95">
        <w:rPr>
          <w:lang w:val="pl-PL"/>
        </w:rPr>
        <w:tab/>
        <w:t>zauważa, że często dokumenty należy składać w formie papierowej; wzywa państwa członkowskie do większej cyfryzacji tych procedur, aby przyspieszyć procedury wydawania pozwoleń; wzywa Komisję i państwa członkowskie do przeglądu całego prawodawstwa UE dotyczącego pozwoleń, takiego jak dyrektywa w sprawie oceny oddziaływania na środowisko</w:t>
      </w:r>
      <w:r w:rsidRPr="00D23C95">
        <w:rPr>
          <w:rStyle w:val="FootnoteReference"/>
          <w:lang w:val="pl-PL"/>
        </w:rPr>
        <w:footnoteReference w:id="30"/>
      </w:r>
      <w:r w:rsidRPr="00D23C95">
        <w:rPr>
          <w:lang w:val="pl-PL"/>
        </w:rPr>
        <w:t>, w celu wprowadzenia obowiązkowych wymogów dotyczących wniosków w formacie cyfrowym, ich składania i przetwarzania;</w:t>
      </w:r>
    </w:p>
    <w:p w14:paraId="187C96D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27.</w:t>
      </w:r>
      <w:r w:rsidRPr="00D23C95">
        <w:rPr>
          <w:lang w:val="pl-PL"/>
        </w:rPr>
        <w:tab/>
        <w:t>podkreśla znaczenie akceptacji społecznej i zaangażowania publicznego przy opracowywaniu nowych projektów dotyczących sieci i wzywa Komisję do opracowania w związku z tym zestawu najlepszych praktyk, które będą udostępniane państwom członkowskim; podkreśla kluczowe znaczenie skutecznej komunikacji z obywatelami i społecznościami w odniesieniu do projektów sieciowych i wzmocnienia; zauważa, że wsparcie na szczeblu lokalnym może przyczynić się do przyspieszenia realizacji infrastruktury krytycznej, a tym samym do osiągnięcia celów na szczeblu krajowym i unijnym; wzywa do szybkiego wdrożenia unijnego paktu na rzecz współpracy z sektorem energii elektrycznej i koordynacji z krajowymi sygnatariuszami (OSP, OSD, krajowe organy regulacyjne) w celu zagwarantowania wczesnego, znaczącego i regularnego udziału społeczeństwa w projektach sieciowych;</w:t>
      </w:r>
    </w:p>
    <w:p w14:paraId="7EB29980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28.</w:t>
      </w:r>
      <w:r w:rsidRPr="00D23C95">
        <w:rPr>
          <w:lang w:val="pl-PL"/>
        </w:rPr>
        <w:tab/>
        <w:t>postuluje zwołanie grupy ds. pozwoleń w kontekście TAIEX</w:t>
      </w:r>
      <w:r w:rsidRPr="00D23C95">
        <w:rPr>
          <w:rStyle w:val="FootnoteReference"/>
          <w:lang w:val="pl-PL"/>
        </w:rPr>
        <w:footnoteReference w:id="31"/>
      </w:r>
      <w:r w:rsidRPr="00D23C95">
        <w:rPr>
          <w:lang w:val="pl-PL"/>
        </w:rPr>
        <w:t xml:space="preserve"> w ramach przyszłego pakietu dotyczącego europejskich sieci energetycznych, aby wspierać państwa członkowskie w rozwiązaniu problemu wąskich gardeł administracyjnych, zwiększaniu zdolności regulacyjnych i przyspieszaniu zatwierdzania projektów przez wymianę najlepszych praktyk i koordynację transgraniczną;</w:t>
      </w:r>
    </w:p>
    <w:p w14:paraId="24B7D1F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29.</w:t>
      </w:r>
      <w:r w:rsidRPr="00D23C95">
        <w:rPr>
          <w:lang w:val="pl-PL"/>
        </w:rPr>
        <w:tab/>
        <w:t>z zadowoleniem przyjmuje inicjatywy zapowiedziane w ramach planu działania na rzecz przystępnej cenowo energii; zaleca, by Komisja rozszerzyła "trójstronną umowę na rzecz przystępnej cenowo energii dla europejskiego przemysłu” na mniejszych producentów energii, w tym społeczności energetyczne, małe i średnie przedsiębiorstwa, wykorzystując elastyczność i odpowiedź odbioru, a także powiązała rezultaty osiągnięte przez te struktury współpracy z procesami planowania sieci na szczeblu krajowym i unijnym w celu optymalizacji planowania, inwestycji i wykorzystania sieci od początkowych etapów;</w:t>
      </w:r>
    </w:p>
    <w:p w14:paraId="3AFDC99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30.</w:t>
      </w:r>
      <w:r w:rsidRPr="00D23C95">
        <w:rPr>
          <w:lang w:val="pl-PL"/>
        </w:rPr>
        <w:tab/>
        <w:t xml:space="preserve">podkreśla potrzebę usprawnienia ram zamówień publicznych w celu sprostania wyzwaniom związanym z łańcuchami dostaw, przed którymi stoją operatorzy sieci; w związku z tym z zadowoleniem przyjmuje komunikat Komisji w sprawie Paktu dla czystego przemysłu oraz zapowiedź przez Komisję zbliżającego się przeglądu dyrektyw </w:t>
      </w:r>
      <w:r w:rsidRPr="00D23C95">
        <w:rPr>
          <w:lang w:val="pl-PL"/>
        </w:rPr>
        <w:lastRenderedPageBreak/>
        <w:t>w sprawie zamówień publicznych</w:t>
      </w:r>
      <w:r w:rsidRPr="00D23C95">
        <w:rPr>
          <w:rStyle w:val="FootnoteReference"/>
          <w:lang w:val="pl-PL"/>
        </w:rPr>
        <w:footnoteReference w:id="32"/>
      </w:r>
      <w:r w:rsidRPr="00D23C95">
        <w:rPr>
          <w:lang w:val="pl-PL"/>
        </w:rPr>
        <w:t>; podkreśla potencjał zamówień publicznych dla dalszego rozwoju silnego unijnego łańcucha dostaw na potrzeby produkcji urządzeń, oprogramowania i usług na potrzeby sieci elektroenergetycznych; zachęca Komisję do wspierania odporności, zrównoważonego rozwoju i bezpieczeństwa w procedurach zamówień publicznych dla operatorów sieci; opowiada się za większą spójnością przepisów UE dotyczących zamówień publicznych; wzywa Komisję do dostosowania przepisów UE dotyczących zamówień publicznych w celu harmonizacji i uproszczenia funkcjonalnych specyfikacji istotnych warunków zamówienia w celu zwiększenia zdolności produkcyjnych elementów sieci;</w:t>
      </w:r>
    </w:p>
    <w:p w14:paraId="352A904D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31.</w:t>
      </w:r>
      <w:r w:rsidRPr="00D23C95">
        <w:rPr>
          <w:lang w:val="pl-PL"/>
        </w:rPr>
        <w:tab/>
        <w:t>uważa, że odpowiednia normalizacja i wspólne specyfikacje techniczne są niezbędne do osiągnięcia korzyści skali i przyspieszenia rozwoju technologii; uważa ponadto, że zasadnicze znaczenie ma zapewnienie odpowiedniego poziomu normalizacji, aby nie ograniczać zdolności innowacyjnych producentów;</w:t>
      </w:r>
    </w:p>
    <w:p w14:paraId="3CEE9E8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32.</w:t>
      </w:r>
      <w:r w:rsidRPr="00D23C95">
        <w:rPr>
          <w:lang w:val="pl-PL"/>
        </w:rPr>
        <w:tab/>
        <w:t>ponownie podkreśla potrzebę rozważenia nowych modeli biznesowych między producentami urządzeń a operatorami, takich jak długoterminowe umowy ramowe, które zachęcają do przejścia od jednorazowych „projektów sieciowych” do trwałych i ustrukturyzowanych „programów sieciowych”, których wynikiem jest bardziej przewidywalne planowanie dla producentów technologii sieciowych; wzywa do usprawnienia procedur przetargowych na dostarczanie urządzeń i usług sieciowych;</w:t>
      </w:r>
    </w:p>
    <w:p w14:paraId="2944A8F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33.</w:t>
      </w:r>
      <w:r w:rsidRPr="00D23C95">
        <w:rPr>
          <w:lang w:val="pl-PL"/>
        </w:rPr>
        <w:tab/>
        <w:t>podkreśla, że ten zbliżający się przegląd dyrektyw w sprawie zamówień publicznych umożliwi włączenie kryteriów zrównoważonego rozwoju, odporności i preferencji europejskich do unijnych procedur udzielania zamówień publicznych w sektorach strategicznych, zgodnie z przepisami określonymi w art. 25 rozporządzenia (UE) 2024/1735</w:t>
      </w:r>
      <w:r w:rsidRPr="00D23C95">
        <w:rPr>
          <w:rStyle w:val="FootnoteReference"/>
          <w:lang w:val="pl-PL"/>
        </w:rPr>
        <w:footnoteReference w:id="33"/>
      </w:r>
      <w:r w:rsidRPr="00D23C95">
        <w:rPr>
          <w:lang w:val="pl-PL"/>
        </w:rPr>
        <w:t>; apeluje o wyraźne uznanie sieci i powiązanych technologii za sektory strategiczne, aby zapewnić ich kwalifikowalność w zmienionych ramach; podkreśla, że wzmocnienie preferencji europejskich w procedurach zamówień publicznych ma zasadnicze znaczenie dla zmniejszenia zależności UE od dostawców spoza UE, zwiększenia bezpieczeństwa łańcucha dostaw i wspierania odpornej unijnej bazy przemysłowej zdolnej do wspierania transformacji energetycznej; z zadowoleniem przyjmuje wprowadzenie przez Europejski Bank Inwestycyjny (EBI) pakietu dotyczącego produkcji elementów sieci energetycznych w celu wsparcia europejskiego łańcucha dostaw kwotą co najmniej 1,5 mld EUR w ramach kontrgwarancji dla producentów elementów sieci; apeluje o opracowanie dalszych podobnych instrumentów finansowych w celu zapewnienia długoterminowej pewności inwestycji i przyspieszenia zwiększania europejskich zdolności produkcyjnych;</w:t>
      </w:r>
    </w:p>
    <w:p w14:paraId="4A12D23D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BoldItalic"/>
          <w:lang w:val="pl-PL"/>
        </w:rPr>
        <w:t>Finansowanie</w:t>
      </w:r>
    </w:p>
    <w:p w14:paraId="4F184514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34.</w:t>
      </w:r>
      <w:r w:rsidRPr="00D23C95">
        <w:rPr>
          <w:lang w:val="pl-PL"/>
        </w:rPr>
        <w:tab/>
        <w:t>zauważa, że w ciągu ostatnich pięciu lat globalne inwestycje w zdolności energetyczne wzrosły o prawie 40 %, a inwestycje w infrastrukturę sieciową pozostały w tyle; zauważa, że szacunki dotyczące inwestycji, które UE będzie musiała poczynić w swoją sieć w latach 2025–2050, wahają się od 1 950 mld EUR do 2 600 mld EUR</w:t>
      </w:r>
      <w:r w:rsidRPr="00D23C95">
        <w:rPr>
          <w:rStyle w:val="FootnoteReference"/>
          <w:lang w:val="pl-PL"/>
        </w:rPr>
        <w:footnoteReference w:id="34"/>
      </w:r>
      <w:r w:rsidRPr="00D23C95">
        <w:rPr>
          <w:lang w:val="pl-PL"/>
        </w:rPr>
        <w:t>;</w:t>
      </w:r>
    </w:p>
    <w:p w14:paraId="711EDEB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35.</w:t>
      </w:r>
      <w:r w:rsidRPr="00D23C95">
        <w:rPr>
          <w:lang w:val="pl-PL"/>
        </w:rPr>
        <w:tab/>
        <w:t>z niepokojem zauważa, że budżet przyznany w ramach i CEF-E był niewystarczający, aby przyspieszyć realizację wszystkich kategorii projektów będących przedmiotem wspólnego zainteresowania i projektów będących przedmiotem wzajemnego zainteresowania; zauważa, że przy budżecie w wysokości 5,84 mld EUR na lata 2021–2027 program ma ograniczone możliwości i może mieć trudności z zaspokojeniem potrzeb inwestycyjnych; wzywa Komisję i państwa członkowskie, aby przy proponowaniu kolejnych wieloletnich ram finansowych (WRF) znacznie zwiększyły pulę środków CEF-E i odsetek funduszy CEF-E przeznaczonych na infrastrukturę elektroenergetyczną jako oddzielny odpowiedni zasób, a także zadbały o to, by projekty zarówno na poziomie dystrybucji, jak i przesyłu o unijnej wartości dodanej kwalifikowały się do budżetu przydzielonego w ramach CEF-E; zachęca Komisję do dalszego zbadania możliwości współfinansowania między CEF-E a mechanizmem finansowania energii ze źródeł odnawialnych;</w:t>
      </w:r>
    </w:p>
    <w:p w14:paraId="4852F323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36.</w:t>
      </w:r>
      <w:r w:rsidRPr="00D23C95">
        <w:rPr>
          <w:lang w:val="pl-PL"/>
        </w:rPr>
        <w:tab/>
        <w:t>stwierdza, że fundusze unijne przeznaczane są głównie na sieci przesyłowe, przy stosunkowo niewielkich alokacjach na sieci dystrybucyjne, pomimo ich istotnej roli w transformacji energetycznej UE, czego dowodem jest fakt, że w latach 2014–2020 w ramach CEF-E sfinansowano projekty o wartości około 5,3 mld EUR, z czego około 1,7 mld EUR dotyczyło sieci przesyłowych, a 237 mln EUR – inteligentnych sieci dystrybucyjnych; zauważa, że ostatni wykaz projektów będących przedmiotem wspólnego zainteresowania zawierał tylko pięć projektów dotyczących inteligentnej energii elektrycznej;</w:t>
      </w:r>
    </w:p>
    <w:p w14:paraId="31466BD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37.</w:t>
      </w:r>
      <w:r w:rsidRPr="00D23C95">
        <w:rPr>
          <w:lang w:val="pl-PL"/>
        </w:rPr>
        <w:tab/>
        <w:t>wyraża głębokie ubolewanie, że choć fundusze regionalne, takie jak Fundusz Spójności, Europejski Fundusz Rozwoju Regionalnego czy Instrument na rzecz Odbudowy i Zwiększania Odporności, co do zasady obejmują inwestycje w sieci, w praktyce są niedostatecznie wykorzystywane na projekty sieciowe; ubolewa również, że kryteria oceny projektów przedłożonych w odpowiedzi na zaproszenia do składania wniosków w ramach unijnego funduszu innowacyjnego uniemożliwiają finansowanie demonstracji i produkcji technologii sieciowych; wzywa Komisję i państwa członkowskie do dopilnowania, by proporcjonalną część tych funduszy przeznaczać również na inwestycje w sieci;</w:t>
      </w:r>
    </w:p>
    <w:p w14:paraId="75A4070C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38.</w:t>
      </w:r>
      <w:r w:rsidRPr="00D23C95">
        <w:rPr>
          <w:lang w:val="pl-PL"/>
        </w:rPr>
        <w:tab/>
        <w:t>wzywa państwa członkowskie do ułatwienia operatorom sieci dostępu do funduszy UE zarządzanych przez państwa członkowskie, na przykład dzięki ustanowieniu punktu kompleksowej obsługi w tych państwach członkowskich, w których duży udział OSD stanowią MŚP;</w:t>
      </w:r>
    </w:p>
    <w:p w14:paraId="30AF3F70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39.</w:t>
      </w:r>
      <w:r w:rsidRPr="00D23C95">
        <w:rPr>
          <w:lang w:val="pl-PL"/>
        </w:rPr>
        <w:tab/>
        <w:t xml:space="preserve">wzywa Komisję, by zaproponowała specjalny instrument finansowania, taki jak instrument oparty na dochodach z rynkowego systemu redukcji emisji, aby umożliwić państwom członkowskim wspieranie zdecentralizowanych i innowacyjnych projektów </w:t>
      </w:r>
      <w:r w:rsidRPr="00D23C95">
        <w:rPr>
          <w:lang w:val="pl-PL"/>
        </w:rPr>
        <w:lastRenderedPageBreak/>
        <w:t>sieciowych o wyraźnej unijnej wartości dodanej, w tym mniejszych projektów, co zapewni skuteczne wykorzystanie instrumentu przez państwa członkowskie do tych celów;</w:t>
      </w:r>
    </w:p>
    <w:p w14:paraId="4E216AB4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40.</w:t>
      </w:r>
      <w:r w:rsidRPr="00D23C95">
        <w:rPr>
          <w:lang w:val="pl-PL"/>
        </w:rPr>
        <w:tab/>
        <w:t>zwraca uwagę na potrzebę zapewnienia ram regulacyjnych w celu przyciągnięcia prywatnych inwestycji i zagwarantowania taryf odzwierciedlających koszty, w uzupełnieniu mechanizmów finansowania publicznego;</w:t>
      </w:r>
    </w:p>
    <w:p w14:paraId="73074C03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41.</w:t>
      </w:r>
      <w:r w:rsidRPr="00D23C95">
        <w:rPr>
          <w:lang w:val="pl-PL"/>
        </w:rPr>
        <w:tab/>
        <w:t>jest przekonany, że inwestycje wyprzedzające i przyszłościowe pomogą zaradzić wąskim gardłom w sieci i zapobiec nakładaniu ograniczeń; zwraca uwagę, że w rozporządzeniu w sprawie struktury rynku energii elektrycznej określono elementy regulacyjne dotyczące inwestycji wyprzedzających, ale brak w nim zharmonizowanej definicji i wdrożenia w całej Unii; wzywa państwa członkowskie do szybkiego wdrożenia ww. przepisów rozporządzenia w sprawie struktury rynku energii elektrycznej i usunięcia krajowych barier prawnych, krajowe organy regulacyjne do usunięcia barier związanych z zachętami regulacyjnymi i czynnikami zniechęcającymi, a Komisję do pilnego przedstawienia wytycznych dotyczących zatwierdzania inwestycji wyprzedzających, zgodnie z planem działania na rzecz sieci</w:t>
      </w:r>
      <w:r w:rsidRPr="00D23C95">
        <w:rPr>
          <w:rStyle w:val="FootnoteReference"/>
          <w:lang w:val="pl-PL"/>
        </w:rPr>
        <w:footnoteReference w:id="35"/>
      </w:r>
      <w:r w:rsidRPr="00D23C95">
        <w:rPr>
          <w:lang w:val="pl-PL"/>
        </w:rPr>
        <w:t>; uważa, że dalsza harmonizacja w tym zakresie może być korzystna; wzywa do przeprowadzenia szczegółowych analiz kosztów i korzyści oraz planowania opartego na scenariuszach, aby ocenić prawdopodobieństwo przyszłego wykorzystania, oraz zaleca dwuetapowy proces zatwierdzania projektów o wyższym poziomie ryzyka – najpierw zatwierdzenie mniejszych budżetów na badania lub planowanie, a następnie drugie zatwierdzenie bardziej kosztownych etapów w celu zmniejszenia ryzyka aktywów osieroconych;</w:t>
      </w:r>
    </w:p>
    <w:p w14:paraId="79FBFA02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42.</w:t>
      </w:r>
      <w:r w:rsidRPr="00D23C95">
        <w:rPr>
          <w:lang w:val="pl-PL"/>
        </w:rPr>
        <w:tab/>
        <w:t>stwierdza, że inwestycje w sieci realizowane za pośrednictwem rynków kapitałowych można wspierać przez stworzenie warunków rynkowych obejmujących np. odpowiednie stopy zwrotu i solidne ramy regulacyjne; podkreśla, że UE i państwa członkowskie powinny sprzyjać prywatnym inwestycjom, zapewniając narzędzia ograniczające ryzyko lub gwarancje państw członkowskich; wzywa Komisję i EBI do dalszego wzmacniania inicjatyw i narzędzi w zakresie finansowania i ograniczania ryzyka, takich jak kontrgwarancje, w celu wsparcia dalszej rozbudowy i modernizacji sieci elektroenergetycznej po przystępnych cenach dla operatorów systemów; podkreśla, że trzeba dopilnować, by unijna sieć elektroenergetyczna była finansowana z kapitału publicznego i prywatnego pochodzącego wyłącznie od podmiotów z UE lub uprzednio sprawdzonych inwestorów spoza UE, z uwagi na krytyczny charakter infrastruktury, a co za tym idzie, by była własnością takich podmiotów;</w:t>
      </w:r>
    </w:p>
    <w:p w14:paraId="52B326B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43.</w:t>
      </w:r>
      <w:r w:rsidRPr="00D23C95">
        <w:rPr>
          <w:lang w:val="pl-PL"/>
        </w:rPr>
        <w:tab/>
        <w:t xml:space="preserve">podkreśla, że chociaż przy podejmowaniu decyzji inwestycyjnych należy kierować się efektywnością, w tym efektywnością energetyczną i kosztową, inwestycje nie powinny koncentrować się wyłącznie na nakładach inwestycyjnych oraz że należy w równym stopniu uwzględnić inwestycje, które optymalizują, odnawiają i modernizują istniejącą infrastrukturę; w związku z tym z zadowoleniem przyjmuje art. 18 rozporządzenia w sprawie struktury rynku energii elektrycznej, w którym zaapelowano, aby metody ustalania taryf w równym stopniu uwzględniały zarówno nakłady inwestycyjne, jak i koszty operacyjne, oraz wynagradzały operatorów za zwiększanie efektywności w eksploatacji i rozwoju ich sieci, w tym dzięki efektywności energetycznej, elastyczności i cyfryzacji; wzywa Komisję i państwa członkowskie do szczegółowego wdrożenia </w:t>
      </w:r>
      <w:r w:rsidRPr="00D23C95">
        <w:rPr>
          <w:lang w:val="pl-PL"/>
        </w:rPr>
        <w:lastRenderedPageBreak/>
        <w:t>przepisów rozporządzenia i skoncentrowania się na zagwarantowaniu sprawiedliwej i terminowej rekompensaty kosztów ponoszonych przez operatorów systemów;</w:t>
      </w:r>
    </w:p>
    <w:p w14:paraId="3DE154C2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44.</w:t>
      </w:r>
      <w:r w:rsidRPr="00D23C95">
        <w:rPr>
          <w:lang w:val="pl-PL"/>
        </w:rPr>
        <w:tab/>
        <w:t>zauważa, że elektryfikacja gospodarki UE, o ile jest to technicznie i ekonomicznie wykonalne, pomogłaby obniżyć taryfy sieciowe poprzez rozłożenie kosztów na szersze grona użytkowników; podkreśla w związku z tym znaczenie zapewnienia, aby rozwój przyszłej sieci był w pełni dostosowany do prognoz zapotrzebowania wynikających ze wzrostu poziomu elektryfikacji; jest zaniepokojony faktem, że eksperci przewidują wzrost taryf sieciowych o około 50–100 % do 2050 r.</w:t>
      </w:r>
      <w:r w:rsidRPr="00D23C95">
        <w:rPr>
          <w:rStyle w:val="FootnoteReference"/>
          <w:lang w:val="pl-PL"/>
        </w:rPr>
        <w:footnoteReference w:id="36"/>
      </w:r>
      <w:r w:rsidRPr="00D23C95">
        <w:rPr>
          <w:lang w:val="pl-PL"/>
        </w:rPr>
        <w:t>; podkreśla zatem konieczność wprowadzenia instrumentów i zachęt wspierających operatorów sieci w efektywnym zarządzaniu dostępną przepustowością sieci, w tym przez zamówienia usług w zakresie elastyczności, tak aby zmniejszyć nieuniknione potrzeby inwestycyjne; zaznacza, że elastyczne umowy przyłączeniowe, elastyczne taryfy sieciowe i lokalne rynki elastyczności przyczyniają się do zwiększenia wydajności sieci; zachęca krajowe organy regulacyjne do promowania tych elastycznych taryf, które umożliwiają konsumentom łatwe reagowanie na sygnały cenowe, a jednocześnie chronią gospodarstwa domowe i przedsiębiorstwa znajdujące się w trudnej sytuacji przed gwałtownym wzrostem cen; wzywa Komisję i państwa członkowskie do aktywnego eliminowania wąskich gardeł związanych z taryfami, opłatami przyłączeniowymi i przepisami w celu ułatwienia inwestycji transgranicznych i inwestycji w morskie sieci hybrydowe;</w:t>
      </w:r>
    </w:p>
    <w:p w14:paraId="087D703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45.</w:t>
      </w:r>
      <w:r w:rsidRPr="00D23C95">
        <w:rPr>
          <w:lang w:val="pl-PL"/>
        </w:rPr>
        <w:tab/>
        <w:t>wzywa państwa członkowskie do wdrożenia odpowiednich unijnych ram prawnych w celu odblokowania elastyczności po stronie popytu przez przyspieszenie wprowadzania inteligentnych liczników, umożliwienie dostępu do danych ze wszystkich urządzeń pomiarowych oraz zapewnienie skutecznych sygnałów cenowych, tak aby sektory i gospodarstwa domowe zoptymalizowały swoje zużycie i obniżyły rachunki za energię elektryczną, a jednocześnie przyczyniły się do zmniejszenia kosztów operacyjnych i potrzeby dodatkowych inwestycji w sieci;</w:t>
      </w:r>
    </w:p>
    <w:p w14:paraId="4F47C53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46.</w:t>
      </w:r>
      <w:r w:rsidRPr="00D23C95">
        <w:rPr>
          <w:lang w:val="pl-PL"/>
        </w:rPr>
        <w:tab/>
        <w:t>podkreśla, że złagodzeniu taryf sieciowych i niektórych opłat, które mogłyby obniżyć ceny energii elektrycznej, jak zaproponowano w Planie działania na rzecz przystępnej cenowo energii, musi towarzyszyć plan zastąpienia źródeł funduszy potrzebnych na inwestycje w sieci alternatywnymi źródłami, aby uniknąć niedoinwestowania sieci w przyszłości;</w:t>
      </w:r>
    </w:p>
    <w:p w14:paraId="0F661F9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47.</w:t>
      </w:r>
      <w:r w:rsidRPr="00D23C95">
        <w:rPr>
          <w:lang w:val="pl-PL"/>
        </w:rPr>
        <w:tab/>
        <w:t>podkreśla znaczenie zminimalizowania dodatkowych kosztów na rachunkach konsumentów wynikających z inwestycji niezbędnych do modernizacji i rozbudowy sieci niezbędnych do osiągnięcia celów UE w zakresie klimatu i konkurencyjności; zwraca się do Komisji o współpracę z państwami członkowskimi w celu opracowania skoordynowanego zestawu najlepszych praktyk dotyczących inwestycji i zrównoważonej struktury taryf sieciowych, z wyraźnym naciskiem na zwiększenie przejrzystości i usunięcie z taryf opłat niezwiązanych z energią;</w:t>
      </w:r>
    </w:p>
    <w:p w14:paraId="5BD664F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48.</w:t>
      </w:r>
      <w:r w:rsidRPr="00D23C95">
        <w:rPr>
          <w:lang w:val="pl-PL"/>
        </w:rPr>
        <w:tab/>
        <w:t xml:space="preserve">zwraca uwagę, że infrastruktura przesyłowa i dostępność międzyobszarowych zdolności przesyłowych mają kluczowe znaczenie dla zintegrowanego rynku oraz wymiany </w:t>
      </w:r>
      <w:r w:rsidRPr="00D23C95">
        <w:rPr>
          <w:lang w:val="pl-PL"/>
        </w:rPr>
        <w:lastRenderedPageBreak/>
        <w:t>energii odnawialnej o niskim koszcie krańcowym, przy zachowaniu bezpieczeństwa systemu; zauważa, że w rozporządzeniu w sprawie struktury rynku energii elektrycznej określono cel zdolności dostępnych dla obrotu międzyobszarowego wynoszący co najmniej 70 % do 2025 r., jednak państwa członkowskie są dalekie od osiągnięcia tego celu; w związku z tym wzywa państwa członkowskie i ich OSP do przyspieszenia wysiłków na rzecz maksymalizacji możliwości obrotu międzyobszarowego w celu zagwarantowania efektywnego wewnętrznego rynku energii elektrycznej, odpowiednich decyzji inwestycyjnych i integracji energii odnawialnej; ubolewa, że osiągnięcie tego celu często skutkowało kosztami redysponowania; zauważa, że istniejące mechanizmy podziału kosztów – takie jak transgraniczna alokacja kosztów, rekompensaty dla operatorów działających między systemami przesyłowymi i podział kosztów redysponowania – są ograniczone i trudne do wdrożenia, co nie sprzyja inwestycjom transgranicznym, takim jak inwestycje w sieci morskie; wzywa Komisję do przeprowadzenia kompleksowego przeglądu i ulepszenia tych mechanizmów, aby zagwarantować, że odzwierciedlają one wspólne korzyści płynące z infrastruktury i uwzględniają różnorodność przepływów energii elektrycznej, zarówno wewnętrznych, jak i transgranicznych, w tym sprawiedliwego i zrównoważonego mechanizmu podziału kosztów i korzyści w przypadku transgranicznych projektów infrastrukturalnych, który opierałby się na obiektywnych kryteriach;</w:t>
      </w:r>
    </w:p>
    <w:p w14:paraId="4AECC07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49.</w:t>
      </w:r>
      <w:r w:rsidRPr="00D23C95">
        <w:rPr>
          <w:lang w:val="pl-PL"/>
        </w:rPr>
        <w:tab/>
        <w:t>odnotowuje sprawozdanie ENTSO-E z kwietnia 2025 r. w sprawie potencjalnej alternatywnej konfiguracji obszarów rynkowych w oparciu o symulacje krańcowych cen lokalizacyjnych dostarczone przez OSP;</w:t>
      </w:r>
    </w:p>
    <w:p w14:paraId="77A02915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Italic"/>
          <w:lang w:val="pl-PL"/>
        </w:rPr>
        <w:t>Technologie usprawniające działanie sieci, cyfryzacja, innowacyjne rozwiązania i odporność</w:t>
      </w:r>
    </w:p>
    <w:p w14:paraId="56551000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50.</w:t>
      </w:r>
      <w:r w:rsidRPr="00D23C95">
        <w:rPr>
          <w:lang w:val="pl-PL"/>
        </w:rPr>
        <w:tab/>
        <w:t>podkreśla, że technologie usprawniające działanie sieci, rozwiązania cyfrowe, usługi pomocnicze i technologie zarządzania danymi, a także inteligentne urządzenia energetyczne, często wykorzystujące sztuczną inteligencję, mogą znacznie zwiększyć efektywność istniejących zdolności sieciowych i zmaksymalizować wykorzystanie istniejących aktywów, zmniejszając zapotrzebowanie na nową infrastrukturę, na przykład poprzez dostarczanie informacji o przepływie energii w czasie rzeczywistym; w związku z tym nalega na zbadanie tych technologii i innowacyjnych rozwiązań; wzywa krajowe organy regulacyjne, aby stwarzały dla OSP i OSD zachęty do korzystania w większym stopniu z takich technologii poprzez porównanie kosztów i korzyści związanych z ich wykorzystaniem z rozbudową sieci oraz poprzez wykorzystanie systemów wynagradzania opartych na korzyściach, a nie kosztach, oraz do analizy porównawczej OSP i OSD pod kątem wykorzystania takich technologii; zachęca Komisję do dalszego propagowania takich innowacyjnych technologii podczas oceny projektów będących przedmiotem wniosków o finansowanie ze środków UE;</w:t>
      </w:r>
    </w:p>
    <w:p w14:paraId="1853B62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51.</w:t>
      </w:r>
      <w:r w:rsidRPr="00D23C95">
        <w:rPr>
          <w:lang w:val="pl-PL"/>
        </w:rPr>
        <w:tab/>
        <w:t>z zadowoleniem przyjmuje dotychczasową pracę wykonaną przez ENTSO-E i organizację OSD UE przy opracowywaniu Technopedii OSP/OSD</w:t>
      </w:r>
      <w:r w:rsidRPr="00D23C95">
        <w:rPr>
          <w:rStyle w:val="FootnoteReference"/>
          <w:lang w:val="pl-PL"/>
        </w:rPr>
        <w:footnoteReference w:id="37"/>
      </w:r>
      <w:r w:rsidRPr="00D23C95">
        <w:rPr>
          <w:lang w:val="pl-PL"/>
        </w:rPr>
        <w:t xml:space="preserve"> i wzywa Komisję do wprowadzenia obowiązku aktualizowania Technopedii co dwa lata w celu </w:t>
      </w:r>
      <w:r w:rsidRPr="00D23C95">
        <w:rPr>
          <w:lang w:val="pl-PL"/>
        </w:rPr>
        <w:lastRenderedPageBreak/>
        <w:t>dokładnego odzwierciedlenia poziomów gotowości technologicznej zawartych w niej technologii;</w:t>
      </w:r>
    </w:p>
    <w:p w14:paraId="5E7ED99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52.</w:t>
      </w:r>
      <w:r w:rsidRPr="00D23C95">
        <w:rPr>
          <w:lang w:val="pl-PL"/>
        </w:rPr>
        <w:tab/>
        <w:t>wzywa Komisję i państwa członkowskie do dalszego wspierania i zwiększania cyfryzacji europejskiego systemu elektroenergetycznego, co pozwoli zoptymalizować działanie systemu elektroenergetycznego i zmniejszyć presję na łańcuch dostaw; podkreśla, że wymiana danych i interoperacyjność danych ma zasadnicze znaczenie z punktu widzenia planowania i optymalizacji sieci; zachęca państwa członkowskie, krajowe organy regulacyjne, organizację OSD UE i ACER do kontynuowania i przyspieszenia prac nad systemem monitorowania opartym na wskaźnikach mierzących wydajność inteligentnych sieci („wskaźniki inteligentnych sieci”), zgodnie z dyrektywą w sprawie energii elektrycznej;</w:t>
      </w:r>
    </w:p>
    <w:p w14:paraId="436D77C0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53.</w:t>
      </w:r>
      <w:r w:rsidRPr="00D23C95">
        <w:rPr>
          <w:lang w:val="pl-PL"/>
        </w:rPr>
        <w:tab/>
        <w:t>podkreśla pilną potrzebę zwiększenia bezpieczeństwa krytycznej infrastruktury elektroenergetycznej, w tym połączeń międzysystemowych i kabli podmorskich zagrożonych sabotażem, oraz potrzebę zwiększenia ich odporności na ekstremalne zdarzenia pogodowe, zmianę klimatu oraz ataki fizyczne i cyfrowe; zwraca uwagę na potrzebę wzmocnienia współpracy na szczeblu krajowym, regionalnym i unijnym;</w:t>
      </w:r>
    </w:p>
    <w:p w14:paraId="5997E60D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54.</w:t>
      </w:r>
      <w:r w:rsidRPr="00D23C95">
        <w:rPr>
          <w:lang w:val="pl-PL"/>
        </w:rPr>
        <w:tab/>
        <w:t>podkreśla rosnące ryzyko skoordynowanych cyberataków wymierzonych w całą sieć energetyczną UE; przypomina o znaczeniu szybkiego wdrożenia kodeksu sieci dotyczącego cyberbezpieczeństwa i związanych z nim przepisów, takich jak dyrektywa NIS 2</w:t>
      </w:r>
      <w:r w:rsidRPr="00D23C95">
        <w:rPr>
          <w:rStyle w:val="FootnoteReference"/>
          <w:lang w:val="pl-PL"/>
        </w:rPr>
        <w:footnoteReference w:id="38"/>
      </w:r>
      <w:r w:rsidRPr="00D23C95">
        <w:rPr>
          <w:lang w:val="pl-PL"/>
        </w:rPr>
        <w:t xml:space="preserve"> i akt o cyberbezpieczeństwie</w:t>
      </w:r>
      <w:r w:rsidRPr="00D23C95">
        <w:rPr>
          <w:rStyle w:val="FootnoteReference"/>
          <w:lang w:val="pl-PL"/>
        </w:rPr>
        <w:footnoteReference w:id="39"/>
      </w:r>
      <w:r w:rsidRPr="00D23C95">
        <w:rPr>
          <w:lang w:val="pl-PL"/>
        </w:rPr>
        <w:t>, oraz zachęca Komisję do skorygowania w nadchodzących przeglądach legislacyjnych statusu fizycznych urządzeń sieciowych, w tym zdalnie sterowanych urządzeń sieciowych, takich jak falowniki, które obecnie nie spełniają wystarczająco wysokich standardów cyberbezpieczeństwa, zwłaszcza w przypadkach, gdy producent jest zobowiązany, na mocy jurysdykcji państwa spoza UE, do zgłaszania organom tego państwa spoza UE informacji na temat luk bezpieczeństwa w oprogramowaniu lub sprzęcie komputerowym; wzywa do pogłębienia współpracy na szczeblu UE między wszystkimi stronami w celu zwiększenia gotowości i odporności; uważa, że krajowe organy regulacyjne powinny uznać koszty poniesione przez operatorów w związku z przyjęciem rozwiązań w zakresie cyberbezpieczeństwa i odporności oraz zapewnić zachęty do inwestycji związanych ze zwiększeniem odporności infrastruktury energetycznej na cyberzagrożenia i zagrożenia fizyczne oraz hybrydowe, w tym środki przystosowania się do zmiany klimatu;</w:t>
      </w:r>
    </w:p>
    <w:p w14:paraId="336170BE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55.</w:t>
      </w:r>
      <w:r w:rsidRPr="00D23C95">
        <w:rPr>
          <w:lang w:val="pl-PL"/>
        </w:rPr>
        <w:tab/>
        <w:t xml:space="preserve">podkreśla potrzebę zwiększenia wysiłków na rzecz ochrony istniejącej i przyszłej krytycznej podmorskiej i lądowej infrastruktury energetycznej; uważa, że UE powinna odgrywać większą rolę w zapobieganiu incydentom zagrażającym tej infrastrukturze, </w:t>
      </w:r>
      <w:r w:rsidRPr="00D23C95">
        <w:rPr>
          <w:lang w:val="pl-PL"/>
        </w:rPr>
        <w:lastRenderedPageBreak/>
        <w:t>wspieraniu nadzoru i odbudowie uszkodzonej infrastruktury, z wykorzystaniem najnowocześniejszych technologii; wzywa Komisję i państwa członkowskie do wypracowania rozwiązań mających na celu zwiększenie ochrony i odporności infrastruktury krytycznej, w tym rozwiązań w zakresie finansowania takich środków i technologii;</w:t>
      </w:r>
    </w:p>
    <w:p w14:paraId="3C2EF1B4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56.</w:t>
      </w:r>
      <w:r w:rsidRPr="00D23C95">
        <w:rPr>
          <w:lang w:val="pl-PL"/>
        </w:rPr>
        <w:tab/>
        <w:t>uznaje, że nowe projekty sieci elektroenergetycznych wysokiego napięcia stanowią wielofunkcyjną i opłacalną okazję do zintegrowania dodatkowych rozwiązań z zakresu środków bezpieczeństwa (np. czujniki, sonar itp.) oraz ochrony środowiska (np. odstraszacze ptaków, czujniki pożarowe, korytarze ekologiczne itp.), o ile są planowane w sposób całościowy; zwraca się do Komisji o opracowanie wytycznych dla krajowych organów regulacyjnych w celu zagwarantowania, że wstępne planowanie projektów sieci jest przeprowadzane i finansowane z uwzględnieniem tych elementów;</w:t>
      </w:r>
    </w:p>
    <w:p w14:paraId="6FFB6792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57.</w:t>
      </w:r>
      <w:r w:rsidRPr="00D23C95">
        <w:rPr>
          <w:lang w:val="pl-PL"/>
        </w:rPr>
        <w:tab/>
        <w:t>wzywa Komisję, OSD i OSP do opracowania należącej do UE wspólnej europejskiej przestrzeni danych dotyczących energii, opartej na technicznej wiedzy fachowej i praktyce z wykorzystaniem dostępnych danych</w:t>
      </w:r>
      <w:r w:rsidRPr="00D23C95">
        <w:rPr>
          <w:rStyle w:val="FootnoteReference"/>
          <w:lang w:val="pl-PL"/>
        </w:rPr>
        <w:footnoteReference w:id="40"/>
      </w:r>
      <w:r w:rsidRPr="00D23C95">
        <w:rPr>
          <w:lang w:val="pl-PL"/>
        </w:rPr>
        <w:t xml:space="preserve"> opartych na wspólnym zbiorze przepisów zapewniających bezpieczne, przejrzyste przenoszenie i interoperacyjność danych dotyczących energii, w której zharmonizowane dane są bezpiecznie zarządzane, wymieniane i przechowywane w UE; podkreśla, że ta wspólna europejska przestrzeń danych dotyczących energii powinna ułatwiać gromadzenie i udostępnianie danych za pośrednictwem odpowiednich struktur zarządzania i usług udostępniania danych, ze wspieraniem krytycznych operacji energetycznych, w tym przesyłu i dystrybucji; podkreśla, że europejscy OSP, OSD i inne wcześniej sprawdzone podmioty sieci elektroenergetycznej muszą być w stanie bezpiecznie i inteligentnie eksploatować sieć, optymalizując jej wykorzystanie poprzez integrację elastyczności i innowacyjnych technologii, zgodnie z kluczowymi zasadami interoperacyjności, zaufania, wartości danych i zarządzania; zauważa, że ustalenia dotyczące wymiany danych muszą również uwzględniać interakcje ze stronami spoza UE;</w:t>
      </w:r>
    </w:p>
    <w:p w14:paraId="1AC13C6F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58.</w:t>
      </w:r>
      <w:r w:rsidRPr="00D23C95">
        <w:rPr>
          <w:lang w:val="pl-PL"/>
        </w:rPr>
        <w:tab/>
        <w:t>uznaje potencjał elastyczności jako niezbędnego narzędzia optymalizacji funkcjonowania systemu, utrzymania stabilności systemu i wzmocnienia pozycji konsumentów poprzez zachęcanie ich do zmiany modeli konsumpcji; podkreśla, jak ważne jest wdrożenie odpowiednich środków w celu zagwarantowania efektywnych sygnałów cenowych, które zachęcają do elastyczności, w tym ze strony wszystkich odbiorców końcowych, oraz dopilnowanie, by wszystkie zasoby przyczyniały się do bezpieczeństwa systemu, w tym przez przyspieszenie wprowadzania inteligentnych liczników, inteligentnych energooszczędnych budynków oraz umożliwienie dostępu do danych ze wszystkich urządzeń pomiarowych; zwraca się do krajowych organów regulacyjnych o uznanie innowacji i projektów pilotażowych w zakresie elastyczności w systemie, o ile nie mają one negatywnego wpływu na ogólną równowagę i stabilność sieci, w celu dalszego zachęcania do innowacji;</w:t>
      </w:r>
    </w:p>
    <w:p w14:paraId="0238337D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59.</w:t>
      </w:r>
      <w:r w:rsidRPr="00D23C95">
        <w:rPr>
          <w:lang w:val="pl-PL"/>
        </w:rPr>
        <w:tab/>
        <w:t>wzywa krajowe organy regulacyjne do ścisłej współpracy z OSP i OSD w celu oceny potencjału elastyczności i potrzeb systemów krajowych w obecnym i przyszłym planowaniu, z uwzględnieniem obecności przemysłu, dużych odbiorców, dużych wytwórców i magazynów; podkreśla w szczególności kluczową rolę, jaką w świadczeniu usług zarządzania ograniczeniami przesyłowymi w sieci mogą odgrywać aktywa magazynowe, w tym długoterminowe magazynowanie energii elektrycznej, zdolne do dostarczania do 100 godzin energii elektrycznej; zauważa, że aby zapewnić te podstawowe usługi systemowe, podmioty inwestujące w aktywa magazynowe potrzebują stabilnych, długoterminowych modeli przychodów na wzór systemów wsparcia, które z powodzeniem zapewniły pewność przychodów w przypadku aktywów związanych z wytwarzaniem energii odnawialnej;</w:t>
      </w:r>
    </w:p>
    <w:p w14:paraId="411BE8A0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BoldItalic"/>
          <w:lang w:val="pl-PL"/>
        </w:rPr>
        <w:t>Łańcuch dostaw, surowce i zapotrzebowanie na umiejętności</w:t>
      </w:r>
    </w:p>
    <w:p w14:paraId="66B80E0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60.</w:t>
      </w:r>
      <w:r w:rsidRPr="00D23C95">
        <w:rPr>
          <w:lang w:val="pl-PL"/>
        </w:rPr>
        <w:tab/>
        <w:t>zauważa z niepokojem, że globalny wzrost popytu na technologie sieciowe wywiera presję na łańcuchy dostaw i dostępność kabli, transformatorów, komponentów i krytycznych technologii; podkreśla ustalenia zawarte w opublikowanym w lutym 2025 r. sprawozdaniu Międzynarodowej Agencji Energetycznej „Building the Future Transmission Grid”</w:t>
      </w:r>
      <w:r w:rsidRPr="00D23C95">
        <w:rPr>
          <w:rStyle w:val="FootnoteReference"/>
          <w:lang w:val="pl-PL"/>
        </w:rPr>
        <w:footnoteReference w:id="41"/>
      </w:r>
      <w:r w:rsidRPr="00D23C95">
        <w:rPr>
          <w:lang w:val="pl-PL"/>
        </w:rPr>
        <w:t xml:space="preserve"> [Budowa przyszłej sieci przesyłowej], zgodnie z którym zakup kabli zajmuje obecnie od dwóch do trzech lat, a dużych transformatorów energetycznych nawet do czterech lat, a średni czas realizacji zamówienia na kable i duże transformatory energetyczne wzrósł niemal dwukrotnie od 2021 r.;</w:t>
      </w:r>
    </w:p>
    <w:p w14:paraId="3DFF1376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61.</w:t>
      </w:r>
      <w:r w:rsidRPr="00D23C95">
        <w:rPr>
          <w:lang w:val="pl-PL"/>
        </w:rPr>
        <w:tab/>
        <w:t>jest zaniepokojony długim czasem realizacji wielu komponentów technologii sieciowych i pozostaje zdeterminowany, aby utrzymać wiodącą pozycję Europy w dziedzinie technologii sieciowych, a jednocześnie podkreśla potrzebę innowacji w celu opracowania, zademonstrowania i zwiększenia skali europejskich technologii sieciowych o dużej przepustowości oraz innowacyjnych technologii usprawniających sieci;</w:t>
      </w:r>
    </w:p>
    <w:p w14:paraId="7D9A6570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62.</w:t>
      </w:r>
      <w:r w:rsidRPr="00D23C95">
        <w:rPr>
          <w:lang w:val="pl-PL"/>
        </w:rPr>
        <w:tab/>
        <w:t>podkreśla, że surowce krytyczne i strategiczne są niezbędne na potrzeby infrastruktury sieciowej, a zapotrzebowanie na aluminium i miedź ma wzrosnąć odpowiednio o 33 % i 35 % do 2050 r.</w:t>
      </w:r>
      <w:r w:rsidRPr="00D23C95">
        <w:rPr>
          <w:rStyle w:val="FootnoteReference"/>
          <w:lang w:val="pl-PL"/>
        </w:rPr>
        <w:footnoteReference w:id="42"/>
      </w:r>
      <w:r w:rsidRPr="00D23C95">
        <w:rPr>
          <w:lang w:val="pl-PL"/>
        </w:rPr>
        <w:t>; przyjmuje do wiadomości decyzję Komisji uznającą niektóre projekty dotyczące surowców krytycznych za projekty strategiczne w ramach aktu w sprawie surowców krytycznych</w:t>
      </w:r>
      <w:r w:rsidRPr="00D23C95">
        <w:rPr>
          <w:rStyle w:val="FootnoteReference"/>
          <w:lang w:val="pl-PL"/>
        </w:rPr>
        <w:footnoteReference w:id="43"/>
      </w:r>
      <w:r w:rsidRPr="00D23C95">
        <w:rPr>
          <w:lang w:val="pl-PL"/>
        </w:rPr>
        <w:t xml:space="preserve">, aby zapewnić dostęp do tych kluczowych materiałów i </w:t>
      </w:r>
      <w:r w:rsidRPr="00D23C95">
        <w:rPr>
          <w:lang w:val="pl-PL"/>
        </w:rPr>
        <w:lastRenderedPageBreak/>
        <w:t>zdywersyfikować źródła dostaw; wzywa Komisję i państwa członkowskie do zwiększenia recyklingu oraz wspierania w tym celu partnerstw strategicznych i umów handlowych;</w:t>
      </w:r>
    </w:p>
    <w:p w14:paraId="2732762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63.</w:t>
      </w:r>
      <w:r w:rsidRPr="00D23C95">
        <w:rPr>
          <w:lang w:val="pl-PL"/>
        </w:rPr>
        <w:tab/>
        <w:t>podkreśla potrzebę wzmocnienia łańcuchów dostaw sieci, aby zwiększyć dostawy technologii sieciowych po przystępnych cenach, a tym samym ograniczyć koszty ponoszone przez konsumentów za pośrednictwem opłat sieciowych; apeluje o przyjęcie strategicznego podejścia do nabywania technologii energetycznych, komponentów lub materiałów krytycznych związanych z sieciami, aby uniknąć uzależnienia od pojedynczych dostawców spoza UE;</w:t>
      </w:r>
    </w:p>
    <w:p w14:paraId="55EB380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64.</w:t>
      </w:r>
      <w:r w:rsidRPr="00D23C95">
        <w:rPr>
          <w:lang w:val="pl-PL"/>
        </w:rPr>
        <w:tab/>
        <w:t>uważa, że całościowe, skoordynowane, długoterminowe planowanie sieci w całym europejskim systemie energetycznym jest potrzebne, aby rozwiązać problem wąskiego gardła w łańcuchu dostaw, oraz że takie planowanie zapewnia producentom niezbędną przejrzystość i przewidywalność, aby odpowiednio zaplanować wzrost mocy produkcyjnych; jest zdania, że takie planowanie musi wiarygodne i umożliwiać tworzenie nowych modeli biznesowych, takich jak długoterminowe umowy ramowe i umowy na rezerwację mocy produkcyjnych;</w:t>
      </w:r>
    </w:p>
    <w:p w14:paraId="3BD1C63A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65.</w:t>
      </w:r>
      <w:r w:rsidRPr="00D23C95">
        <w:rPr>
          <w:lang w:val="pl-PL"/>
        </w:rPr>
        <w:tab/>
        <w:t>apeluje o maksymalne ujednolicenie kluczowych urządzeń sieci elektroenergetycznej, w zakresie, w jakim jest to możliwe z technicznego punktu widzenia, przez wspólną ocenę techniczną przeprowadzoną przez Komisję, OSD, OSP i przedstawicieli sektora, obejmującą wszystkie poziomy napięcia w celu zwiększenia skali produkcji, obniżenia cen i skrócenia czasu dostaw oraz wsparcia interoperacyjności systemów;</w:t>
      </w:r>
    </w:p>
    <w:p w14:paraId="79AE7CCD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66.</w:t>
      </w:r>
      <w:r w:rsidRPr="00D23C95">
        <w:rPr>
          <w:lang w:val="pl-PL"/>
        </w:rPr>
        <w:tab/>
        <w:t>podkreśla pilną potrzebę rozwiązania problemu niedoborów siły roboczej w sektorze energetycznym; zauważa, że zgodnie z przewidywaniami Komisji konieczne będzie znaczne zwiększenie siły roboczej, aby umożliwić wdrożenie technologii energii odnawialnej, zmodernizować i rozbudować sieci oraz rozwijać technologie sprzyjające efektywności energetycznej, sieciowe i inne odpowiednie technologie; ubolewa nad zgłoszonymi w 15 państwach członkowskich niedoborami elektromechaników i elektromonterów, co zwiększa zapotrzebowanie OSD i OSP na siłę roboczą; podkreśla, że liczba pracowników sektora energetycznego musi wzrosnąć o 50 % do 2030 r., aby wesprzeć wdrażanie odnawialnych źródeł energii</w:t>
      </w:r>
      <w:r w:rsidRPr="00D23C95">
        <w:rPr>
          <w:rStyle w:val="FootnoteReference"/>
          <w:lang w:val="pl-PL"/>
        </w:rPr>
        <w:footnoteReference w:id="44"/>
      </w:r>
      <w:r w:rsidRPr="00D23C95">
        <w:rPr>
          <w:lang w:val="pl-PL"/>
        </w:rPr>
        <w:t>, rozbudowę sieci i efektywność energetyczną, przy czym szacuje się, że do 2050 r. potrzebne będą 2 mln dodatkowych miejsc pracy w dystrybucji energii elektrycznej; wzywa do podjęcia inicjatyw w zakresie szkoleń, podnoszenia i zmiany kwalifikacji, przy jednoczesnym nadaniu priorytetu umiejętnościom związanym z siecią, aby zaradzić niedoborom kwalifikacji; z zadowoleniem przyjmuje partnerstwa uczelni i przedsiębiorstw oraz ukierunkowane unijne akademie umiejętności dla sektorów strategicznych, w tym sieci; zachęca OSD i OSP do dywersyfikacji siły roboczej, w tym przez zwiększenie w niej udziału kobiet;</w:t>
      </w:r>
    </w:p>
    <w:p w14:paraId="35F6CD98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67.</w:t>
      </w:r>
      <w:r w:rsidRPr="00D23C95">
        <w:rPr>
          <w:lang w:val="pl-PL"/>
        </w:rPr>
        <w:tab/>
        <w:t>ponownie podkreśla, że państwa członkowskie i UE powinny współpracować w celu dostosowania programów dotyczących odpowiednich umiejętności oraz opracowania dobrych praktyk, aby zaspokoić rosnące zapotrzebowanie na umiejętności na wszystkich poziomach kształcenia, ze szczególnym naciskiem na promowanie równowagi płci w sektorze;</w:t>
      </w:r>
    </w:p>
    <w:p w14:paraId="583A0347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lastRenderedPageBreak/>
        <w:t>68.</w:t>
      </w:r>
      <w:r w:rsidRPr="00D23C95">
        <w:rPr>
          <w:lang w:val="pl-PL"/>
        </w:rPr>
        <w:tab/>
        <w:t>podkreśla kluczową rolę MŚP i przedsiębiorstw UE w zaopatrzeniu sektora technologii w sieć elektroenergetyczną; zwraca uwagę na potrzebę dostępu do przystępnej cenowo elektryfikacji, ograniczając koszty związane z łańcuchem dostaw i zapewniając wykwalifikowaną siłę roboczą;</w:t>
      </w:r>
    </w:p>
    <w:p w14:paraId="449CAA70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BoldItalic"/>
          <w:lang w:val="pl-PL"/>
        </w:rPr>
        <w:t>Sieci morskie</w:t>
      </w:r>
    </w:p>
    <w:p w14:paraId="494356E4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69.</w:t>
      </w:r>
      <w:r w:rsidRPr="00D23C95">
        <w:rPr>
          <w:lang w:val="pl-PL"/>
        </w:rPr>
        <w:tab/>
        <w:t>uznaje strategiczne znaczenie rozwoju morskiej energii wiatrowej dla realizacji celów UE w zakresie autonomii energetycznej, zwiększonego wykorzystania energii odnawialnej, odpornego i efektywnego kosztowo systemu elektroenergetycznego oraz neutralności klimatycznej do 2050 r.; podkreśla znaczenie pełnego wykorzystania potencjału pięciu europejskich basenów morskich do produkcji energii morskiej; zwraca uwagę na szczególne znaczenie Morza Północnego (obejmującego geograficzny obszar Morza Północnego, w tym Morza Irlandzkiego i Morza Celtyckiego), które charakteryzuje się korzystnymi warunkami i najwyższym potencjałem, przy czym uzgodnionym celem jest osiągnięcie 300 GW zainstalowanej mocy wytwórczej energii morskiej do 2050 r. w ramach współpracy w dziedzinie energetyki na Morzu Północnym; z zadowoleniem przyjmuje poczynione w tym względzie postępy; podkreśla potrzebę rozwoju sieci morskiej, w tym hybrydowych połączeń międzysystemowych, szczególnie na Morzu Północnym, aby w pełni wykorzystać potencjał morski i osiągnąć lepszą integrację rynku; wzywa Komisję i państwa członkowskie do zintensyfikowania współpracy regionalnej w zakresie planowania sieci i współpracy energetycznej w odniesieniu do wszystkich basenów morskich z krajami sąsiadującymi z UE, w szczególności ze Zjednoczonym Królestwem i Norwegią, w szczególności w dziedzinie rozwoju morskiej energii wiatrowej oraz planowania i produkcji sieci elektroenergetycznych;</w:t>
      </w:r>
    </w:p>
    <w:p w14:paraId="3769384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70.</w:t>
      </w:r>
      <w:r w:rsidRPr="00D23C95">
        <w:rPr>
          <w:lang w:val="pl-PL"/>
        </w:rPr>
        <w:tab/>
        <w:t>podkreśla potrzebę stabilnych i przewidywalnych ram regulacyjnych, które zapewnią najbardziej optymalne rozwiązania handlowe w celu zapewnienia wymaganego zaufania inwestorów, aby wspierać rozwój i połączenia międzysystemowe w odniesieniu do projektów dotyczących sieci przesyłowej energii morskiej i morskiej energii wiatrowej, zapewniając efektywność rynku i efektywne przepływy transgraniczne, w tym z państwami spoza UE; podkreśla konieczność wzmocnienia w stosownych przypadkach sieci krajowych, aby zmaksymalizować korzyści płynące z energii morskiej; uznaje, że integralną częścią wydajnego systemu sieci będzie połączenie aktywów przesyłowych energii morskiej z aktywami wytwórczymi (morskie aktywa hybrydowe), ponieważ przynosi to szereg korzyści dla europejskiego systemu energetycznego, ale nadal brakuje odpowiednich ram regulacyjnych, aby zachęcić do niezbędnych inwestycji;</w:t>
      </w:r>
    </w:p>
    <w:p w14:paraId="5A9FDDC5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Italic"/>
          <w:lang w:val="pl-PL"/>
        </w:rPr>
        <w:t>Współpraca z państwami trzecimi</w:t>
      </w:r>
    </w:p>
    <w:p w14:paraId="420BA555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71.</w:t>
      </w:r>
      <w:r w:rsidRPr="00D23C95">
        <w:rPr>
          <w:lang w:val="pl-PL"/>
        </w:rPr>
        <w:tab/>
        <w:t>wzywa państwa członkowskie do zacieśnienia współpracy i koordynacji z państwami spoza UE o zbieżnych poglądach, takimi jak Norwegia i Zjednoczone Królestwo; przypomina, że rozwój infrastruktury elektroenergetycznej w celu wykorzystania potencjału morskiej energii wiatrowej na Morzu Północnym jest wspólnym priorytetem zarówno dla UE, jak i Zjednoczonego Królestwa;</w:t>
      </w:r>
    </w:p>
    <w:p w14:paraId="53D294C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72.</w:t>
      </w:r>
      <w:r w:rsidRPr="00D23C95">
        <w:rPr>
          <w:lang w:val="pl-PL"/>
        </w:rPr>
        <w:tab/>
        <w:t xml:space="preserve">podkreśla potrzebę pragmatycznego i opartego na współpracy podejścia do wymiany energii elektrycznej między UE a Zjednoczonym Królestwem; wzywa Komisję do </w:t>
      </w:r>
      <w:r w:rsidRPr="00D23C95">
        <w:rPr>
          <w:lang w:val="pl-PL"/>
        </w:rPr>
        <w:lastRenderedPageBreak/>
        <w:t>ścisłej współpracy z administracją Zjednoczonego Królestwa w celu ustalenia wzajemnie korzystnego uzgodnienia handlowego, które wzmocni bezpieczeństwo dostaw i utoruje drogę do osiągnięcia neutralności emisyjnej dla obu jurysdykcji; ponadto uważa, że można jeszcze bardziej zwiększyć efektywność rozwiązań handlowych; wzywa Komisję do konstruktywnej współpracy z partnerami brytyjskimi w tej kwestii;</w:t>
      </w:r>
    </w:p>
    <w:p w14:paraId="50A19903" w14:textId="77777777" w:rsidR="00C46676" w:rsidRPr="00D23C95" w:rsidRDefault="00C46676" w:rsidP="00C46676">
      <w:pPr>
        <w:pStyle w:val="Normal12a24b"/>
        <w:rPr>
          <w:lang w:val="pl-PL"/>
        </w:rPr>
      </w:pPr>
      <w:r w:rsidRPr="00D23C95">
        <w:rPr>
          <w:rStyle w:val="BoldItalic"/>
          <w:lang w:val="pl-PL"/>
        </w:rPr>
        <w:t>Regiony najbardziej oddalone</w:t>
      </w:r>
    </w:p>
    <w:p w14:paraId="6277ED51" w14:textId="77777777" w:rsidR="00C46676" w:rsidRPr="00D23C95" w:rsidRDefault="00C46676" w:rsidP="00C46676">
      <w:pPr>
        <w:pStyle w:val="NormalHanging12a"/>
        <w:rPr>
          <w:lang w:val="pl-PL"/>
        </w:rPr>
      </w:pPr>
      <w:r w:rsidRPr="00D23C95">
        <w:rPr>
          <w:lang w:val="pl-PL"/>
        </w:rPr>
        <w:t>73.</w:t>
      </w:r>
      <w:r w:rsidRPr="00D23C95">
        <w:rPr>
          <w:lang w:val="pl-PL"/>
        </w:rPr>
        <w:tab/>
        <w:t>podkreśla wyjątkowe wyzwania stojące przed najbardziej oddalonymi regionami UE i innymi obszarami niepodłączonymi do europejskiej sieci elektroenergetycznej; podkreśla ich zależność od importu i wysoką podatność na przerwy w dostawach energii elektrycznej i ekstremalne zagrożenia klimatyczne; zwraca uwagę na znaczenie rozwoju odpornych i autonomicznych systemów energetycznych poprzez rozwój lokalnych sieci i produkcję czystszej energii; wzywa Komisję do uwzględnienia konkretnych potrzeb tych regionów w pakiecie dotyczącym europejskich sieci oraz zaproponowania dodatkowego wsparcia finansowego w celu zwiększenia autonomii ich systemów energetycznych i zrekompensowania braku połączeń międzysystemowych i braku szerszych korzyści związanych z przyłączeniem do sieci;</w:t>
      </w:r>
    </w:p>
    <w:p w14:paraId="2DD8257A" w14:textId="77777777" w:rsidR="00C46676" w:rsidRPr="00D23C95" w:rsidRDefault="00C46676" w:rsidP="00C46676">
      <w:pPr>
        <w:pStyle w:val="NormalCenter12a"/>
        <w:rPr>
          <w:lang w:val="pl-PL"/>
        </w:rPr>
      </w:pPr>
      <w:r w:rsidRPr="00D23C95">
        <w:rPr>
          <w:lang w:val="pl-PL"/>
        </w:rPr>
        <w:t>°</w:t>
      </w:r>
    </w:p>
    <w:p w14:paraId="5822861F" w14:textId="77777777" w:rsidR="00C46676" w:rsidRPr="00D23C95" w:rsidRDefault="00C46676" w:rsidP="00C46676">
      <w:pPr>
        <w:pStyle w:val="NormalCenter12a"/>
        <w:rPr>
          <w:lang w:val="pl-PL"/>
        </w:rPr>
      </w:pPr>
      <w:r w:rsidRPr="00D23C95">
        <w:rPr>
          <w:lang w:val="pl-PL"/>
        </w:rPr>
        <w:t>°</w:t>
      </w:r>
      <w:r w:rsidRPr="00D23C95">
        <w:rPr>
          <w:lang w:val="pl-PL"/>
        </w:rPr>
        <w:tab/>
        <w:t>°</w:t>
      </w:r>
    </w:p>
    <w:p w14:paraId="3F803412" w14:textId="77777777" w:rsidR="00D23C95" w:rsidRPr="00DB75DB" w:rsidRDefault="00C46676" w:rsidP="00D23C95">
      <w:pPr>
        <w:pStyle w:val="NormalHanging12a"/>
        <w:rPr>
          <w:lang w:val="pl-PL"/>
        </w:rPr>
      </w:pPr>
      <w:r w:rsidRPr="00D23C95">
        <w:rPr>
          <w:lang w:val="pl-PL"/>
        </w:rPr>
        <w:t>74.</w:t>
      </w:r>
      <w:r w:rsidRPr="00D23C95">
        <w:rPr>
          <w:lang w:val="pl-PL"/>
        </w:rPr>
        <w:tab/>
        <w:t>zobowiązuje swoją przewodniczącą do przekazania niniejszej rezolucji Radzie i Komisji.</w:t>
      </w:r>
    </w:p>
    <w:p w14:paraId="345A6417" w14:textId="77777777" w:rsidR="00E365E1" w:rsidRPr="00D23C95" w:rsidRDefault="00E365E1" w:rsidP="008D42E1"/>
    <w:sectPr w:rsidR="00E365E1" w:rsidRPr="00D23C95" w:rsidSect="00D23C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31295" w14:textId="77777777" w:rsidR="008D42E1" w:rsidRPr="00D23C95" w:rsidRDefault="008D42E1">
      <w:r w:rsidRPr="00D23C95">
        <w:separator/>
      </w:r>
    </w:p>
  </w:endnote>
  <w:endnote w:type="continuationSeparator" w:id="0">
    <w:p w14:paraId="221A709E" w14:textId="77777777" w:rsidR="008D42E1" w:rsidRPr="00D23C95" w:rsidRDefault="008D42E1">
      <w:r w:rsidRPr="00D23C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D6145" w14:textId="77777777" w:rsidR="00064002" w:rsidRPr="00D23C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64BEB" w14:textId="77777777" w:rsidR="00064002" w:rsidRPr="00D23C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8F3A3" w14:textId="77777777" w:rsidR="00064002" w:rsidRPr="00D23C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71C5F" w14:textId="77777777" w:rsidR="008D42E1" w:rsidRPr="00D23C95" w:rsidRDefault="008D42E1">
      <w:r w:rsidRPr="00D23C95">
        <w:separator/>
      </w:r>
    </w:p>
  </w:footnote>
  <w:footnote w:type="continuationSeparator" w:id="0">
    <w:p w14:paraId="1910B864" w14:textId="77777777" w:rsidR="008D42E1" w:rsidRPr="00D23C95" w:rsidRDefault="008D42E1">
      <w:r w:rsidRPr="00D23C95">
        <w:continuationSeparator/>
      </w:r>
    </w:p>
  </w:footnote>
  <w:footnote w:id="1">
    <w:p w14:paraId="0BA9D387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 xml:space="preserve">Komisja Europejska, Dyrekcja Generalna ds. Energii, Artelys, LBST, Trinomics, Finesso, A. i in., </w:t>
      </w:r>
      <w:r w:rsidRPr="00D23C95">
        <w:rPr>
          <w:rStyle w:val="Italic"/>
          <w:sz w:val="24"/>
          <w:lang w:val="pl-PL"/>
        </w:rPr>
        <w:t>Investment needs of European energy infrastructure to enable a decarbonised economy – Final report</w:t>
      </w:r>
      <w:r w:rsidRPr="00D23C95">
        <w:rPr>
          <w:sz w:val="24"/>
          <w:lang w:val="pl-PL"/>
        </w:rPr>
        <w:t xml:space="preserve"> [Konieczne inwestycje w europejską infrastrukturę energetyczną służące umożliwieniu dekarbonizacji gospodarki] sprawozdanie końcowe, Urząd Publikacji Unii Europejskiej, 2025 r.</w:t>
      </w:r>
    </w:p>
  </w:footnote>
  <w:footnote w:id="2">
    <w:p w14:paraId="0D24949F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hyperlink r:id="rId1" w:history="1">
        <w:r w:rsidRPr="0081458A">
          <w:rPr>
            <w:sz w:val="24"/>
            <w:u w:color="0000FF"/>
            <w:lang w:val="pl-PL"/>
          </w:rPr>
          <w:t>Dz.U. L 249 z 14.7.2021</w:t>
        </w:r>
        <w:r w:rsidR="0081458A" w:rsidRPr="0081458A">
          <w:rPr>
            <w:sz w:val="24"/>
            <w:u w:color="0000FF"/>
            <w:lang w:val="pl-PL"/>
          </w:rPr>
          <w:t>, s. 38</w:t>
        </w:r>
        <w:r w:rsidRPr="0081458A">
          <w:rPr>
            <w:sz w:val="24"/>
            <w:u w:color="0000FF"/>
            <w:lang w:val="pl-PL"/>
          </w:rPr>
          <w:t>,</w:t>
        </w:r>
        <w:r w:rsidRPr="00D23C95">
          <w:rPr>
            <w:color w:val="0000FF"/>
            <w:sz w:val="24"/>
            <w:u w:val="single" w:color="0000FF"/>
            <w:lang w:val="pl-PL"/>
          </w:rPr>
          <w:t xml:space="preserve"> ELI: http://data.europa.eu/eli/reg/2021/1153/oj.</w:t>
        </w:r>
      </w:hyperlink>
    </w:p>
  </w:footnote>
  <w:footnote w:id="3">
    <w:p w14:paraId="4F66628A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hyperlink r:id="rId2" w:history="1">
        <w:r w:rsidRPr="0081458A">
          <w:rPr>
            <w:sz w:val="24"/>
            <w:u w:color="0000FF"/>
            <w:lang w:val="pl-PL"/>
          </w:rPr>
          <w:t xml:space="preserve">Dz.U. L 152 z 3.6.2022, s. 45, </w:t>
        </w:r>
        <w:r w:rsidRPr="00D23C95">
          <w:rPr>
            <w:color w:val="0000FF"/>
            <w:sz w:val="24"/>
            <w:u w:val="single" w:color="0000FF"/>
            <w:lang w:val="pl-PL"/>
          </w:rPr>
          <w:t>ELI: http://data.europa.eu/eli/reg/2022/869/oj.</w:t>
        </w:r>
      </w:hyperlink>
    </w:p>
  </w:footnote>
  <w:footnote w:id="4">
    <w:p w14:paraId="25DF2C9D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hyperlink r:id="rId3" w:history="1">
        <w:r w:rsidRPr="0081458A">
          <w:rPr>
            <w:sz w:val="24"/>
            <w:u w:color="0000FF"/>
            <w:lang w:val="pl-PL"/>
          </w:rPr>
          <w:t>Dz.U. L 158 z 14.6.2019, s. 125,</w:t>
        </w:r>
        <w:r w:rsidRPr="0081458A">
          <w:rPr>
            <w:sz w:val="24"/>
            <w:u w:val="single" w:color="0000FF"/>
            <w:lang w:val="pl-PL"/>
          </w:rPr>
          <w:t xml:space="preserve"> </w:t>
        </w:r>
        <w:r w:rsidRPr="00D23C95">
          <w:rPr>
            <w:color w:val="0000FF"/>
            <w:sz w:val="24"/>
            <w:u w:val="single" w:color="0000FF"/>
            <w:lang w:val="pl-PL"/>
          </w:rPr>
          <w:t>ELI: http://data.europa.eu/eli/dir/2019/944/oj.</w:t>
        </w:r>
      </w:hyperlink>
    </w:p>
  </w:footnote>
  <w:footnote w:id="5">
    <w:p w14:paraId="7DBF4CC3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hyperlink r:id="rId4" w:history="1">
        <w:r w:rsidRPr="0081458A">
          <w:rPr>
            <w:sz w:val="24"/>
            <w:u w:color="0000FF"/>
            <w:lang w:val="pl-PL"/>
          </w:rPr>
          <w:t xml:space="preserve">Dz.U. L 158 z 14.6.2019, s. 54, </w:t>
        </w:r>
        <w:r w:rsidRPr="00D23C95">
          <w:rPr>
            <w:color w:val="0000FF"/>
            <w:sz w:val="24"/>
            <w:u w:val="single" w:color="0000FF"/>
            <w:lang w:val="pl-PL"/>
          </w:rPr>
          <w:t>ELI: http://data.europa.eu/eli/reg/2019/943/oj.</w:t>
        </w:r>
      </w:hyperlink>
    </w:p>
  </w:footnote>
  <w:footnote w:id="6">
    <w:p w14:paraId="2EF0CADA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fi-FI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fi-FI"/>
        </w:rPr>
        <w:t xml:space="preserve"> </w:t>
      </w:r>
      <w:r w:rsidR="00D23C95" w:rsidRPr="0081458A">
        <w:rPr>
          <w:sz w:val="24"/>
          <w:lang w:val="fi-FI"/>
        </w:rPr>
        <w:tab/>
      </w:r>
      <w:hyperlink r:id="rId5" w:history="1">
        <w:r w:rsidRPr="0081458A">
          <w:rPr>
            <w:sz w:val="24"/>
            <w:u w:color="0000FF"/>
            <w:lang w:val="fi-FI"/>
          </w:rPr>
          <w:t xml:space="preserve">Dz.U. L, 2023/2413, 31.10.2023, </w:t>
        </w:r>
        <w:r w:rsidRPr="0081458A">
          <w:rPr>
            <w:color w:val="0000FF"/>
            <w:sz w:val="24"/>
            <w:u w:val="single" w:color="0000FF"/>
            <w:lang w:val="fi-FI"/>
          </w:rPr>
          <w:t>ELI: http://data.europa.eu/eli/dir/2023/2413/oj.</w:t>
        </w:r>
      </w:hyperlink>
    </w:p>
  </w:footnote>
  <w:footnote w:id="7">
    <w:p w14:paraId="66A2EA54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fi-FI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fi-FI"/>
        </w:rPr>
        <w:t xml:space="preserve"> </w:t>
      </w:r>
      <w:r w:rsidR="00D23C95" w:rsidRPr="0081458A">
        <w:rPr>
          <w:sz w:val="24"/>
          <w:lang w:val="fi-FI"/>
        </w:rPr>
        <w:tab/>
      </w:r>
      <w:hyperlink r:id="rId6" w:history="1">
        <w:r w:rsidRPr="0081458A">
          <w:rPr>
            <w:sz w:val="24"/>
            <w:u w:color="0000FF"/>
            <w:lang w:val="fi-FI"/>
          </w:rPr>
          <w:t xml:space="preserve">Dz.U. L, 2024/1275, 8.5.2024, </w:t>
        </w:r>
        <w:r w:rsidRPr="0081458A">
          <w:rPr>
            <w:color w:val="0000FF"/>
            <w:sz w:val="24"/>
            <w:u w:val="single" w:color="0000FF"/>
            <w:lang w:val="fi-FI"/>
          </w:rPr>
          <w:t>ELI: http://data.europa.eu/eli/dir/2024/1275/oj.</w:t>
        </w:r>
      </w:hyperlink>
    </w:p>
  </w:footnote>
  <w:footnote w:id="8">
    <w:p w14:paraId="13049041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fi-FI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fi-FI"/>
        </w:rPr>
        <w:t xml:space="preserve"> </w:t>
      </w:r>
      <w:r w:rsidR="00D23C95" w:rsidRPr="0081458A">
        <w:rPr>
          <w:sz w:val="24"/>
          <w:lang w:val="fi-FI"/>
        </w:rPr>
        <w:tab/>
      </w:r>
      <w:hyperlink r:id="rId7" w:history="1">
        <w:r w:rsidRPr="0081458A">
          <w:rPr>
            <w:sz w:val="24"/>
            <w:u w:color="0000FF"/>
            <w:lang w:val="fi-FI"/>
          </w:rPr>
          <w:t xml:space="preserve">Dz.U. L, 2024/1711, 26.6.2024, </w:t>
        </w:r>
        <w:r w:rsidRPr="0081458A">
          <w:rPr>
            <w:color w:val="0000FF"/>
            <w:sz w:val="24"/>
            <w:u w:val="single" w:color="0000FF"/>
            <w:lang w:val="fi-FI"/>
          </w:rPr>
          <w:t>ELI: http://data.europa.eu/eli/dir/2024/1711/oj.</w:t>
        </w:r>
      </w:hyperlink>
    </w:p>
  </w:footnote>
  <w:footnote w:id="9">
    <w:p w14:paraId="311ECB21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fi-FI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fi-FI"/>
        </w:rPr>
        <w:t xml:space="preserve"> </w:t>
      </w:r>
      <w:r w:rsidR="00D23C95" w:rsidRPr="0081458A">
        <w:rPr>
          <w:sz w:val="24"/>
          <w:lang w:val="fi-FI"/>
        </w:rPr>
        <w:tab/>
      </w:r>
      <w:hyperlink r:id="rId8" w:history="1">
        <w:r w:rsidRPr="0081458A">
          <w:rPr>
            <w:sz w:val="24"/>
            <w:u w:color="0000FF"/>
            <w:lang w:val="fi-FI"/>
          </w:rPr>
          <w:t xml:space="preserve">Dz.U. L, 2024/1747, 26.6.2024, </w:t>
        </w:r>
        <w:r w:rsidRPr="0081458A">
          <w:rPr>
            <w:color w:val="0000FF"/>
            <w:sz w:val="24"/>
            <w:u w:val="single" w:color="0000FF"/>
            <w:lang w:val="fi-FI"/>
          </w:rPr>
          <w:t>ELI: http://data.europa.eu/eli/reg/2024/1747/oj.</w:t>
        </w:r>
      </w:hyperlink>
    </w:p>
  </w:footnote>
  <w:footnote w:id="10">
    <w:p w14:paraId="05638FB4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hyperlink r:id="rId9" w:history="1">
        <w:r w:rsidRPr="0081458A">
          <w:rPr>
            <w:sz w:val="24"/>
            <w:u w:color="0000FF"/>
            <w:lang w:val="pl-PL"/>
          </w:rPr>
          <w:t xml:space="preserve">Dz.U. L 328 z 21.12.2018, s. 1, </w:t>
        </w:r>
        <w:r w:rsidRPr="00D23C95">
          <w:rPr>
            <w:color w:val="0000FF"/>
            <w:sz w:val="24"/>
            <w:u w:val="single" w:color="0000FF"/>
            <w:lang w:val="pl-PL"/>
          </w:rPr>
          <w:t>ELI: http://data.europa.eu/eli/reg/2018/1999/oj.</w:t>
        </w:r>
      </w:hyperlink>
    </w:p>
  </w:footnote>
  <w:footnote w:id="11">
    <w:p w14:paraId="578C9048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Dz.U. C 371 z 15.9.2021, s. 58.</w:t>
      </w:r>
    </w:p>
  </w:footnote>
  <w:footnote w:id="12">
    <w:p w14:paraId="4687F438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Dz.U. C 15 z 12.1.2022, s. 45.</w:t>
      </w:r>
    </w:p>
  </w:footnote>
  <w:footnote w:id="13">
    <w:p w14:paraId="68B0EEEB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 xml:space="preserve">Europejska sieć operatorów systemów przesyłowych energii elektrycznej (ENTSO-E), „Bidding Zone Review of the 2025 Target Year” [Przegląd stref cenowych roku docelowego 2025], kwiecień 2025 r., </w:t>
      </w:r>
      <w:hyperlink r:id="rId10" w:history="1">
        <w:r w:rsidR="0081458A" w:rsidRPr="0081458A">
          <w:rPr>
            <w:rStyle w:val="Hyperlink"/>
            <w:sz w:val="24"/>
            <w:lang w:val="pl-PL"/>
          </w:rPr>
          <w:t>https://eepublicdownloads.blob.core.windows.net/public-cdn-container/clean-documents/Network%20codes%20documents/NC%20CACM/BZR/2025/Bidding_Zone_Review_of_the_2025_Target_Year.pdf</w:t>
        </w:r>
      </w:hyperlink>
      <w:r w:rsidRPr="00D23C95">
        <w:rPr>
          <w:sz w:val="24"/>
          <w:lang w:val="pl-PL"/>
        </w:rPr>
        <w:t>.</w:t>
      </w:r>
    </w:p>
  </w:footnote>
  <w:footnote w:id="14">
    <w:p w14:paraId="66CAA0C2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Komunikat Komisji z dnia 5 marca 2025 r. pt. „Unia umiejętności” (COM(2025)0090).</w:t>
      </w:r>
    </w:p>
  </w:footnote>
  <w:footnote w:id="15">
    <w:p w14:paraId="06862831" w14:textId="7DE098C4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Organizacja OSD UE jest organem ekspertów technicznych i stowarzyszeniem operatorów systemów dystrybucyjnych (OSD) upoważnionym na mocy rozporządzenia w sprawie rynku energii elektrycznej (</w:t>
      </w:r>
      <w:r w:rsidR="00833EFF">
        <w:rPr>
          <w:sz w:val="24"/>
          <w:lang w:val="pl-PL"/>
        </w:rPr>
        <w:t>(UE) </w:t>
      </w:r>
      <w:r w:rsidRPr="00D23C95">
        <w:rPr>
          <w:sz w:val="24"/>
          <w:lang w:val="pl-PL"/>
        </w:rPr>
        <w:t>2019/943) do wspierania funkcjonowania rynku energii elektrycznej i ułatwiania transformacji energetycznej.</w:t>
      </w:r>
    </w:p>
  </w:footnote>
  <w:footnote w:id="16">
    <w:p w14:paraId="63C0A0FD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Europejska sieć operatorów systemów przesyłowych energii elektrycznej (ENTSO-E) jest stowarzyszeniem na rzecz współpracy europejskich operatorów systemów przesyłowych (OSP).</w:t>
      </w:r>
    </w:p>
  </w:footnote>
  <w:footnote w:id="17">
    <w:p w14:paraId="6FECE4CC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 xml:space="preserve">Międzynarodowy Fundusz Walutowy (MFW), nota informacyjna MFW na temat integracji rynku energii UE, 16 stycznia 2025 r., zamieszczona w nocie informacyjnej Rady z dnia 17 stycznia 2025 r. w sprawie integracji unijnego rynku energii: </w:t>
      </w:r>
      <w:hyperlink r:id="rId11" w:history="1">
        <w:r w:rsidR="0081458A" w:rsidRPr="0081458A">
          <w:rPr>
            <w:rStyle w:val="Hyperlink"/>
            <w:sz w:val="24"/>
            <w:lang w:val="pl-PL"/>
          </w:rPr>
          <w:t>https://data.consilium.europa.eu/doc/document/ST-5438-2025-INIT/en/pdf</w:t>
        </w:r>
      </w:hyperlink>
      <w:r w:rsidRPr="00D23C95">
        <w:rPr>
          <w:sz w:val="24"/>
          <w:lang w:val="pl-PL"/>
        </w:rPr>
        <w:t>.</w:t>
      </w:r>
    </w:p>
  </w:footnote>
  <w:footnote w:id="18">
    <w:p w14:paraId="6E124C9C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Komunikat Komisji z dnia 28 listopada 2023 r. zatytułowany „Sieci, brakujące ogniwo – unijny plan działania na rzecz sieci” (COM(2023)0757),</w:t>
      </w:r>
    </w:p>
  </w:footnote>
  <w:footnote w:id="19">
    <w:p w14:paraId="4F11E918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ibid.</w:t>
      </w:r>
    </w:p>
  </w:footnote>
  <w:footnote w:id="20">
    <w:p w14:paraId="7D281143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ibid.</w:t>
      </w:r>
    </w:p>
  </w:footnote>
  <w:footnote w:id="21">
    <w:p w14:paraId="052B257D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Sprawozdanie ACER z nadzoru nad rynkiem (2024), „Transmission capacities for cross-zonal trade of electricity and congestion management in the EU” [Zdolności przesyłowe na potrzeby międzystrefowego obrotu energią elektryczną i zarządzania ograniczeniami przesyłowymi w UE], 3 lipca 2024 r.</w:t>
      </w:r>
    </w:p>
  </w:footnote>
  <w:footnote w:id="22">
    <w:p w14:paraId="6349E07C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Sprawozdanie ACER z 2024 r. z nadzoru nad rynkiem, „Key developments in EU electricity wholesale markets” [Kluczowe zmiany na unijnych rynkach hurtowych energii elektrycznej], 20 marca 2024 r.</w:t>
      </w:r>
    </w:p>
  </w:footnote>
  <w:footnote w:id="23">
    <w:p w14:paraId="2435D81B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Sprawozdanie ACER z nadzoru nad rynkiem (2024), „Electricity Infrastructure development to support a competitive and sustainable energy system” [Rozwój infrastruktury elektroenergetycznej na rzecz wsparcia konkurencyjnego i zrównoważonego systemu energetycznego], 16 grudnia 2024 r., s. 17.</w:t>
      </w:r>
    </w:p>
  </w:footnote>
  <w:footnote w:id="24">
    <w:p w14:paraId="40B03C3B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ibid.</w:t>
      </w:r>
    </w:p>
  </w:footnote>
  <w:footnote w:id="25">
    <w:p w14:paraId="440374A8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 xml:space="preserve">Dyrektywa Parlamentu Europejskiego i Rady (UE) 2019/944 z dnia 5 czerwca 2019 r. w sprawie wspólnych zasad rynku wewnętrznego energii elektrycznej oraz zmieniająca dyrektywę 2012/27/UE (Dz.U. L 158 z 14.6.2019, s. 125, </w:t>
      </w:r>
      <w:hyperlink r:id="rId12" w:history="1">
        <w:r w:rsidR="0081458A" w:rsidRPr="0081458A">
          <w:rPr>
            <w:rStyle w:val="Hyperlink"/>
            <w:color w:val="auto"/>
            <w:sz w:val="24"/>
            <w:u w:val="none" w:color="0000FF"/>
            <w:lang w:val="pl-PL"/>
          </w:rPr>
          <w:t xml:space="preserve">ELI: </w:t>
        </w:r>
        <w:r w:rsidR="0081458A" w:rsidRPr="0081458A">
          <w:rPr>
            <w:rStyle w:val="Hyperlink"/>
            <w:sz w:val="24"/>
            <w:u w:color="0000FF"/>
            <w:lang w:val="pl-PL"/>
          </w:rPr>
          <w:t>http://data.europa.eu/eli/dir/2019/944/oj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).</w:t>
      </w:r>
    </w:p>
  </w:footnote>
  <w:footnote w:id="26">
    <w:p w14:paraId="539F26F9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Organizacja OSD UE, „DSO Entity’s identified good practices on Distribution Network Development Plans” [Określone dobre praktyki organizacji OSD w zakresie planów rozwoju sieci dystrybucyjnej], 1 lipca 2024 r.</w:t>
      </w:r>
    </w:p>
  </w:footnote>
  <w:footnote w:id="27">
    <w:p w14:paraId="1BA70569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Sprawozdanie ACER z nadzoru nad rynkiem (2024), „Electricity Infrastructure development to support a competitive and sustainable energy system” [Rozwój infrastruktury elektroenergetycznej na rzecz wsparcia konkurencyjnego i zrównoważonego systemu energetycznego], 16 grudnia 2024 r.</w:t>
      </w:r>
    </w:p>
  </w:footnote>
  <w:footnote w:id="28">
    <w:p w14:paraId="718756A6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Komunikat Komisji z dnia 28 listopada 2023 r. zatytułowany „Sieci, brakujące ogniwo – unijny plan działania na rzecz sieci” (COM(2023)0757)</w:t>
      </w:r>
      <w:r w:rsidR="0081458A">
        <w:rPr>
          <w:sz w:val="24"/>
          <w:u w:color="0000FF"/>
          <w:lang w:val="pl-PL"/>
        </w:rPr>
        <w:t>.</w:t>
      </w:r>
    </w:p>
  </w:footnote>
  <w:footnote w:id="29">
    <w:p w14:paraId="7013FF69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Rozporządzenie Rady (UE) 2022/2577 z dnia 22 grudnia 2022 r. ustanawiające ramy służące przyspieszeniu wdrażania rozwiązań</w:t>
      </w:r>
      <w:r w:rsidR="0081458A">
        <w:rPr>
          <w:sz w:val="24"/>
          <w:u w:color="0000FF"/>
          <w:lang w:val="pl-PL"/>
        </w:rPr>
        <w:t xml:space="preserve"> w zakresie energii odnawialnej</w:t>
      </w:r>
      <w:r w:rsidRPr="0081458A">
        <w:rPr>
          <w:sz w:val="24"/>
          <w:u w:color="0000FF"/>
          <w:lang w:val="pl-PL"/>
        </w:rPr>
        <w:t xml:space="preserve"> </w:t>
      </w:r>
      <w:r w:rsidR="0081458A">
        <w:rPr>
          <w:sz w:val="24"/>
          <w:u w:color="0000FF"/>
          <w:lang w:val="pl-PL"/>
        </w:rPr>
        <w:t>(</w:t>
      </w:r>
      <w:r w:rsidRPr="0081458A">
        <w:rPr>
          <w:sz w:val="24"/>
          <w:u w:color="0000FF"/>
          <w:lang w:val="pl-PL"/>
        </w:rPr>
        <w:t xml:space="preserve">Dz.U. L 335 z 29.12.2022, s. 36, </w:t>
      </w:r>
      <w:r w:rsidR="0081458A" w:rsidRPr="0081458A">
        <w:rPr>
          <w:color w:val="0000FF"/>
          <w:sz w:val="24"/>
          <w:u w:val="single" w:color="0000FF"/>
          <w:lang w:val="pl-PL"/>
        </w:rPr>
        <w:t xml:space="preserve">ELI: </w:t>
      </w:r>
      <w:hyperlink r:id="rId13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http://data.europa.eu/eli/reg/2022/2577/oj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).</w:t>
      </w:r>
    </w:p>
  </w:footnote>
  <w:footnote w:id="30">
    <w:p w14:paraId="4A3A4891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 xml:space="preserve">Dyrektywa Parlamentu Europejskiego i Rady 2011/92/UE z dnia 13 grudnia 2011 r. w sprawie oceny skutków wywieranych przez niektóre przedsięwzięcia publiczne i prywatne na środowisko (Dz.U. L 26 z 28.1.2012, s. 1, ELI: </w:t>
      </w:r>
      <w:hyperlink r:id="rId14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http://data.europa.eu/eli/dir/2011/92/oj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</w:t>
      </w:r>
      <w:r w:rsidR="0081458A">
        <w:rPr>
          <w:color w:val="0000FF"/>
          <w:sz w:val="24"/>
          <w:u w:val="single" w:color="0000FF"/>
          <w:lang w:val="pl-PL"/>
        </w:rPr>
        <w:t>.</w:t>
      </w:r>
    </w:p>
  </w:footnote>
  <w:footnote w:id="31">
    <w:p w14:paraId="38FED265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TAIEX to instrument pomocy technicznej i wymiany informacji Komisji. Wspiera on administracje publiczne w zakresie transpozycji, stosowania i wdrażania prawodawstwa UE, a także ułatwia dzielenie się najlepszymi praktykami UE.</w:t>
      </w:r>
    </w:p>
  </w:footnote>
  <w:footnote w:id="32">
    <w:p w14:paraId="22DA3FDD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 xml:space="preserve">Dyrektywa Parlamentu Europejskiego i Rady 2014/24/UE z dnia 26 lutego 2014 r. w sprawie zamówień publicznych, </w:t>
      </w:r>
      <w:r w:rsidR="0081458A">
        <w:rPr>
          <w:sz w:val="24"/>
          <w:u w:color="0000FF"/>
          <w:lang w:val="pl-PL"/>
        </w:rPr>
        <w:t>uchylająca dyrektywę 2004/18/WE</w:t>
      </w:r>
      <w:r w:rsidRPr="0081458A">
        <w:rPr>
          <w:sz w:val="24"/>
          <w:u w:color="0000FF"/>
          <w:lang w:val="pl-PL"/>
        </w:rPr>
        <w:t xml:space="preserve"> </w:t>
      </w:r>
      <w:r w:rsidR="0081458A">
        <w:rPr>
          <w:sz w:val="24"/>
          <w:u w:color="0000FF"/>
          <w:lang w:val="pl-PL"/>
        </w:rPr>
        <w:t>(</w:t>
      </w:r>
      <w:r w:rsidRPr="0081458A">
        <w:rPr>
          <w:sz w:val="24"/>
          <w:u w:color="0000FF"/>
          <w:lang w:val="pl-PL"/>
        </w:rPr>
        <w:t xml:space="preserve">Dz.U. L 94 z 28.3.2014, s. 65, ELI: </w:t>
      </w:r>
      <w:hyperlink r:id="rId15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http://data.europa.eu/eli/dir/2014/24/oj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).</w:t>
      </w:r>
    </w:p>
  </w:footnote>
  <w:footnote w:id="33">
    <w:p w14:paraId="29D0CC97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81458A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pl-PL"/>
        </w:rPr>
        <w:t xml:space="preserve"> </w:t>
      </w:r>
      <w:r w:rsidR="00D23C95" w:rsidRPr="0081458A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Rozporządzenie Parlamentu Europejskiego i Rady (UE) 2024/1735 z dnia 13 czerwca 2024 r. w sprawie ustanowienia ram środków na rzecz wzmocnienia europejskiego ekosystemu produkcji technologii neutralnych emisyjnie i zmieniając</w:t>
      </w:r>
      <w:r w:rsidR="0081458A">
        <w:rPr>
          <w:sz w:val="24"/>
          <w:u w:color="0000FF"/>
          <w:lang w:val="pl-PL"/>
        </w:rPr>
        <w:t>e rozporządzenie (UE) 2018/1724</w:t>
      </w:r>
      <w:r w:rsidRPr="0081458A">
        <w:rPr>
          <w:sz w:val="24"/>
          <w:u w:color="0000FF"/>
          <w:lang w:val="pl-PL"/>
        </w:rPr>
        <w:t xml:space="preserve"> </w:t>
      </w:r>
      <w:r w:rsidR="0081458A">
        <w:rPr>
          <w:sz w:val="24"/>
          <w:u w:color="0000FF"/>
          <w:lang w:val="pl-PL"/>
        </w:rPr>
        <w:t>(</w:t>
      </w:r>
      <w:r w:rsidRPr="0081458A">
        <w:rPr>
          <w:sz w:val="24"/>
          <w:u w:color="0000FF"/>
          <w:lang w:val="pl-PL"/>
        </w:rPr>
        <w:t xml:space="preserve">Dz.U. L, 2024/1735, 28.6.2024, ELI: </w:t>
      </w:r>
      <w:hyperlink r:id="rId16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http://data.europa.eu/eli/reg/2024/1735/oj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).</w:t>
      </w:r>
    </w:p>
  </w:footnote>
  <w:footnote w:id="34">
    <w:p w14:paraId="4A458563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Sprawozdanie ACER z nadzoru nad rynkiem (2024), „Electricity Infrastructure development to support a competitive and sustainable energy system” [Rozwój infrastruktury elektroenergetycznej na rzecz wsparcia konkurencyjnego i zrównoważonego systemu energetycznego], 16 grudnia 2024 r., s. 30.</w:t>
      </w:r>
    </w:p>
  </w:footnote>
  <w:footnote w:id="35">
    <w:p w14:paraId="681AFA35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Komunikat Komisji z dnia 28 listopada 2023 r. zatytułowany „Sieci, brakujące ogniwo – unijny plan działania na rzecz sieci” (COM(2023)0757),</w:t>
      </w:r>
    </w:p>
  </w:footnote>
  <w:footnote w:id="36">
    <w:p w14:paraId="6DFDBBE3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Sprawozdanie ACER z nadzoru nad rynkiem (2024), „Electricity Infrastructure development to support a competitive and sustainable energy system” [Rozwój infrastruktury elektroenergetycznej na rzecz wsparcia konkurencyjnego i zrównoważonego systemu energetycznego].</w:t>
      </w:r>
    </w:p>
  </w:footnote>
  <w:footnote w:id="37">
    <w:p w14:paraId="3A1DDE3D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>organizacja OSD UE, „Implementation of Action 7 in the EU Action Plan for Grids: DSO/TSO Technopedia, ENTSO-E &amp; DSO Entity” [Realizacja działania nr 7 z unijnego planu działania na rzecz sieci. Technopedia OSD/OSP, ENTSO-E i organizacja OSD], 18 grudnia 2024 r.</w:t>
      </w:r>
    </w:p>
  </w:footnote>
  <w:footnote w:id="38">
    <w:p w14:paraId="26E39DDB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Dyrektywa Parlamentu Europejskiego i Rady (UE) 2022/2555 z dnia 14 grudnia 2022 r. w sprawie środków na rzecz wysokiego wspólnego poziomu cyberbezpieczeństwa na terytorium Unii, zmieniająca rozporządzenie (UE) nr 910/2014 i dyrektywę (UE) 2018/1972 oraz uchylająca dyrektywę (</w:t>
      </w:r>
      <w:r w:rsidR="0081458A">
        <w:rPr>
          <w:sz w:val="24"/>
          <w:u w:color="0000FF"/>
          <w:lang w:val="pl-PL"/>
        </w:rPr>
        <w:t>UE) 2016/1148 (dyrektywa NIS 2) (</w:t>
      </w:r>
      <w:r w:rsidRPr="0081458A">
        <w:rPr>
          <w:sz w:val="24"/>
          <w:u w:color="0000FF"/>
          <w:lang w:val="pl-PL"/>
        </w:rPr>
        <w:t xml:space="preserve">Dz.U. L 333 z 27.12.2022, s. 80, ELI: </w:t>
      </w:r>
      <w:hyperlink r:id="rId17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http://data.europa.eu/eli/dir/2022/2555/oj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).</w:t>
      </w:r>
    </w:p>
  </w:footnote>
  <w:footnote w:id="39">
    <w:p w14:paraId="052BB048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81458A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pl-PL"/>
        </w:rPr>
        <w:t xml:space="preserve"> </w:t>
      </w:r>
      <w:r w:rsidR="00D23C95" w:rsidRPr="0081458A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 xml:space="preserve">Rozporządzenie Parlamentu Europejskiego i Rady (UE) 2019/881 z dnia 17 kwietnia 2019 r. w sprawie ENISA (Agencji Unii Europejskiej ds. Cyberbezpieczeństwa) oraz certyfikacji cyberbezpieczeństwa w zakresie technologii informacyjno-komunikacyjnych oraz uchylenia rozporządzenia (UE) nr 526/2013 (akt o cyberbezpieczeństwie) (Dz.U. L 151 z 7.6.2019, s. 15, ELI: </w:t>
      </w:r>
      <w:hyperlink r:id="rId18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http://data.europa.eu/eli/reg/2019/881/oj</w:t>
        </w:r>
      </w:hyperlink>
      <w:r w:rsidR="0081458A" w:rsidRPr="0081458A">
        <w:rPr>
          <w:color w:val="0000FF"/>
          <w:sz w:val="24"/>
          <w:u w:val="single" w:color="0000FF"/>
          <w:lang w:val="pl-PL"/>
        </w:rPr>
        <w:t>).</w:t>
      </w:r>
    </w:p>
  </w:footnote>
  <w:footnote w:id="40">
    <w:p w14:paraId="781665D6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 xml:space="preserve">Komisja Europejska: Dyrekcja Generalna ds. Energii, Instytut Fraunhofera ds. badań nad systemami i innowacjami ISI, Guidehouse, McKinsey &amp; Company, TNO, Trinomics, Uniwersytet w Utrechcie, Berkhout, V., Villeviere, C., Bergsträßer, J., Klobasa, M., Regeczi, D., Dognini, A., Singh, M., Stornebrink, M., Hülsewig, T., Seigeot, V., Lenzmann, F.Breitschopf, B., </w:t>
      </w:r>
      <w:r w:rsidRPr="00D23C95">
        <w:rPr>
          <w:rStyle w:val="Italic"/>
          <w:sz w:val="24"/>
          <w:lang w:val="pl-PL"/>
        </w:rPr>
        <w:t>Wspólna europejska przestrzeń danych</w:t>
      </w:r>
      <w:r w:rsidRPr="00D23C95">
        <w:rPr>
          <w:sz w:val="24"/>
          <w:lang w:val="pl-PL"/>
        </w:rPr>
        <w:t>, Urząd Publikacji Unii Europejskiej, 2023.</w:t>
      </w:r>
    </w:p>
  </w:footnote>
  <w:footnote w:id="41">
    <w:p w14:paraId="0E4DBEFA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D23C95">
        <w:rPr>
          <w:sz w:val="24"/>
          <w:lang w:val="pl-PL"/>
        </w:rPr>
        <w:t xml:space="preserve">Międzynarodowa Agencja Energetyczna, „Building the Future Transmission Grid – Strategies to navigate supply chain challenges”[Budowa przyszłej sieci przesyłowej – Strategie radzenia sobie z wyzwaniami związanymi z łańcuchem dostaw], luty 2025 r., </w:t>
      </w:r>
      <w:hyperlink r:id="rId19" w:history="1">
        <w:r w:rsidR="0081458A" w:rsidRPr="0081458A">
          <w:rPr>
            <w:rStyle w:val="Hyperlink"/>
            <w:sz w:val="24"/>
            <w:lang w:val="pl-PL"/>
          </w:rPr>
          <w:t>https://iea.blob.core.windows.net/assets/a688d0f5-a100-447f-91a1-50b7b0d8eaa1/BuildingtheFutureTransmissionGrid.pdf</w:t>
        </w:r>
      </w:hyperlink>
      <w:r w:rsidR="0081458A" w:rsidRPr="0081458A">
        <w:rPr>
          <w:sz w:val="24"/>
          <w:lang w:val="pl-PL"/>
        </w:rPr>
        <w:t>.</w:t>
      </w:r>
    </w:p>
  </w:footnote>
  <w:footnote w:id="42">
    <w:p w14:paraId="57A43697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81458A">
        <w:rPr>
          <w:sz w:val="24"/>
          <w:lang w:val="en-GB"/>
        </w:rPr>
        <w:t xml:space="preserve"> </w:t>
      </w:r>
      <w:r w:rsidR="00D23C95" w:rsidRPr="0081458A">
        <w:rPr>
          <w:sz w:val="24"/>
          <w:lang w:val="en-GB"/>
        </w:rPr>
        <w:tab/>
      </w:r>
      <w:r w:rsidRPr="0081458A">
        <w:rPr>
          <w:sz w:val="24"/>
          <w:lang w:val="en-GB"/>
        </w:rPr>
        <w:t xml:space="preserve">KU Leuven, Eurometaux, „Study quantifies metal supplies needed to reach EU’s climate neutrality goal”. </w:t>
      </w:r>
      <w:r w:rsidRPr="00D23C95">
        <w:rPr>
          <w:sz w:val="24"/>
          <w:lang w:val="pl-PL"/>
        </w:rPr>
        <w:t xml:space="preserve">[W badaniu oszacowano ilościowo dostawy metalu potrzebne do osiągnięcia neutralności klimatycznej w UE], 25 kwietnia 2022 r., </w:t>
      </w:r>
      <w:hyperlink r:id="rId20" w:history="1">
        <w:r w:rsidR="0081458A" w:rsidRPr="0081458A">
          <w:rPr>
            <w:rStyle w:val="Hyperlink"/>
            <w:sz w:val="24"/>
            <w:lang w:val="pl-PL"/>
          </w:rPr>
          <w:t>https://www.eurometaux.eu/media/hxdhepyp/press-release-study-quantifies-metal-supplies-needed-to-reach-eu-s-climate-neutrality-goal.pdf</w:t>
        </w:r>
      </w:hyperlink>
      <w:r w:rsidR="0081458A" w:rsidRPr="0081458A">
        <w:rPr>
          <w:sz w:val="24"/>
          <w:lang w:val="pl-PL"/>
        </w:rPr>
        <w:t>.</w:t>
      </w:r>
    </w:p>
  </w:footnote>
  <w:footnote w:id="43">
    <w:p w14:paraId="51CF1A6B" w14:textId="77777777" w:rsidR="00C46676" w:rsidRPr="0081458A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81458A">
        <w:rPr>
          <w:sz w:val="24"/>
          <w:u w:color="0000FF"/>
          <w:lang w:val="pl-PL"/>
        </w:rPr>
        <w:t>Rozporządzenie Parlamentu Europejskiego i Rady (UE) 2024/1252 z dnia 11 kwietnia 2024 r. w sprawie ustanowienia ram na potrzeby zapewnienia bezpiecznych i zrównoważonych dostaw surowców krytycznych oraz zmiany rozporządzeń (UE) nr 168/2013, (UE) 2018/858, (UE) 2018/1724 i (UE) 2019/1020</w:t>
      </w:r>
      <w:r w:rsidR="005D4399">
        <w:rPr>
          <w:sz w:val="24"/>
          <w:u w:color="0000FF"/>
          <w:lang w:val="pl-PL"/>
        </w:rPr>
        <w:t xml:space="preserve"> </w:t>
      </w:r>
      <w:r w:rsidR="005D4399" w:rsidRPr="005D4399">
        <w:rPr>
          <w:sz w:val="24"/>
          <w:u w:color="0000FF"/>
          <w:lang w:val="pl-PL"/>
        </w:rPr>
        <w:t>(Dz.</w:t>
      </w:r>
      <w:r w:rsidR="005D4399">
        <w:rPr>
          <w:sz w:val="24"/>
          <w:u w:color="0000FF"/>
          <w:lang w:val="pl-PL"/>
        </w:rPr>
        <w:t>U.</w:t>
      </w:r>
      <w:r w:rsidR="005D4399" w:rsidRPr="005D4399">
        <w:rPr>
          <w:sz w:val="24"/>
          <w:u w:color="0000FF"/>
          <w:lang w:val="pl-PL"/>
        </w:rPr>
        <w:t xml:space="preserve"> L, 2024/1252, 3.5.2024, </w:t>
      </w:r>
      <w:r w:rsidRPr="0081458A">
        <w:rPr>
          <w:sz w:val="24"/>
          <w:u w:color="0000FF"/>
          <w:lang w:val="pl-PL"/>
        </w:rPr>
        <w:t xml:space="preserve">ELI: </w:t>
      </w:r>
      <w:hyperlink r:id="rId21" w:history="1">
        <w:r w:rsidR="0081458A" w:rsidRPr="0081458A">
          <w:rPr>
            <w:rStyle w:val="Hyperlink"/>
            <w:sz w:val="24"/>
            <w:u w:color="0000FF"/>
            <w:lang w:val="pl-PL"/>
          </w:rPr>
          <w:t>http://data.europa.eu/eli/reg/2024/1252/oj</w:t>
        </w:r>
      </w:hyperlink>
      <w:r w:rsidR="0081458A" w:rsidRPr="0081458A">
        <w:rPr>
          <w:sz w:val="24"/>
          <w:u w:val="single" w:color="0000FF"/>
          <w:lang w:val="pl-PL"/>
        </w:rPr>
        <w:t>).</w:t>
      </w:r>
    </w:p>
  </w:footnote>
  <w:footnote w:id="44">
    <w:p w14:paraId="1135535D" w14:textId="77777777" w:rsidR="00C46676" w:rsidRPr="00D23C95" w:rsidRDefault="00C46676" w:rsidP="00D23C95">
      <w:pPr>
        <w:pStyle w:val="FootnoteText"/>
        <w:ind w:left="567" w:hanging="567"/>
        <w:rPr>
          <w:sz w:val="24"/>
          <w:lang w:val="pl-PL"/>
        </w:rPr>
      </w:pPr>
      <w:r w:rsidRPr="00D23C95">
        <w:rPr>
          <w:rStyle w:val="FootnoteReference"/>
          <w:sz w:val="24"/>
          <w:lang w:val="pl-PL"/>
        </w:rPr>
        <w:footnoteRef/>
      </w:r>
      <w:r w:rsidR="00D23C95" w:rsidRPr="00D23C95">
        <w:rPr>
          <w:sz w:val="24"/>
          <w:lang w:val="pl-PL"/>
        </w:rPr>
        <w:t xml:space="preserve"> </w:t>
      </w:r>
      <w:r w:rsidR="00D23C95" w:rsidRPr="00D23C95">
        <w:rPr>
          <w:sz w:val="24"/>
          <w:lang w:val="pl-PL"/>
        </w:rPr>
        <w:tab/>
      </w:r>
      <w:r w:rsidRPr="005D4399">
        <w:rPr>
          <w:sz w:val="24"/>
          <w:u w:color="0000FF"/>
          <w:lang w:val="pl-PL"/>
        </w:rPr>
        <w:t>Komunikat Komisji z dnia 5 marca 2025 r. pt. „Unia umiejętności” (COM(2025)0090).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EFF43" w14:textId="77777777" w:rsidR="00064002" w:rsidRPr="00D23C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65EDF" w14:textId="77777777" w:rsidR="00064002" w:rsidRPr="00D23C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73CA" w14:textId="77777777" w:rsidR="00064002" w:rsidRPr="00D23C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1740848">
    <w:abstractNumId w:val="9"/>
  </w:num>
  <w:num w:numId="2" w16cid:durableId="275408564">
    <w:abstractNumId w:val="9"/>
  </w:num>
  <w:num w:numId="3" w16cid:durableId="1759791241">
    <w:abstractNumId w:val="7"/>
  </w:num>
  <w:num w:numId="4" w16cid:durableId="210270259">
    <w:abstractNumId w:val="7"/>
  </w:num>
  <w:num w:numId="5" w16cid:durableId="1641811399">
    <w:abstractNumId w:val="6"/>
  </w:num>
  <w:num w:numId="6" w16cid:durableId="2140566732">
    <w:abstractNumId w:val="6"/>
  </w:num>
  <w:num w:numId="7" w16cid:durableId="117997432">
    <w:abstractNumId w:val="5"/>
  </w:num>
  <w:num w:numId="8" w16cid:durableId="11226790">
    <w:abstractNumId w:val="5"/>
  </w:num>
  <w:num w:numId="9" w16cid:durableId="536818828">
    <w:abstractNumId w:val="4"/>
  </w:num>
  <w:num w:numId="10" w16cid:durableId="1443183075">
    <w:abstractNumId w:val="4"/>
  </w:num>
  <w:num w:numId="11" w16cid:durableId="2095279062">
    <w:abstractNumId w:val="8"/>
  </w:num>
  <w:num w:numId="12" w16cid:durableId="692195984">
    <w:abstractNumId w:val="8"/>
  </w:num>
  <w:num w:numId="13" w16cid:durableId="963534520">
    <w:abstractNumId w:val="3"/>
  </w:num>
  <w:num w:numId="14" w16cid:durableId="2033913331">
    <w:abstractNumId w:val="3"/>
  </w:num>
  <w:num w:numId="15" w16cid:durableId="1955549970">
    <w:abstractNumId w:val="2"/>
  </w:num>
  <w:num w:numId="16" w16cid:durableId="605164075">
    <w:abstractNumId w:val="2"/>
  </w:num>
  <w:num w:numId="17" w16cid:durableId="940182366">
    <w:abstractNumId w:val="1"/>
  </w:num>
  <w:num w:numId="18" w16cid:durableId="1070538917">
    <w:abstractNumId w:val="1"/>
  </w:num>
  <w:num w:numId="19" w16cid:durableId="1763449459">
    <w:abstractNumId w:val="0"/>
  </w:num>
  <w:num w:numId="20" w16cid:durableId="1313438861">
    <w:abstractNumId w:val="0"/>
  </w:num>
  <w:num w:numId="21" w16cid:durableId="1848058795">
    <w:abstractNumId w:val="9"/>
  </w:num>
  <w:num w:numId="22" w16cid:durableId="1191576244">
    <w:abstractNumId w:val="7"/>
  </w:num>
  <w:num w:numId="23" w16cid:durableId="1195800842">
    <w:abstractNumId w:val="6"/>
  </w:num>
  <w:num w:numId="24" w16cid:durableId="152719177">
    <w:abstractNumId w:val="5"/>
  </w:num>
  <w:num w:numId="25" w16cid:durableId="1980302752">
    <w:abstractNumId w:val="4"/>
  </w:num>
  <w:num w:numId="26" w16cid:durableId="426510108">
    <w:abstractNumId w:val="8"/>
  </w:num>
  <w:num w:numId="27" w16cid:durableId="302003543">
    <w:abstractNumId w:val="3"/>
  </w:num>
  <w:num w:numId="28" w16cid:durableId="910233233">
    <w:abstractNumId w:val="2"/>
  </w:num>
  <w:num w:numId="29" w16cid:durableId="217976428">
    <w:abstractNumId w:val="1"/>
  </w:num>
  <w:num w:numId="30" w16cid:durableId="1353265176">
    <w:abstractNumId w:val="0"/>
  </w:num>
  <w:num w:numId="31" w16cid:durableId="645935023">
    <w:abstractNumId w:val="9"/>
  </w:num>
  <w:num w:numId="32" w16cid:durableId="876770277">
    <w:abstractNumId w:val="7"/>
  </w:num>
  <w:num w:numId="33" w16cid:durableId="2017222490">
    <w:abstractNumId w:val="6"/>
  </w:num>
  <w:num w:numId="34" w16cid:durableId="1291977578">
    <w:abstractNumId w:val="5"/>
  </w:num>
  <w:num w:numId="35" w16cid:durableId="1457023410">
    <w:abstractNumId w:val="4"/>
  </w:num>
  <w:num w:numId="36" w16cid:durableId="349071424">
    <w:abstractNumId w:val="8"/>
  </w:num>
  <w:num w:numId="37" w16cid:durableId="849563751">
    <w:abstractNumId w:val="3"/>
  </w:num>
  <w:num w:numId="38" w16cid:durableId="1707678033">
    <w:abstractNumId w:val="2"/>
  </w:num>
  <w:num w:numId="39" w16cid:durableId="276836671">
    <w:abstractNumId w:val="1"/>
  </w:num>
  <w:num w:numId="40" w16cid:durableId="808203599">
    <w:abstractNumId w:val="0"/>
  </w:num>
  <w:num w:numId="41" w16cid:durableId="1764495075">
    <w:abstractNumId w:val="10"/>
  </w:num>
  <w:num w:numId="42" w16cid:durableId="1850362654">
    <w:abstractNumId w:val="10"/>
  </w:num>
  <w:num w:numId="43" w16cid:durableId="1464467747">
    <w:abstractNumId w:val="10"/>
  </w:num>
  <w:num w:numId="44" w16cid:durableId="1667512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1/2025"/>
    <w:docVar w:name="dvlangue" w:val="PL"/>
    <w:docVar w:name="dvnumam" w:val="0"/>
    <w:docVar w:name="dvpe" w:val="768.244"/>
    <w:docVar w:name="dvrapporteur" w:val="Sprawozdawca: "/>
    <w:docVar w:name="dvstar" w:val="??"/>
    <w:docVar w:name="dvtitre" w:val="Rezolucja Parlamentu Europejskiego z dnia  2025 r. w sprawie sieci elektroenergetycznych – podstawy unijnego systemu energetycznego(2025/2006(INI))"/>
  </w:docVars>
  <w:rsids>
    <w:rsidRoot w:val="008D42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A91"/>
    <w:rsid w:val="002767FF"/>
    <w:rsid w:val="002B18FE"/>
    <w:rsid w:val="002B5493"/>
    <w:rsid w:val="00343214"/>
    <w:rsid w:val="00361C00"/>
    <w:rsid w:val="00395FA1"/>
    <w:rsid w:val="003E15D4"/>
    <w:rsid w:val="003E1C6D"/>
    <w:rsid w:val="00411CCE"/>
    <w:rsid w:val="0041666E"/>
    <w:rsid w:val="00421060"/>
    <w:rsid w:val="00471C19"/>
    <w:rsid w:val="004867E3"/>
    <w:rsid w:val="00494A28"/>
    <w:rsid w:val="004C0004"/>
    <w:rsid w:val="004C5D52"/>
    <w:rsid w:val="004F74BC"/>
    <w:rsid w:val="0050519A"/>
    <w:rsid w:val="005072A1"/>
    <w:rsid w:val="00514517"/>
    <w:rsid w:val="00545827"/>
    <w:rsid w:val="00560270"/>
    <w:rsid w:val="005C2568"/>
    <w:rsid w:val="005D439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58A"/>
    <w:rsid w:val="00817416"/>
    <w:rsid w:val="00833EFF"/>
    <w:rsid w:val="00842779"/>
    <w:rsid w:val="00865F67"/>
    <w:rsid w:val="00881A7B"/>
    <w:rsid w:val="008840E5"/>
    <w:rsid w:val="00887B3E"/>
    <w:rsid w:val="008C2AC6"/>
    <w:rsid w:val="008D42E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676"/>
    <w:rsid w:val="00C61C0C"/>
    <w:rsid w:val="00C941CB"/>
    <w:rsid w:val="00CC2357"/>
    <w:rsid w:val="00CF071A"/>
    <w:rsid w:val="00D058B8"/>
    <w:rsid w:val="00D23C95"/>
    <w:rsid w:val="00D56C11"/>
    <w:rsid w:val="00D72749"/>
    <w:rsid w:val="00D834A0"/>
    <w:rsid w:val="00D872DF"/>
    <w:rsid w:val="00D91E21"/>
    <w:rsid w:val="00DA7FCD"/>
    <w:rsid w:val="00DB75D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A6F81"/>
  <w15:chartTrackingRefBased/>
  <w15:docId w15:val="{88B7034E-C6B3-49E5-9ECF-C12F4326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6676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C46676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C46676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C46676"/>
    <w:rPr>
      <w:b/>
      <w:i/>
      <w:u w:val="none"/>
    </w:rPr>
  </w:style>
  <w:style w:type="character" w:customStyle="1" w:styleId="Italic">
    <w:name w:val="Italic"/>
    <w:uiPriority w:val="1"/>
    <w:rsid w:val="00C46676"/>
    <w:rPr>
      <w:i/>
    </w:rPr>
  </w:style>
  <w:style w:type="paragraph" w:customStyle="1" w:styleId="Normal12a24b">
    <w:name w:val="Normal12a24b"/>
    <w:basedOn w:val="Normal"/>
    <w:rsid w:val="00C46676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C4667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E1C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1C6D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747/oj" TargetMode="External"/><Relationship Id="rId13" Type="http://schemas.openxmlformats.org/officeDocument/2006/relationships/hyperlink" Target="http://data.europa.eu/eli/reg/2022/2577/oj" TargetMode="External"/><Relationship Id="rId18" Type="http://schemas.openxmlformats.org/officeDocument/2006/relationships/hyperlink" Target="http://data.europa.eu/eli/reg/2019/881/oj" TargetMode="External"/><Relationship Id="rId3" Type="http://schemas.openxmlformats.org/officeDocument/2006/relationships/hyperlink" Target="http://data.europa.eu/eli/dir/2019/944/oj" TargetMode="External"/><Relationship Id="rId21" Type="http://schemas.openxmlformats.org/officeDocument/2006/relationships/hyperlink" Target="http://data.europa.eu/eli/reg/2024/1252/2024-05-03" TargetMode="External"/><Relationship Id="rId7" Type="http://schemas.openxmlformats.org/officeDocument/2006/relationships/hyperlink" Target="http://data.europa.eu/eli/dir/2024/1711/oj" TargetMode="External"/><Relationship Id="rId12" Type="http://schemas.openxmlformats.org/officeDocument/2006/relationships/hyperlink" Target="ELI:%20http://data.europa.eu/eli/dir/2019/944/oj" TargetMode="External"/><Relationship Id="rId17" Type="http://schemas.openxmlformats.org/officeDocument/2006/relationships/hyperlink" Target="http://data.europa.eu/eli/dir/2022/2555/oj" TargetMode="External"/><Relationship Id="rId2" Type="http://schemas.openxmlformats.org/officeDocument/2006/relationships/hyperlink" Target="ELI:%20http://data.europa.eu/eli/reg/2022/869/oj" TargetMode="External"/><Relationship Id="rId16" Type="http://schemas.openxmlformats.org/officeDocument/2006/relationships/hyperlink" Target="http://data.europa.eu/eli/reg/2024/1735/oj" TargetMode="External"/><Relationship Id="rId20" Type="http://schemas.openxmlformats.org/officeDocument/2006/relationships/hyperlink" Target="https://www.eurometaux.eu/media/hxdhepyp/press-release-study-quantifies-metal-supplies-needed-to-reach-eu-s-climate-neutrality-goal.pdf" TargetMode="External"/><Relationship Id="rId1" Type="http://schemas.openxmlformats.org/officeDocument/2006/relationships/hyperlink" Target="http://data.europa.eu/eli/reg/2021/1153/oj" TargetMode="External"/><Relationship Id="rId6" Type="http://schemas.openxmlformats.org/officeDocument/2006/relationships/hyperlink" Target="http://data.europa.eu/eli/dir/2024/1275/oj" TargetMode="External"/><Relationship Id="rId11" Type="http://schemas.openxmlformats.org/officeDocument/2006/relationships/hyperlink" Target="https://data.consilium.europa.eu/doc/document/ST-5438-2025-INIT/en/pdf" TargetMode="External"/><Relationship Id="rId5" Type="http://schemas.openxmlformats.org/officeDocument/2006/relationships/hyperlink" Target="http://data.europa.eu/eli/dir/2023/2413/oj" TargetMode="External"/><Relationship Id="rId15" Type="http://schemas.openxmlformats.org/officeDocument/2006/relationships/hyperlink" Target="http://data.europa.eu/eli/dir/2014/24/oj" TargetMode="External"/><Relationship Id="rId10" Type="http://schemas.openxmlformats.org/officeDocument/2006/relationships/hyperlink" Target="https://eepublicdownloads.blob.core.windows.net/public-cdn-container/clean-documents/Network%20codes%20documents/NC%20CACM/BZR/2025/Bidding_Zone_Review_of_the_2025_Target_Year.pdf" TargetMode="External"/><Relationship Id="rId19" Type="http://schemas.openxmlformats.org/officeDocument/2006/relationships/hyperlink" Target="https://iea.blob.core.windows.net/assets/a688d0f5-a100-447f-91a1-50b7b0d8eaa1/BuildingtheFutureTransmissionGrid.pdf" TargetMode="External"/><Relationship Id="rId4" Type="http://schemas.openxmlformats.org/officeDocument/2006/relationships/hyperlink" Target="http://data.europa.eu/eli/reg/2019/943/oj" TargetMode="External"/><Relationship Id="rId9" Type="http://schemas.openxmlformats.org/officeDocument/2006/relationships/hyperlink" Target="http://data.europa.eu/eli/reg/2018/1999/oj" TargetMode="External"/><Relationship Id="rId14" Type="http://schemas.openxmlformats.org/officeDocument/2006/relationships/hyperlink" Target="http://data.europa.eu/eli/dir/2011/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E2DE0-7CB8-4F10-B95C-AAD74890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8346</Words>
  <Characters>58304</Characters>
  <Application>Microsoft Office Word</Application>
  <DocSecurity>4</DocSecurity>
  <Lines>485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GIRGINOV Kiril</cp:lastModifiedBy>
  <cp:revision>2</cp:revision>
  <cp:lastPrinted>2004-11-19T15:42:00Z</cp:lastPrinted>
  <dcterms:created xsi:type="dcterms:W3CDTF">2025-10-16T10:27:00Z</dcterms:created>
  <dcterms:modified xsi:type="dcterms:W3CDTF">2025-10-16T10:27:00Z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A10-0091/2025</vt:lpwstr>
  </property>
  <property fmtid="{D5CDD505-2E9C-101B-9397-08002B2CF9AE}" pid="4" name="&lt;Type&gt;">
    <vt:lpwstr>RR</vt:lpwstr>
  </property>
</Properties>
</file>