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3F8" w14:paraId="60B137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C62F44" w14:textId="77777777" w:rsidR="00751A4A" w:rsidRPr="005273F8" w:rsidRDefault="000A04CF" w:rsidP="0010095E">
            <w:pPr>
              <w:pStyle w:val="EPName"/>
            </w:pPr>
            <w:r w:rsidRPr="005273F8">
              <w:t>Európsky parlament</w:t>
            </w:r>
          </w:p>
          <w:p w14:paraId="2F1033CC" w14:textId="77777777" w:rsidR="00751A4A" w:rsidRPr="005273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3F8">
              <w:t>2024</w:t>
            </w:r>
            <w:r w:rsidR="00817416" w:rsidRPr="005273F8">
              <w:t>-202</w:t>
            </w:r>
            <w:r w:rsidRPr="005273F8">
              <w:t>9</w:t>
            </w:r>
          </w:p>
        </w:tc>
        <w:tc>
          <w:tcPr>
            <w:tcW w:w="2268" w:type="dxa"/>
            <w:shd w:val="clear" w:color="auto" w:fill="auto"/>
          </w:tcPr>
          <w:p w14:paraId="1B9FE8C3" w14:textId="77777777" w:rsidR="00751A4A" w:rsidRPr="005273F8" w:rsidRDefault="00187494" w:rsidP="0010095E">
            <w:pPr>
              <w:pStyle w:val="EPLogo"/>
            </w:pPr>
            <w:r w:rsidRPr="005273F8">
              <w:rPr>
                <w:noProof/>
                <w:lang w:val="en-GB"/>
              </w:rPr>
              <w:drawing>
                <wp:inline distT="0" distB="0" distL="0" distR="0" wp14:anchorId="1B4A4CD1" wp14:editId="0C71AB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AC738A" w14:textId="77777777" w:rsidR="00D058B8" w:rsidRPr="005273F8" w:rsidRDefault="00D058B8" w:rsidP="004C5D52">
      <w:pPr>
        <w:pStyle w:val="LineTop"/>
      </w:pPr>
    </w:p>
    <w:p w14:paraId="37D936C5" w14:textId="77777777" w:rsidR="00680577" w:rsidRPr="005273F8" w:rsidRDefault="000A04CF" w:rsidP="00680577">
      <w:pPr>
        <w:pStyle w:val="EPBodyTA1"/>
      </w:pPr>
      <w:r w:rsidRPr="005273F8">
        <w:t>PRIJATÉ TEXTY</w:t>
      </w:r>
    </w:p>
    <w:p w14:paraId="231701E7" w14:textId="77777777" w:rsidR="00D058B8" w:rsidRPr="005273F8" w:rsidRDefault="00D058B8" w:rsidP="00D058B8">
      <w:pPr>
        <w:pStyle w:val="LineBottom"/>
      </w:pPr>
    </w:p>
    <w:p w14:paraId="44B0C8B2" w14:textId="7FDCC83E" w:rsidR="000A04CF" w:rsidRPr="005273F8" w:rsidRDefault="000A04CF" w:rsidP="000A04CF">
      <w:pPr>
        <w:pStyle w:val="ATHeading1"/>
      </w:pPr>
      <w:bookmarkStart w:id="0" w:name="TANumber"/>
      <w:r w:rsidRPr="005273F8">
        <w:t>P10_TA(2025)0</w:t>
      </w:r>
      <w:r w:rsidR="009A4AA6">
        <w:t>136</w:t>
      </w:r>
      <w:bookmarkEnd w:id="0"/>
    </w:p>
    <w:p w14:paraId="4D101CF8" w14:textId="77777777" w:rsidR="000A04CF" w:rsidRPr="005273F8" w:rsidRDefault="000A04CF" w:rsidP="000A04CF">
      <w:pPr>
        <w:pStyle w:val="ATHeading2"/>
      </w:pPr>
      <w:bookmarkStart w:id="1" w:name="title"/>
      <w:r w:rsidRPr="005273F8">
        <w:t>Elektrické siete: pilier energetického systému EÚ</w:t>
      </w:r>
      <w:bookmarkEnd w:id="1"/>
    </w:p>
    <w:p w14:paraId="7E343ACB" w14:textId="77777777" w:rsidR="000A04CF" w:rsidRPr="005273F8" w:rsidRDefault="000A04CF" w:rsidP="000A04CF">
      <w:pPr>
        <w:rPr>
          <w:i/>
          <w:vanish/>
        </w:rPr>
      </w:pPr>
      <w:r w:rsidRPr="005273F8">
        <w:rPr>
          <w:i/>
        </w:rPr>
        <w:fldChar w:fldCharType="begin"/>
      </w:r>
      <w:r w:rsidRPr="005273F8">
        <w:rPr>
          <w:i/>
        </w:rPr>
        <w:instrText xml:space="preserve"> TC"(</w:instrText>
      </w:r>
      <w:bookmarkStart w:id="2" w:name="DocNumber"/>
      <w:r w:rsidRPr="005273F8">
        <w:rPr>
          <w:i/>
        </w:rPr>
        <w:instrText>A10-0091/2025</w:instrText>
      </w:r>
      <w:bookmarkEnd w:id="2"/>
      <w:r w:rsidRPr="005273F8">
        <w:rPr>
          <w:i/>
        </w:rPr>
        <w:instrText xml:space="preserve"> - Spravodajkyňa: Anna Stürgkh)"\l3 \n&gt; \* MERGEFORMAT </w:instrText>
      </w:r>
      <w:r w:rsidRPr="005273F8">
        <w:rPr>
          <w:i/>
        </w:rPr>
        <w:fldChar w:fldCharType="end"/>
      </w:r>
    </w:p>
    <w:p w14:paraId="34C082BF" w14:textId="77777777" w:rsidR="000A04CF" w:rsidRPr="005273F8" w:rsidRDefault="000A04CF" w:rsidP="000A04CF">
      <w:pPr>
        <w:rPr>
          <w:vanish/>
        </w:rPr>
      </w:pPr>
      <w:bookmarkStart w:id="3" w:name="Commission"/>
      <w:r w:rsidRPr="005273F8">
        <w:rPr>
          <w:vanish/>
        </w:rPr>
        <w:t>Výbor pre priemysel, výskum a energetiku</w:t>
      </w:r>
      <w:bookmarkEnd w:id="3"/>
    </w:p>
    <w:p w14:paraId="58649CBF" w14:textId="77777777" w:rsidR="000A04CF" w:rsidRPr="005273F8" w:rsidRDefault="000A04CF" w:rsidP="000A04CF">
      <w:pPr>
        <w:rPr>
          <w:vanish/>
        </w:rPr>
      </w:pPr>
      <w:bookmarkStart w:id="4" w:name="PE"/>
      <w:r w:rsidRPr="005273F8">
        <w:rPr>
          <w:vanish/>
        </w:rPr>
        <w:t>PE768.244</w:t>
      </w:r>
      <w:bookmarkEnd w:id="4"/>
    </w:p>
    <w:p w14:paraId="26DE308B" w14:textId="21FC1A92" w:rsidR="000A04CF" w:rsidRPr="005273F8" w:rsidRDefault="000A04CF" w:rsidP="000A04CF">
      <w:pPr>
        <w:pStyle w:val="ATHeading3"/>
      </w:pPr>
      <w:bookmarkStart w:id="5" w:name="Sujet"/>
      <w:r w:rsidRPr="005273F8">
        <w:t xml:space="preserve">Uznesenie Európskeho parlamentu z </w:t>
      </w:r>
      <w:r w:rsidR="009973BA">
        <w:t>1</w:t>
      </w:r>
      <w:r w:rsidR="00F623E3">
        <w:t>9</w:t>
      </w:r>
      <w:r w:rsidRPr="005273F8">
        <w:t>. júna 2025 o elektrických sieťach: pilier energetického systému EÚ</w:t>
      </w:r>
      <w:bookmarkEnd w:id="5"/>
      <w:r w:rsidRPr="005273F8">
        <w:t xml:space="preserve"> </w:t>
      </w:r>
      <w:bookmarkStart w:id="6" w:name="References"/>
      <w:r w:rsidRPr="005273F8">
        <w:t>(2025/2006(INI))</w:t>
      </w:r>
      <w:bookmarkEnd w:id="6"/>
    </w:p>
    <w:p w14:paraId="34F90037" w14:textId="77777777" w:rsidR="0030521E" w:rsidRPr="005273F8" w:rsidRDefault="0030521E" w:rsidP="0030521E">
      <w:pPr>
        <w:pStyle w:val="EPComma"/>
        <w:rPr>
          <w:lang w:val="sk-SK"/>
        </w:rPr>
      </w:pPr>
      <w:r w:rsidRPr="005273F8">
        <w:rPr>
          <w:rStyle w:val="Italic"/>
          <w:lang w:val="sk-SK"/>
        </w:rPr>
        <w:t>Európsky parlament</w:t>
      </w:r>
      <w:r w:rsidRPr="005273F8">
        <w:rPr>
          <w:lang w:val="sk-SK"/>
        </w:rPr>
        <w:t>,</w:t>
      </w:r>
    </w:p>
    <w:p w14:paraId="4F8A0EE7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Zmluvu o fungovaní Európskej únie, a najmä na jej článok 194,</w:t>
      </w:r>
    </w:p>
    <w:p w14:paraId="7E6A9459" w14:textId="2BA02F4C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oznámenie Komisie z 8. júla 2020 s názvom Pohon pre klimaticky neutrálne hospodárstvo: stratégia integrácie energetického systému EÚ (</w:t>
      </w:r>
      <w:r w:rsidR="002C79B2" w:rsidRPr="000F3DC8">
        <w:rPr>
          <w:lang w:val="sk-SK"/>
        </w:rPr>
        <w:t>COM(2020)0299</w:t>
      </w:r>
      <w:r w:rsidRPr="005273F8">
        <w:rPr>
          <w:lang w:val="sk-SK"/>
        </w:rPr>
        <w:t>),</w:t>
      </w:r>
    </w:p>
    <w:p w14:paraId="59CA11C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oznámenie Komisie z 28. novembra 2023 s názvom Elektrizačné sústavy, chýbajúci článok – Akčný plán EÚ pre elektrizačné sústavy (COM(2023)0757),</w:t>
      </w:r>
    </w:p>
    <w:p w14:paraId="38187AB9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správu Komisie z januára 2025 s názvom Investičné potreby európskej energetickej infraštruktúry na umožnenie dekarbonizovaného hospodárstva</w:t>
      </w:r>
      <w:r w:rsidRPr="005273F8">
        <w:rPr>
          <w:rStyle w:val="FootnoteReference"/>
          <w:lang w:val="sk-SK"/>
        </w:rPr>
        <w:footnoteReference w:id="1"/>
      </w:r>
      <w:r w:rsidRPr="005273F8">
        <w:rPr>
          <w:lang w:val="sk-SK"/>
        </w:rPr>
        <w:t>,</w:t>
      </w:r>
    </w:p>
    <w:p w14:paraId="1E28E1FA" w14:textId="4DAC32D1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 xml:space="preserve">so zreteľom na oznámenie Komisie z 26. februára 2025 s názvom Akčný plán pre cenovo dostupnú </w:t>
      </w:r>
      <w:proofErr w:type="spellStart"/>
      <w:r w:rsidRPr="005273F8">
        <w:rPr>
          <w:lang w:val="sk-SK"/>
        </w:rPr>
        <w:t>enegiu</w:t>
      </w:r>
      <w:proofErr w:type="spellEnd"/>
      <w:r w:rsidRPr="005273F8">
        <w:rPr>
          <w:lang w:val="sk-SK"/>
        </w:rPr>
        <w:t xml:space="preserve"> – Využitie skutočnej hodnoty našej energetickej únie na zabezpečenie cenovo dostupnej, efektívnej a čistej energie pre všetkých európskych občanov (</w:t>
      </w:r>
      <w:r w:rsidR="002C79B2" w:rsidRPr="000F3DC8">
        <w:rPr>
          <w:lang w:val="sk-SK"/>
        </w:rPr>
        <w:t>COM(2025)0079</w:t>
      </w:r>
      <w:r w:rsidRPr="005273F8">
        <w:rPr>
          <w:lang w:val="sk-SK"/>
        </w:rPr>
        <w:t>),</w:t>
      </w:r>
    </w:p>
    <w:p w14:paraId="2171F456" w14:textId="6226602E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oznámenie Komisie z 26. februára 2025 s názvom Dohoda o čistom priemysle: spoločný plán konkurencieschopnosti a dekarbonizácie (</w:t>
      </w:r>
      <w:r w:rsidR="002C79B2" w:rsidRPr="000F3DC8">
        <w:rPr>
          <w:lang w:val="sk-SK"/>
        </w:rPr>
        <w:t>COM(2025)0085</w:t>
      </w:r>
      <w:r w:rsidRPr="005273F8">
        <w:rPr>
          <w:lang w:val="sk-SK"/>
        </w:rPr>
        <w:t>),</w:t>
      </w:r>
    </w:p>
    <w:p w14:paraId="2BB749C8" w14:textId="75449FE5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oznámenie Komisie z 5. marca 2025 s názvom Odvetvový akčný plán pre európsky automobilový priemysel (</w:t>
      </w:r>
      <w:r w:rsidR="002C79B2" w:rsidRPr="000F3DC8">
        <w:rPr>
          <w:lang w:val="sk-SK"/>
        </w:rPr>
        <w:t>COM(2025)0095</w:t>
      </w:r>
      <w:r w:rsidRPr="005273F8">
        <w:rPr>
          <w:lang w:val="sk-SK"/>
        </w:rPr>
        <w:t>),</w:t>
      </w:r>
    </w:p>
    <w:p w14:paraId="31963C86" w14:textId="64B71691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lastRenderedPageBreak/>
        <w:t>–</w:t>
      </w:r>
      <w:r w:rsidRPr="005273F8">
        <w:rPr>
          <w:lang w:val="sk-SK"/>
        </w:rPr>
        <w:tab/>
        <w:t>so zreteľom na nariadenie Európskeho parlamentu a Rady (EÚ) 2021/1153 zo 7. júla 2021, ktorým sa zriaďuje Nástroj na prepájanie Európy a zrušujú nariadenia (EÚ) č. 1316/2013 a (EÚ) č. 283/2014</w:t>
      </w:r>
      <w:r w:rsidRPr="005273F8">
        <w:rPr>
          <w:rStyle w:val="FootnoteReference"/>
          <w:lang w:val="sk-SK"/>
        </w:rPr>
        <w:footnoteReference w:id="2"/>
      </w:r>
      <w:r w:rsidR="002C79B2">
        <w:rPr>
          <w:lang w:val="sk-SK"/>
        </w:rPr>
        <w:t xml:space="preserve"> </w:t>
      </w:r>
      <w:r w:rsidRPr="005273F8">
        <w:rPr>
          <w:lang w:val="sk-SK"/>
        </w:rPr>
        <w:t>(nariadenie o NPE),</w:t>
      </w:r>
    </w:p>
    <w:p w14:paraId="6B9CA35D" w14:textId="5EE9949C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 xml:space="preserve">so zreteľom na nariadenie Európskeho parlamentu a Rady (EÚ) 2022/869 z 30. mája 2022 o usmerneniach pre </w:t>
      </w:r>
      <w:proofErr w:type="spellStart"/>
      <w:r w:rsidRPr="005273F8">
        <w:rPr>
          <w:lang w:val="sk-SK"/>
        </w:rPr>
        <w:t>transeurópsku</w:t>
      </w:r>
      <w:proofErr w:type="spellEnd"/>
      <w:r w:rsidRPr="005273F8">
        <w:rPr>
          <w:lang w:val="sk-SK"/>
        </w:rPr>
        <w:t xml:space="preserve"> energetickú infraštruktúru, ktorým sa menia nariadenia (ES) č. 715/2009, (EÚ) 2019/942 a (EÚ) 2019/943 a smernice 2009/73/ES a (EÚ) 2019/944 a ktorým sa zrušuje nariadenie (EÚ) č. 347/2013</w:t>
      </w:r>
      <w:r w:rsidRPr="005273F8">
        <w:rPr>
          <w:rStyle w:val="FootnoteReference"/>
          <w:lang w:val="sk-SK"/>
        </w:rPr>
        <w:footnoteReference w:id="3"/>
      </w:r>
      <w:r w:rsidRPr="005273F8">
        <w:rPr>
          <w:lang w:val="sk-SK"/>
        </w:rPr>
        <w:t xml:space="preserve"> (nariadenie o TEN-E),</w:t>
      </w:r>
    </w:p>
    <w:p w14:paraId="733419F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smernicu Európskeho parlamentu a Rady (EÚ) 2019/944 z 5. júna 2019 o spoločných pravidlách pre vnútorný trh s elektrinou a o zmene smernice 2012/27/EÚ</w:t>
      </w:r>
      <w:r w:rsidRPr="005273F8">
        <w:rPr>
          <w:rStyle w:val="FootnoteReference"/>
          <w:lang w:val="sk-SK"/>
        </w:rPr>
        <w:footnoteReference w:id="4"/>
      </w:r>
      <w:r w:rsidRPr="005273F8">
        <w:rPr>
          <w:lang w:val="sk-SK"/>
        </w:rPr>
        <w:t>,</w:t>
      </w:r>
    </w:p>
    <w:p w14:paraId="30D46029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nariadenie Európskeho parlamentu a Rady (EÚ) 2019/943 z 5. júna 2019 o vnútornom trhu s elektrinou</w:t>
      </w:r>
      <w:r w:rsidRPr="005273F8">
        <w:rPr>
          <w:rStyle w:val="FootnoteReference"/>
          <w:lang w:val="sk-SK"/>
        </w:rPr>
        <w:footnoteReference w:id="5"/>
      </w:r>
      <w:r w:rsidRPr="005273F8">
        <w:rPr>
          <w:lang w:val="sk-SK"/>
        </w:rPr>
        <w:t>,</w:t>
      </w:r>
    </w:p>
    <w:p w14:paraId="5E79D97D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 xml:space="preserve">so zreteľom na smernicu Európskeho parlamentu a Rady (EÚ) 2023/2413 z 18. októbra 2023, ktorou sa mení smernica (EÚ) 2018/2001, nariadenie (EÚ) 2018/1999 a smernica 98/70/ES, pokiaľ ide o podporu energie z obnoviteľných zdrojov, a ktorou sa zrušuje smernica Rady (EÚ) 2015/652 </w:t>
      </w:r>
      <w:r w:rsidRPr="005273F8">
        <w:rPr>
          <w:rStyle w:val="FootnoteReference"/>
          <w:lang w:val="sk-SK"/>
        </w:rPr>
        <w:footnoteReference w:id="6"/>
      </w:r>
      <w:r w:rsidRPr="005273F8">
        <w:rPr>
          <w:lang w:val="sk-SK"/>
        </w:rPr>
        <w:t xml:space="preserve"> (smernica o energii z obnoviteľných zdrojov),</w:t>
      </w:r>
    </w:p>
    <w:p w14:paraId="03996D07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smernicu Európskeho parlamentu a Rady (EÚ) 2024/1275/EÚ z 24. apríla 2024 o energetickej hospodárnosti budov</w:t>
      </w:r>
      <w:r w:rsidRPr="005273F8">
        <w:rPr>
          <w:rStyle w:val="FootnoteReference"/>
          <w:lang w:val="sk-SK"/>
        </w:rPr>
        <w:footnoteReference w:id="7"/>
      </w:r>
      <w:r w:rsidRPr="005273F8">
        <w:rPr>
          <w:lang w:val="sk-SK"/>
        </w:rPr>
        <w:t>,</w:t>
      </w:r>
    </w:p>
    <w:p w14:paraId="2FF84623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smernicu Európskeho parlamentu a Rady (EÚ) 2024/1711 z 13. júna 2024, ktorou sa menia smernice (EÚ) 2018/2001 a (EÚ) 2019/944, pokiaľ ide o zlepšenie koncepcie trhu s elektrinou v Únii</w:t>
      </w:r>
      <w:r w:rsidRPr="005273F8">
        <w:rPr>
          <w:rStyle w:val="FootnoteReference"/>
          <w:lang w:val="sk-SK"/>
        </w:rPr>
        <w:footnoteReference w:id="8"/>
      </w:r>
      <w:r w:rsidRPr="005273F8">
        <w:rPr>
          <w:lang w:val="sk-SK"/>
        </w:rPr>
        <w:t>,</w:t>
      </w:r>
    </w:p>
    <w:p w14:paraId="62A7871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nariadenie Európskeho parlamentu a Rady (EÚ) 2024/1747 z 13. júna 2024, ktorým sa menia nariadenia (EÚ) 2019/942 a (EÚ) 2019/943, pokiaľ ide o zlepšenie koncepcie trhu s elektrinou v Únii</w:t>
      </w:r>
      <w:r w:rsidRPr="005273F8">
        <w:rPr>
          <w:rStyle w:val="FootnoteReference"/>
          <w:lang w:val="sk-SK"/>
        </w:rPr>
        <w:footnoteReference w:id="9"/>
      </w:r>
      <w:r w:rsidRPr="005273F8">
        <w:rPr>
          <w:lang w:val="sk-SK"/>
        </w:rPr>
        <w:t xml:space="preserve"> (nariadenie o koncepcii trhu s elektrinou (EMD)),</w:t>
      </w:r>
    </w:p>
    <w:p w14:paraId="4FF5E65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nariadenie Európskeho parlamentu a Rady (EÚ) 2018/1999 z 11. decembra 2018 o riadení energetickej únie a opatrení v oblasti klímy, ktorým sa menia nariadenia Európskeho parlamentu a Rady (ES) č. 663/2009 a (ES) č. 715/2009, smernice Európskeho parlamentu a Rady 94/22/ES, 98/70/ES, 2009/31/ES, 2009/73/ES, 2010/31/EÚ, 2012/27/EÚ a 2013/30/EÚ, smernice Rady 2009/119/ES a (EÚ) 2015/652 a ktorým sa zrušuje nariadenie Európskeho parlamentu a Rady</w:t>
      </w:r>
      <w:r w:rsidRPr="005273F8">
        <w:rPr>
          <w:rStyle w:val="FootnoteReference"/>
          <w:lang w:val="sk-SK"/>
        </w:rPr>
        <w:footnoteReference w:id="10"/>
      </w:r>
      <w:r w:rsidRPr="005273F8">
        <w:rPr>
          <w:lang w:val="sk-SK"/>
        </w:rPr>
        <w:t xml:space="preserve"> (EÚ) č. 525/2013, ktoré odráža ciele prepojenia elektrických sietí,</w:t>
      </w:r>
    </w:p>
    <w:p w14:paraId="2792ED9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lastRenderedPageBreak/>
        <w:t>–</w:t>
      </w:r>
      <w:r w:rsidRPr="005273F8">
        <w:rPr>
          <w:lang w:val="sk-SK"/>
        </w:rPr>
        <w:tab/>
        <w:t>so zreteľom na závery Rady o rozvoji udržateľnej infraštruktúry elektrizačnej sústavy, ktoré Rada pre dopravu, telekomunikácie a energetiku schválila na zasadnutí 30. mája 2024,</w:t>
      </w:r>
    </w:p>
    <w:p w14:paraId="4AB1FDCB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svoje uznesenie z 10. júla 2020 o komplexnom európskom prístupe k uskladňovaniu energie</w:t>
      </w:r>
      <w:r w:rsidRPr="005273F8">
        <w:rPr>
          <w:rStyle w:val="FootnoteReference"/>
          <w:lang w:val="sk-SK"/>
        </w:rPr>
        <w:footnoteReference w:id="11"/>
      </w:r>
      <w:r w:rsidRPr="005273F8">
        <w:rPr>
          <w:lang w:val="sk-SK"/>
        </w:rPr>
        <w:t>,</w:t>
      </w:r>
    </w:p>
    <w:p w14:paraId="29622E36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svoje uznesenie z 19. mája 2021 o európskej stratégii pre integráciu energetických systémov</w:t>
      </w:r>
      <w:r w:rsidRPr="005273F8">
        <w:rPr>
          <w:rStyle w:val="FootnoteReference"/>
          <w:lang w:val="sk-SK"/>
        </w:rPr>
        <w:footnoteReference w:id="12"/>
      </w:r>
      <w:r w:rsidRPr="005273F8">
        <w:rPr>
          <w:lang w:val="sk-SK"/>
        </w:rPr>
        <w:t>,</w:t>
      </w:r>
    </w:p>
    <w:p w14:paraId="3693A2D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správu Agentúry EÚ pre spoluprácu regulačných orgánov v oblasti energetiky (ACER) z januára 2023 o metodikách určovania prenosových a distribučných taríf elektrickej energie v Európe,</w:t>
      </w:r>
    </w:p>
    <w:p w14:paraId="58D9CD3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správu agentúry ACER z 19. decembra 2023 s názvom Reakcia na dopyt a iné distribuované zdroje energie: aké prekážky ich brzdia,</w:t>
      </w:r>
    </w:p>
    <w:p w14:paraId="36A1C38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správu Európskej siete prevádzkovateľov prenosových sústav pre elektrinu (ENTSO-E) z apríla 2025 s názvom Preskúmanie záchytnej zóny cieľového roka 2025</w:t>
      </w:r>
      <w:r w:rsidRPr="005273F8">
        <w:rPr>
          <w:rStyle w:val="FootnoteReference"/>
          <w:lang w:val="sk-SK"/>
        </w:rPr>
        <w:footnoteReference w:id="13"/>
      </w:r>
      <w:r w:rsidRPr="005273F8">
        <w:rPr>
          <w:lang w:val="sk-SK"/>
        </w:rPr>
        <w:t>,</w:t>
      </w:r>
    </w:p>
    <w:p w14:paraId="76D67C5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zo zreteľom na článok 55 rokovacieho poriadku,</w:t>
      </w:r>
    </w:p>
    <w:p w14:paraId="1D6BEF58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–</w:t>
      </w:r>
      <w:r w:rsidRPr="005273F8">
        <w:rPr>
          <w:lang w:val="sk-SK"/>
        </w:rPr>
        <w:tab/>
        <w:t>so zreteľom na správu Výboru pre priemysel, výskum a energetiku (A10-0091/2025),</w:t>
      </w:r>
    </w:p>
    <w:p w14:paraId="50C9B43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A.</w:t>
      </w:r>
      <w:r w:rsidRPr="005273F8">
        <w:rPr>
          <w:lang w:val="sk-SK"/>
        </w:rPr>
        <w:tab/>
        <w:t>keďže elektrické siete sú nevyhnutné na to, aby Únia dosiahla svoj prechod na čistú energiu a dodávala energiu z obnoviteľných zdrojov a zároveň podporovala hospodársky rast a prosperitu; keďže neefektívnosť a nedostatočná integrácia negatívne ovplyvňujú ceny energie pre spotrebiteľov a podniky;</w:t>
      </w:r>
    </w:p>
    <w:p w14:paraId="6512C8F7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B.</w:t>
      </w:r>
      <w:r w:rsidRPr="005273F8">
        <w:rPr>
          <w:lang w:val="sk-SK"/>
        </w:rPr>
        <w:tab/>
        <w:t>keďže vzhľadom na rastúci dopyt po elektrickej energii sú potrebné značné investície a zlepšenia spolu s regulačným dohľadom na zvýšenie cezhraničnej a vnútroštátnej prenosovej kapacity a modernizáciu infraštruktúry, čím sa zabezpečí dekarbonizovaná, pružná, decentralizovanejšia, digitalizovanejšia a odolnejšia elektrizačná sústava;</w:t>
      </w:r>
    </w:p>
    <w:p w14:paraId="1CB48DA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C.</w:t>
      </w:r>
      <w:r w:rsidRPr="005273F8">
        <w:rPr>
          <w:lang w:val="sk-SK"/>
        </w:rPr>
        <w:tab/>
        <w:t>keďže slabé prepojenie a nedostatky v sieti patria k hlavným dôvodom, prečo EÚ nemôže v plnej miere využívať značné inštalované kapacity veternej a solárnej energie, a tým zabezpečiť dostupné ceny pre domácnosti a priemysel; keďže nedostatok silného prepojenia medzi regiónmi s rôznymi prírodnými a klimatickými charakteristikami vedie v niektorých regiónoch k nadprodukcii energie a administratívnemu obmedzovaniu výroby z obnoviteľných zdrojov, zatiaľ čo iné regióny zápasia s nedostatočnými dodávkami a vysokými cenami;</w:t>
      </w:r>
    </w:p>
    <w:p w14:paraId="55AB75B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lastRenderedPageBreak/>
        <w:t>D.</w:t>
      </w:r>
      <w:r w:rsidRPr="005273F8">
        <w:rPr>
          <w:lang w:val="sk-SK"/>
        </w:rPr>
        <w:tab/>
        <w:t>keďže prevádzkovatelia prenosových sústav (PPS) majú zásadný význam pre integráciu energie z obnoviteľných zdrojov na mori do siete EÚ, najmä v prípade tých, ktoré sú pripojené na viac ako jeden trh; keďže v prípade, že prevádzkovatelia prenosových sústav neposkytnú dohodnutú kapacitu siete, mala by sa navrhovateľom vyplatiť náhrada za stratenú vývoznú kapacitu financovaná z príjmov z preťaženia; keďže takáto kompenzácia by sa mala spravodlivo rozdeliť medzi PPS a mala by byť v súlade so zásadami nediskriminácie a maximalizácie cezhraničného obchodu; keďže to zdôrazňuje význam zachovania funkčného piliera prepojovacích vedení, keďže výpadky kapacity prepojovacích vedení môžu spôsobiť náklady výrobcom aj prevádzkovateľom prenosových sústav;</w:t>
      </w:r>
    </w:p>
    <w:p w14:paraId="2DD0E2B3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E.</w:t>
      </w:r>
      <w:r w:rsidRPr="005273F8">
        <w:rPr>
          <w:lang w:val="sk-SK"/>
        </w:rPr>
        <w:tab/>
        <w:t>keďže Európa dosiahne svoje ciele v oblasti dekarbonizácie len vtedy, ak bude existovať koordinovaný celoeurópsky prístup k plánovaniu elektrizačnej sústavy, ktorý bude spájať hranice, odvetvia a regióny;</w:t>
      </w:r>
    </w:p>
    <w:p w14:paraId="4195BD5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F.</w:t>
      </w:r>
      <w:r w:rsidRPr="005273F8">
        <w:rPr>
          <w:lang w:val="sk-SK"/>
        </w:rPr>
        <w:tab/>
        <w:t>keďže plánovanie elektrických prenosových a distribučných sietí musí byť koordinované, aby sa zabezpečil účinný rozvoj elektrizačnej sústavy EÚ;</w:t>
      </w:r>
    </w:p>
    <w:p w14:paraId="288DF4BF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G.</w:t>
      </w:r>
      <w:r w:rsidRPr="005273F8">
        <w:rPr>
          <w:lang w:val="sk-SK"/>
        </w:rPr>
        <w:tab/>
        <w:t>keďže elektrická sieť EÚ bola vybudovaná pre hospodárstvo 20. storočia založené na centralizovanej výrobe elektrickej energie z fosílnych palív a musí sa modernizovať, aby spĺňala požiadavky digitalizovaného hospodárstva s vyššou úrovňou elektrifikácie a vyšším podielom decentralizovaných a variabilných obnoviteľných zdrojov energie;</w:t>
      </w:r>
    </w:p>
    <w:p w14:paraId="68F30F1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H.</w:t>
      </w:r>
      <w:r w:rsidRPr="005273F8">
        <w:rPr>
          <w:lang w:val="sk-SK"/>
        </w:rPr>
        <w:tab/>
        <w:t>keďže cezhraničné prepojenia a prenosová a distribučná sieťová infraštruktúra sú rozhodujúce pre integráciu obnoviteľných zdrojov energie, zníženie nákladov pre európskych spotrebiteľov a zvýšenie bezpečnosti dodávok energie;</w:t>
      </w:r>
    </w:p>
    <w:p w14:paraId="4F95C42F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I.</w:t>
      </w:r>
      <w:r w:rsidRPr="005273F8">
        <w:rPr>
          <w:lang w:val="sk-SK"/>
        </w:rPr>
        <w:tab/>
        <w:t>keďže projekty distribučnej siete sú už oprávnené na financovanie v rámci Nástroja na prepájanie Európy – Energetika (NPE-E); keďže však len malý podiel bol pridelený na distribučné siete v rámci najnovšieho zoznamu projektov spoločného záujmu; keďže NPE-E by mal lepšie odrážať úlohu distribučných sietí pri dosahovaní cieľov EÚ v oblasti energetiky a klímy;</w:t>
      </w:r>
    </w:p>
    <w:p w14:paraId="3F94241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J.</w:t>
      </w:r>
      <w:r w:rsidRPr="005273F8">
        <w:rPr>
          <w:lang w:val="sk-SK"/>
        </w:rPr>
        <w:tab/>
        <w:t>keďže ENTSO-E vypočítala, že cezhraničné investície do elektrickej energie do roku 2050 vo výške 13 miliárd EUR ročne by znížili náklady na systém o 23 miliárd EUR ročne;</w:t>
      </w:r>
    </w:p>
    <w:p w14:paraId="3138E769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K.</w:t>
      </w:r>
      <w:r w:rsidRPr="005273F8">
        <w:rPr>
          <w:lang w:val="sk-SK"/>
        </w:rPr>
        <w:tab/>
        <w:t>keďže prvá zásada energetickej efektívnosti je základnou zásadou energetickej politiky EÚ a je právne záväzná; konštatuje, že správne uplatňovanie tejto zásady výrazne zníži spotrebu energie, čím sa zníži potreba investícií do elektrických sietí a prepojovacích vedení;</w:t>
      </w:r>
    </w:p>
    <w:p w14:paraId="6F12804F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L.</w:t>
      </w:r>
      <w:r w:rsidRPr="005273F8">
        <w:rPr>
          <w:lang w:val="sk-SK"/>
        </w:rPr>
        <w:tab/>
        <w:t>keďže pre úspešnú energetickú transformáciu a spoľahlivý európsky energetický systém je kľúčové udržať v rovnováhe trojuholník energetickej politiky EÚ, ktorým je udržateľnosť, bezpečnosť dodávok a cenová dostupnosť;</w:t>
      </w:r>
    </w:p>
    <w:p w14:paraId="33D1366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M.</w:t>
      </w:r>
      <w:r w:rsidRPr="005273F8">
        <w:rPr>
          <w:lang w:val="sk-SK"/>
        </w:rPr>
        <w:tab/>
        <w:t>keďže plánovanie energetickej siete je dlhodobý proces úzko spojený so stabilitou investícií;</w:t>
      </w:r>
    </w:p>
    <w:p w14:paraId="7C2025C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N.</w:t>
      </w:r>
      <w:r w:rsidRPr="005273F8">
        <w:rPr>
          <w:lang w:val="sk-SK"/>
        </w:rPr>
        <w:tab/>
        <w:t xml:space="preserve">keďže sa očakáva, že potreba pružnosti energetickej sústavy sa do roku 2030 zdvojnásobí vzhľadom na zvýšený podiel elektriny z obnoviteľných zdrojov; keďže pružnosť na strane dopytu je preto kľúčová pre stabilitu siete; keďže jednotliví občania, </w:t>
      </w:r>
      <w:r w:rsidRPr="005273F8">
        <w:rPr>
          <w:lang w:val="sk-SK"/>
        </w:rPr>
        <w:lastRenderedPageBreak/>
        <w:t>podniky a komunity zúčastňujúce sa na trhu s elektrickou energiou môžu priniesť sústavám mnoho výhod, ako je zvýšená efektívnosť systému, odolnosť, optimalizácia investícií, lepšia spoločenská akceptácia a nižšie náklady na energiu; keďže vážne oneskorenia a nezrovnalosti pri vykonávaní existujúcich ustanovení EÚ o energii pre občanov, pružnosti dopytu a prevádzke inteligentných sietí naďalej vyvolávajú obavy;</w:t>
      </w:r>
    </w:p>
    <w:p w14:paraId="7856AE9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O.</w:t>
      </w:r>
      <w:r w:rsidRPr="005273F8">
        <w:rPr>
          <w:lang w:val="sk-SK"/>
        </w:rPr>
        <w:tab/>
        <w:t>keďže hoci recyklácia pokrýva 40 % až 55 % potrieb Európy v oblasti hliníka a medi, je potrebné zvážiť ďalšie opatrenia na rozšírenie recyklačných kapacít, zberu odpadu a efektívnosti dodávateľského reťazca;</w:t>
      </w:r>
    </w:p>
    <w:p w14:paraId="3073D80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P.</w:t>
      </w:r>
      <w:r w:rsidRPr="005273F8">
        <w:rPr>
          <w:lang w:val="sk-SK"/>
        </w:rPr>
        <w:tab/>
        <w:t>keďže v spoločnom oznámení Komisie a vysokej predstaviteľky s názvom Akčný plán EÚ na zaistenie bezpečnosti káblov sa zdôrazňuje význam zaistenia bezpečných dodávok náhradných káblových dielov a vytvárania zásob základného materiálu a vybavenia;</w:t>
      </w:r>
    </w:p>
    <w:p w14:paraId="6732646B" w14:textId="086D6365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Q.</w:t>
      </w:r>
      <w:r w:rsidRPr="005273F8">
        <w:rPr>
          <w:lang w:val="sk-SK"/>
        </w:rPr>
        <w:tab/>
        <w:t xml:space="preserve">keďže výpadok elektrizačnej sústavy, ku ktorému došlo 28. apríla 2025 na Pyrenejskom polostrove a v častiach Francúzska, </w:t>
      </w:r>
      <w:r w:rsidR="009A4AA6" w:rsidRPr="000F3DC8">
        <w:rPr>
          <w:bCs/>
          <w:iCs/>
          <w:lang w:val="sk-SK"/>
        </w:rPr>
        <w:t>okrem iného</w:t>
      </w:r>
      <w:r w:rsidR="009A4AA6" w:rsidRPr="000F3DC8">
        <w:rPr>
          <w:b/>
          <w:i/>
          <w:lang w:val="sk-SK"/>
        </w:rPr>
        <w:t xml:space="preserve"> </w:t>
      </w:r>
      <w:r w:rsidRPr="005273F8">
        <w:rPr>
          <w:lang w:val="sk-SK"/>
        </w:rPr>
        <w:t>ukázal, aké dôležité je zvýšiť odolnosť energetickej siete zabezpečením jej neustálej riadnej údržby, ochrany a vyváženosti, a to aj prostredníctvom flexibilných systémových služieb a posilnených cezhraničných prepojení, s cieľom umožniť pružnú obnovu v prípade zlyhania systému;</w:t>
      </w:r>
    </w:p>
    <w:p w14:paraId="134356B5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R.</w:t>
      </w:r>
      <w:r w:rsidRPr="005273F8">
        <w:rPr>
          <w:lang w:val="sk-SK"/>
        </w:rPr>
        <w:tab/>
        <w:t>keďže prevádzkovatelia sústav na vnútroštátnej a regionálnej úrovni nesú dôležitú zodpovednosť, najmä v oblasti bezpečnosti dodávok energie; keďže všetky úlohy regulačného charakteru by mali vykonávať regulačné agentúry konajúce vo verejnom záujme; keďže však popri týchto povinnostiach môže posilnená úloha regulačných orgánov a agentúry ACER v procesoch plánovania prispieť k riešeniu nedostatkov, ako je súčasný 10-ročný plán rozvoja siete ENTSO-E (TYNDP), ako sa uvádza v správe o monitorovaní siete; keďže hoci sa uznáva zodpovednosť PPS pri vypracúvaní týchto scenárov, včasné zapojenie agentúry ACER do procesu vypracúvania by mohlo pomôcť zabezpečiť, aby sa usmernenia na vypracovanie scenárov dodržiavali v súlade s nariadením o TEN-E;</w:t>
      </w:r>
    </w:p>
    <w:p w14:paraId="19621E9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S.</w:t>
      </w:r>
      <w:r w:rsidRPr="005273F8">
        <w:rPr>
          <w:lang w:val="sk-SK"/>
        </w:rPr>
        <w:tab/>
        <w:t>keďže rozvoj prepojení prispeje k ďalšej integrácii trhu s elektrickou energiou v EÚ, čím sa nielen zvýši flexibilita a odolnosť sústavy, ale aj uvoľnia úspory z rozsahu pri výrobe elektrickej energie z obnoviteľných zdrojov;</w:t>
      </w:r>
    </w:p>
    <w:p w14:paraId="643B7F15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T.</w:t>
      </w:r>
      <w:r w:rsidRPr="005273F8">
        <w:rPr>
          <w:lang w:val="sk-SK"/>
        </w:rPr>
        <w:tab/>
        <w:t>keďže počet pracovníkov v energetike sa bude musieť zvýšiť o 50 %, aby bolo možné zaviesť technológie v oblastí energie z obnoviteľných zdrojov, siete a energetickej efektívnosti</w:t>
      </w:r>
      <w:r w:rsidRPr="005273F8">
        <w:rPr>
          <w:rStyle w:val="FootnoteReference"/>
          <w:lang w:val="sk-SK"/>
        </w:rPr>
        <w:footnoteReference w:id="14"/>
      </w:r>
      <w:r w:rsidRPr="005273F8">
        <w:rPr>
          <w:lang w:val="sk-SK"/>
        </w:rPr>
        <w:t>;</w:t>
      </w:r>
    </w:p>
    <w:p w14:paraId="598743BC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U.</w:t>
      </w:r>
      <w:r w:rsidRPr="005273F8">
        <w:rPr>
          <w:lang w:val="sk-SK"/>
        </w:rPr>
        <w:tab/>
        <w:t>keďže malé a stredné podniky (MSP) sú oporou hospodárstva, podnikania a inovácií EÚ, pričom tvoria 99 % podnikov, poskytujú pracovné miesta pre viac ako 85 miliónov občanov EÚ a vytvárajú viac ako 58 % HDP EÚ;</w:t>
      </w:r>
    </w:p>
    <w:p w14:paraId="353E6DD9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V.</w:t>
      </w:r>
      <w:r w:rsidRPr="005273F8">
        <w:rPr>
          <w:lang w:val="sk-SK"/>
        </w:rPr>
        <w:tab/>
        <w:t>keďže rastúca decentralizovaná výroba elektriny a reakcia na strane spotreby sú dôležité na zníženie závislosti od centralizovanej výroby, ktorá sa môže ľahko stať cieľom fyzických alebo kybernetických hrozieb alebo byť ohrozená udalosťami súvisiacimi s klímou;</w:t>
      </w:r>
    </w:p>
    <w:p w14:paraId="3708DC8C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lastRenderedPageBreak/>
        <w:t>1.</w:t>
      </w:r>
      <w:r w:rsidRPr="005273F8">
        <w:rPr>
          <w:lang w:val="sk-SK"/>
        </w:rPr>
        <w:tab/>
        <w:t>vyzýva členské štáty, aby v plnej miere preskúmali, optimalizovali, modernizovali a rozšírili kapacitu svojej elektrizačnej sústavy vrátane prenosu a distribúcie; považuje elektrické siete za ústredný prvok prechodu EÚ na konkurencieschopné hospodárstvo s emisne neutrálnym hospodárstvom do roku 2050, ktoré je schopné pokryť veľké objemy technológií variabilných obnoviteľných zdrojov energie a/alebo vyvíjajúcich sa zdrojov dopytu, ktoré sú spôsobené zvýšenou úrovňou elektrifikácie a pokrokom digitálnych technológií; berie na vedomie výsadu členských štátov určiť si vlastný energetický mix;</w:t>
      </w:r>
    </w:p>
    <w:p w14:paraId="6A01C1F8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2.</w:t>
      </w:r>
      <w:r w:rsidRPr="005273F8">
        <w:rPr>
          <w:lang w:val="sk-SK"/>
        </w:rPr>
        <w:tab/>
        <w:t>vyzýva Komisiu, členské štáty, agentúru ACER, subjekt PDS EÚ</w:t>
      </w:r>
      <w:r w:rsidRPr="005273F8">
        <w:rPr>
          <w:rStyle w:val="FootnoteReference"/>
          <w:lang w:val="sk-SK"/>
        </w:rPr>
        <w:footnoteReference w:id="15"/>
      </w:r>
      <w:r w:rsidRPr="005273F8">
        <w:rPr>
          <w:lang w:val="sk-SK"/>
        </w:rPr>
        <w:t xml:space="preserve"> a ENTSO-E</w:t>
      </w:r>
      <w:r w:rsidRPr="005273F8">
        <w:rPr>
          <w:rStyle w:val="FootnoteReference"/>
          <w:lang w:val="sk-SK"/>
        </w:rPr>
        <w:footnoteReference w:id="16"/>
      </w:r>
      <w:r w:rsidRPr="005273F8">
        <w:rPr>
          <w:lang w:val="sk-SK"/>
        </w:rPr>
        <w:t>, aby bezodkladne vykonali opatrenia akčného plánu EÚ pre elektrizačné sústavy, Akčného plánu pre cenovo dostupnú energiu, reformy koncepcie trhu s elektrinou EÚ a smernice o energii z obnoviteľných zdrojov III;</w:t>
      </w:r>
    </w:p>
    <w:p w14:paraId="607B428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3.</w:t>
      </w:r>
      <w:r w:rsidRPr="005273F8">
        <w:rPr>
          <w:lang w:val="sk-SK"/>
        </w:rPr>
        <w:tab/>
        <w:t>poukazuje na to, že dokončenie integrácie trhu EÚ s energiou ušetrí až 40 miliárd EUR ročne a 50 % nárast cezhraničného obchodu s elektrickou energiou by mohol zvýšiť ročný HDP EÚ o 0,1 %</w:t>
      </w:r>
      <w:r w:rsidRPr="005273F8">
        <w:rPr>
          <w:rStyle w:val="FootnoteReference"/>
          <w:lang w:val="sk-SK"/>
        </w:rPr>
        <w:footnoteReference w:id="17"/>
      </w:r>
      <w:r w:rsidRPr="005273F8">
        <w:rPr>
          <w:lang w:val="sk-SK"/>
        </w:rPr>
        <w:t>;</w:t>
      </w:r>
    </w:p>
    <w:p w14:paraId="73B3088E" w14:textId="77777777" w:rsidR="0030521E" w:rsidRPr="005273F8" w:rsidRDefault="0030521E" w:rsidP="0030521E">
      <w:pPr>
        <w:pStyle w:val="Normal12a24b"/>
        <w:rPr>
          <w:lang w:val="sk-SK"/>
        </w:rPr>
      </w:pPr>
      <w:r w:rsidRPr="005273F8">
        <w:rPr>
          <w:rStyle w:val="BoldItalic"/>
          <w:lang w:val="sk-SK"/>
        </w:rPr>
        <w:t>Význam elektrických sietí pre európsku energetickú transformáciu</w:t>
      </w:r>
    </w:p>
    <w:p w14:paraId="365C2A8B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4.</w:t>
      </w:r>
      <w:r w:rsidRPr="005273F8">
        <w:rPr>
          <w:lang w:val="sk-SK"/>
        </w:rPr>
        <w:tab/>
        <w:t>víta oznámenie Komisie o elektrizačných sústavách</w:t>
      </w:r>
      <w:r w:rsidRPr="005273F8">
        <w:rPr>
          <w:rStyle w:val="FootnoteReference"/>
          <w:lang w:val="sk-SK"/>
        </w:rPr>
        <w:footnoteReference w:id="18"/>
      </w:r>
      <w:r w:rsidRPr="005273F8">
        <w:rPr>
          <w:lang w:val="sk-SK"/>
        </w:rPr>
        <w:t>; zdôrazňuje očakávaný nárast spotreby elektrickej energie o 60 % do roku 2030, rastúcu potrebu integrovať veľký podiel variabilnej energie z obnoviteľných zdrojov do sústavy a potrebu, aby sa siete prispôsobili decentralizovanejšej, digitalizovanejšej a flexibilnejšej elektrizačnej sústave, vrátane optimalizácie prevádzky systému a plného využitia miestnych zdrojov flexibility, reakcie na dopyt a riešení uskladňovania energie na doplnenie veľkoobchodných trhov a zvýšenie odolnosti siete, čo povedie k ďalším 23 GW cezhraničnej kapacity do roku 2025 a ďalším 64 GW kapacity do roku 2030; konštatuje, že viac ako 40 % distribučných sietí Únie má viac ako 40 rokov a je potrebné ich modernizovať</w:t>
      </w:r>
      <w:r w:rsidRPr="005273F8">
        <w:rPr>
          <w:rStyle w:val="FootnoteReference"/>
          <w:lang w:val="sk-SK"/>
        </w:rPr>
        <w:footnoteReference w:id="19"/>
      </w:r>
      <w:r w:rsidRPr="005273F8">
        <w:rPr>
          <w:lang w:val="sk-SK"/>
        </w:rPr>
        <w:t>;</w:t>
      </w:r>
    </w:p>
    <w:p w14:paraId="08D8F33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5.</w:t>
      </w:r>
      <w:r w:rsidRPr="005273F8">
        <w:rPr>
          <w:lang w:val="sk-SK"/>
        </w:rPr>
        <w:tab/>
        <w:t>opakuje, že do roku 2030 musí Únia investovať približne 375 až 425 miliárd EUR do distribučných sústav a celkovo 584 miliárd EUR do elektrizačných prenosových a distribučných sústav</w:t>
      </w:r>
      <w:r w:rsidRPr="005273F8">
        <w:rPr>
          <w:rStyle w:val="FootnoteReference"/>
          <w:lang w:val="sk-SK"/>
        </w:rPr>
        <w:footnoteReference w:id="20"/>
      </w:r>
      <w:r w:rsidRPr="005273F8">
        <w:rPr>
          <w:lang w:val="sk-SK"/>
        </w:rPr>
        <w:t>, čo zahŕňa cezhraničné prepojenia a prispôsobenie distribučných sústav energetickej transformácii;</w:t>
      </w:r>
    </w:p>
    <w:p w14:paraId="05F6200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lastRenderedPageBreak/>
        <w:t>6.</w:t>
      </w:r>
      <w:r w:rsidRPr="005273F8">
        <w:rPr>
          <w:lang w:val="sk-SK"/>
        </w:rPr>
        <w:tab/>
        <w:t>so znepokojením konštatuje, že v roku 2023 boli náklady na riadenie preťaženia prenosovej elektrizačnej sústavy v EÚ 4,2 miliardy EUR</w:t>
      </w:r>
      <w:r w:rsidRPr="005273F8">
        <w:rPr>
          <w:rStyle w:val="FootnoteReference"/>
          <w:lang w:val="sk-SK"/>
        </w:rPr>
        <w:footnoteReference w:id="21"/>
      </w:r>
      <w:r w:rsidRPr="005273F8">
        <w:rPr>
          <w:lang w:val="sk-SK"/>
        </w:rPr>
        <w:t xml:space="preserve"> a naďalej rastú a že obmedzenie je prekážkou zvyšovania podielu obnoviteľných zdrojov energie; upozorňuje, že tento údaj nezahŕňa distribučnú elektrizačnú sústavu; zdôrazňuje, že v roku 2023 takmer 30 </w:t>
      </w:r>
      <w:proofErr w:type="spellStart"/>
      <w:r w:rsidRPr="005273F8">
        <w:rPr>
          <w:lang w:val="sk-SK"/>
        </w:rPr>
        <w:t>TWh</w:t>
      </w:r>
      <w:proofErr w:type="spellEnd"/>
      <w:r w:rsidRPr="005273F8">
        <w:rPr>
          <w:lang w:val="sk-SK"/>
        </w:rPr>
        <w:t xml:space="preserve"> elektrickej energie z obnoviteľných zdrojov bolo v niekoľkých členských štátoch prerušených z dôvodu nedostatočnej kapacity siete; ďalej upozorňuje na prudký nárast počtu hodín záporných cien elektrickej energie za rok, ktorý vzrástol zo 154 v roku 2018 na 1031 v septembri 2024</w:t>
      </w:r>
      <w:r w:rsidRPr="005273F8">
        <w:rPr>
          <w:rStyle w:val="FootnoteReference"/>
          <w:lang w:val="sk-SK"/>
        </w:rPr>
        <w:footnoteReference w:id="22"/>
      </w:r>
      <w:r w:rsidRPr="005273F8">
        <w:rPr>
          <w:lang w:val="sk-SK"/>
        </w:rPr>
        <w:t>, čo je spôsobené najmä preťažením siete na hraniciach a nedostatkom možností uskladňovania, flexibility a reakcie na strane dopytu na trhu s elektrickou energiou, ktoré by dočasne spájali meniacu sa ponuku elektrickej energie z obnoviteľných zdrojov s dopytom po elektrickej energii; zdôrazňuje, že riešenie týchto problémov by mohlo pomôcť absorbovať nadbytočnú ponuku, čím by sa maximalizovalo využívanie jestvujúcej sieťovej infraštruktúry, ale existujúce trhové a regulačné rámce často neposkytujú primerané stimuly na dosiahnutie tohto cieľa;</w:t>
      </w:r>
    </w:p>
    <w:p w14:paraId="4E36763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7.</w:t>
      </w:r>
      <w:r w:rsidRPr="005273F8">
        <w:rPr>
          <w:lang w:val="sk-SK"/>
        </w:rPr>
        <w:tab/>
        <w:t>zdôrazňuje, že neschopnosť modernizovať a rozšíriť elektrickú sieť EÚ spolu s rýchlym zavádzaním veľkého množstva variabilných obnoviteľných zdrojov energie, ktorá je potrebná na dosiahnutie jej cieľov, má a bude mať za následok vysokú úroveň výpadkov (pokyny na zníženie výkonu); je presvedčený, že výpadky energie z obnoviteľných zdrojov spôsobené preťažením siete a obmedzovaním jej dodávok predstavujú neprijateľné plytvanie vysokohodnotnou elektrickou energiou z obnoviteľných zdrojov a peniazmi; vyzýva Komisiu, aby v rámci pripravovaného balíka opatrení pre európske elektrizačné sústavy vypracovala stratégiu EÚ na výrazné zníženie výpadkov elektrickej energie z obnoviteľných zdrojov;</w:t>
      </w:r>
    </w:p>
    <w:p w14:paraId="1A6304FD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8.</w:t>
      </w:r>
      <w:r w:rsidRPr="005273F8">
        <w:rPr>
          <w:lang w:val="sk-SK"/>
        </w:rPr>
        <w:tab/>
        <w:t>zdôrazňuje úlohu inteligentných sietí pri zlepšovaní riadenia preťaženia a optimalizácii distribúcie elektrickej energie z obnoviteľných zdrojov; zdôrazňuje ich prínos k pružnosti siete integráciou digitálnych nástrojov, ktoré uľahčujú reakciu na strane dopytu a kolektívnu vlastnú spotrebu; zdôrazňuje, že lepšie riadenie siete zvyšuje energetickú odolnosť, znižuje výpadky a zabezpečuje dodávky počas období špičkového odberu;</w:t>
      </w:r>
    </w:p>
    <w:p w14:paraId="63C316E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9.</w:t>
      </w:r>
      <w:r w:rsidRPr="005273F8">
        <w:rPr>
          <w:lang w:val="sk-SK"/>
        </w:rPr>
        <w:tab/>
        <w:t>zdôrazňuje, že infraštruktúra elektrickej siete je prioritou pre dosiahnutie strategickej autonómie EÚ a jej cieľov v oblasti klímy a energetiky; berie na vedomie záväzok Dohody o čistom priemysle elektrifikovať s kľúčovým ukazovateľom výkonnosti, ktorým je 32 % miera elektrifikácie v celom hospodárstve do roku 2030, čo by si vyžadovalo významnú a nepretržitú aktualizáciu a zavádzanie sietí; vyjadruje poľutovanie nad tým, že oneskorenia pri reagovaní na žiadosti o pripojenie do sústav vedú k pomalšiemu tempu elektrifikácie, a to aj v členských štátoch, v ktorých sa výroba z obnoviteľných zdrojov rýchlo zvyšuje;</w:t>
      </w:r>
    </w:p>
    <w:p w14:paraId="4E538B1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10.</w:t>
      </w:r>
      <w:r w:rsidRPr="005273F8">
        <w:rPr>
          <w:lang w:val="sk-SK"/>
        </w:rPr>
        <w:tab/>
        <w:t xml:space="preserve">zdôrazňuje najmä kľúčovú úlohu, ktorú môžu energetické spoločenstvá zohrávať pri podpore miestnych hospodárstiev; vyjadruje poľutovanie nad tým, že energetické </w:t>
      </w:r>
      <w:r w:rsidRPr="005273F8">
        <w:rPr>
          <w:lang w:val="sk-SK"/>
        </w:rPr>
        <w:lastRenderedPageBreak/>
        <w:t xml:space="preserve">komunity a menší prevádzkovatelia čelia neprimeraným prekážkam v prístupe k sieti a vo financovaní siete z dôvodu regulačných prekážok a obmedzení zdrojov; vyzýva preto členské štáty, ktoré v tejto súvislosti zaostávajú, aby v plnej miere vykonali balík opatrení v oblasti čistej energie, ustanovenia balíka Fit </w:t>
      </w:r>
      <w:proofErr w:type="spellStart"/>
      <w:r w:rsidRPr="005273F8">
        <w:rPr>
          <w:lang w:val="sk-SK"/>
        </w:rPr>
        <w:t>for</w:t>
      </w:r>
      <w:proofErr w:type="spellEnd"/>
      <w:r w:rsidRPr="005273F8">
        <w:rPr>
          <w:lang w:val="sk-SK"/>
        </w:rPr>
        <w:t xml:space="preserve"> 55 a smernice o energii z obnoviteľných zdrojov, čím sa občanom, obciam, MSP a spoločnostiam umožní aktívne sa zúčastňovať na trhu s elektrinou, najmä vytvorením podporných rámcov pre komunity vyrábajúce energiu z obnoviteľných zdrojov a podporou systémov spoločného využívania energie; žiada, aby financovanie na úrovni EÚ a na vnútroštátnej úrovni v súvislosti so sieťami zohľadňovalo osobitné potreby projektov podporovaných energetickými komunitami;</w:t>
      </w:r>
    </w:p>
    <w:p w14:paraId="760AE683" w14:textId="77777777" w:rsidR="0030521E" w:rsidRPr="005273F8" w:rsidRDefault="0030521E" w:rsidP="0030521E">
      <w:pPr>
        <w:pStyle w:val="Normal12a24b"/>
        <w:rPr>
          <w:lang w:val="sk-SK"/>
        </w:rPr>
      </w:pPr>
      <w:r w:rsidRPr="005273F8">
        <w:rPr>
          <w:rStyle w:val="BoldItalic"/>
          <w:lang w:val="sk-SK"/>
        </w:rPr>
        <w:t>Regulačná situácia a výzvy</w:t>
      </w:r>
    </w:p>
    <w:p w14:paraId="1B3A198B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11.</w:t>
      </w:r>
      <w:r w:rsidRPr="005273F8">
        <w:rPr>
          <w:lang w:val="sk-SK"/>
        </w:rPr>
        <w:tab/>
        <w:t>je presvedčený, že regulačná stabilita je kľúčovou podmienkou uvoľnenia súkromných investícií do elektrickej siete a prípadne umožnenia cenovo dostupnej elektrifikácie hospodárstva EÚ, a pripomína, že pred posúdením prípadných nových revízií je potrebné vykonať už prijaté právne predpisy;</w:t>
      </w:r>
    </w:p>
    <w:p w14:paraId="1EF296FB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12.</w:t>
      </w:r>
      <w:r w:rsidRPr="005273F8">
        <w:rPr>
          <w:lang w:val="sk-SK"/>
        </w:rPr>
        <w:tab/>
        <w:t>zdôrazňuje, že integrované plánovanie sietí vo všetkých odvetviach na miestnej, regionálnej a vnútroštátnej úrovni a na úrovni EÚ povedie k zvýšeniu efektívnosti systému a zníženiu nákladov; vyzýva preto Komisiu a členské štáty, aby pracovali na integrovanom plánovaní a zabezpečili, aby plány rozvoja elektrizačnej sústavy boli v súlade s národnými energetickými a klimatickými plánmi na roky 2021 – 2030 pre všetky úrovne napätia; konštatuje, že posilnený rámec riadenia by pomohol zabezpečiť súlad medzi plánmi prevádzkovateľov sústav na rozvoj siete a politickými cieľmi na vnútroštátnej úrovni a na úrovni EÚ; uznáva, že zatiaľ čo členské štáty sú povinné podávať správy o svojich príspevkoch k cieľom EÚ prostredníctvom národných energetických a klimatických plánov, PPS v súčasnosti nemajú rovnocennú povinnosť systematicky podávať správy na úrovni EÚ;</w:t>
      </w:r>
    </w:p>
    <w:p w14:paraId="5B96D879" w14:textId="41F72001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13.</w:t>
      </w:r>
      <w:r w:rsidRPr="005273F8">
        <w:rPr>
          <w:lang w:val="sk-SK"/>
        </w:rPr>
        <w:tab/>
        <w:t>zdôrazňuje, že nariadenie o TEN-E a projekty spoločného záujmu a projekty vo vzájomnom záujme sú silnými nástrojmi rozvoja cezhraničnej energetickej infraštruktúry Únie; vyjadruje poľutovanie nad nedostatkami v súčasnej európskej elektrickej infraštruktúre, čo vedie k tomu, že investičné záujmy nezodpovedajú cezhraničným potrebám</w:t>
      </w:r>
      <w:r w:rsidRPr="005273F8">
        <w:rPr>
          <w:rStyle w:val="FootnoteReference"/>
          <w:lang w:val="sk-SK"/>
        </w:rPr>
        <w:footnoteReference w:id="23"/>
      </w:r>
      <w:r w:rsidRPr="005273F8">
        <w:rPr>
          <w:lang w:val="sk-SK"/>
        </w:rPr>
        <w:t xml:space="preserve"> a že plánovanie sústavy plne nevyužíva cezhraničné a medziodvetvové úspory</w:t>
      </w:r>
      <w:r w:rsidRPr="005273F8">
        <w:rPr>
          <w:rStyle w:val="FootnoteReference"/>
          <w:lang w:val="sk-SK"/>
        </w:rPr>
        <w:footnoteReference w:id="24"/>
      </w:r>
      <w:r w:rsidRPr="005273F8">
        <w:rPr>
          <w:lang w:val="sk-SK"/>
        </w:rPr>
        <w:t xml:space="preserve">; ďalej vyjadruje poľutovanie nad oneskoreniami týkajúcimi sa dokončenia projektov spoločného záujmu; naliehavo vyzýva Komisiu, aby zaviedla koordinovanejšie, dlhodobejšie a medziodvetvové plánovanie s cieľom dosiahnuť príslušné úspory a prínosy v celej EÚ; zdôrazňuje, že takéto koordinované plánovanie by mohlo lepšie informovať o rozdelení nákladov na infraštruktúru medzi členskými štátmi; konštatuje, že hoci nariadenie o TEN-E umožňuje projektom inteligentných sietí s cezhraničným vplyvom získať štatút projektu spoločného záujmu, aj keď takéto projekty neprekračujú fyzickú hranicu, zoznam projektov spoločného záujmu v roku 2023 zahŕňal len päť takýchto projektov; je preto pevne presvedčený, že treba posilniť a zjednodušiť proces týkajúci sa projektov spoločného záujmu a zefektívniť ho smerom k </w:t>
      </w:r>
      <w:r w:rsidRPr="005273F8">
        <w:rPr>
          <w:lang w:val="sk-SK"/>
        </w:rPr>
        <w:lastRenderedPageBreak/>
        <w:t>väčšej jasnosti a transparentnosti; vyzýva členské štáty, aby v plnej miere ukončili projekty spoločného záujmu; vyzýva Komisiu, aby urýchlene navrhla cielenú revíziu nariadenia o TEN-E s cieľom 1) zaviesť spoľahlivý proces plánovania, ktorý kombinuje zodpovednosti prevádzkovateľov distribučných sústav s posilnenou úlohou agentúry ACER tým, že poverí agentúru ACER, aby požiadala o zmeny scenárov a súčasnej európskej elektrickej infraštruktúry a 2) zabezpečiť vypracovanie scenárov v súlade s programom dekarbonizácie a umožniť ľahší prístup pre projekty inteligentných sietí a 3) zaviesť zjednodušený postup podávania žiadostí pre malých a stredných prevádzkovateľov distribučných sústav (PDS);</w:t>
      </w:r>
    </w:p>
    <w:p w14:paraId="44FB8A2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14.</w:t>
      </w:r>
      <w:r w:rsidRPr="005273F8">
        <w:rPr>
          <w:lang w:val="sk-SK"/>
        </w:rPr>
        <w:tab/>
        <w:t>zdôrazňuje, že plánovanie siete je dlhodobý proces úzko spojený so stabilitou investícií; preto navrhuje predĺžiť časový rámec pre plány rozvoja siete na 20 rokov; zdôrazňuje, že investície do sietí sú naliehavo potrebné v rámci programu EÚ v oblasti konkurencieschopnosti a nemali by sa odkladať;</w:t>
      </w:r>
    </w:p>
    <w:p w14:paraId="00EEC43F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15.</w:t>
      </w:r>
      <w:r w:rsidRPr="005273F8">
        <w:rPr>
          <w:lang w:val="sk-SK"/>
        </w:rPr>
        <w:tab/>
        <w:t>okrem toho konštatuje, že EÚ bude mať aj naďalej silné väzby v oblasti elektrickej energie so svojimi susednými krajinami, a preto sa domnieva, že Komisia by mala posilniť takúto spoluprácu so susednými krajinami prostredníctvom projektov vo vzájomnom záujme s krajinami, ktoré nie sú členmi EÚ, ako sa stanovuje v nariadení o TEN-E;</w:t>
      </w:r>
    </w:p>
    <w:p w14:paraId="62EB5776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16.</w:t>
      </w:r>
      <w:r w:rsidRPr="005273F8">
        <w:rPr>
          <w:lang w:val="sk-SK"/>
        </w:rPr>
        <w:tab/>
        <w:t>dôrazne zdôrazňuje, že NPE-E sa osvedčil ako kľúčový nástroj na spolufinancovanie cezhraničnej energetickej infraštruktúry, a trvá na jeho pokračovaní; víta zaradenie projektov elektrickej siete na mori do najnovšieho rozpisu grantov Komisie v rámci nástroja NPE-E;</w:t>
      </w:r>
    </w:p>
    <w:p w14:paraId="79873B0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17.</w:t>
      </w:r>
      <w:r w:rsidRPr="005273F8">
        <w:rPr>
          <w:lang w:val="sk-SK"/>
        </w:rPr>
        <w:tab/>
        <w:t>domnieva sa, že nedostatok podrobných, spoľahlivých a porovnateľných údajov o plánovaní sietí na vnútroštátnej úrovni a úrovni EÚ predstavuje prekážku pre efektívnejšie siete; preto vyzýva členské štáty, aby dôkladne vykonali príslušné ustanovenie smernice o elektrickej energii</w:t>
      </w:r>
      <w:r w:rsidRPr="005273F8">
        <w:rPr>
          <w:rStyle w:val="FootnoteReference"/>
          <w:lang w:val="sk-SK"/>
        </w:rPr>
        <w:footnoteReference w:id="25"/>
      </w:r>
      <w:r w:rsidRPr="005273F8">
        <w:rPr>
          <w:lang w:val="sk-SK"/>
        </w:rPr>
        <w:t>, najmä článok 32, a podporovali menšie PDS, aby uplatňovali ustanovenia tohto článku;</w:t>
      </w:r>
    </w:p>
    <w:p w14:paraId="53EFABAB" w14:textId="7ED28656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18.</w:t>
      </w:r>
      <w:r w:rsidRPr="005273F8">
        <w:rPr>
          <w:lang w:val="sk-SK"/>
        </w:rPr>
        <w:tab/>
        <w:t>víta správu subjektu PDS EÚ o osvedčených postupoch týkajúcich sa plánov rozvoja distribučných sietí</w:t>
      </w:r>
      <w:r w:rsidRPr="005273F8">
        <w:rPr>
          <w:rStyle w:val="FootnoteReference"/>
          <w:lang w:val="sk-SK"/>
        </w:rPr>
        <w:footnoteReference w:id="26"/>
      </w:r>
      <w:r w:rsidRPr="005273F8">
        <w:rPr>
          <w:lang w:val="sk-SK"/>
        </w:rPr>
        <w:t xml:space="preserve"> (DNDP), v ktorej sa členské štáty vyzývajú, aby do svojich plánov rozvoja siete zahrnuli analýzy nákladov a prínosov s cieľom vyhodnotiť investičné príležitosti; naliehavo vyzýva Komisiu, aby na základe tejto správy vypracovala usmernenia v spolupráci so subjektom PDS EÚ s cieľom harmonizovať a zvýšiť transparentnosť vnútroštátneho plánovania rozvoja distribučných sietí, zverejniť európsky prehľad plánov rozvoja siete a od všetkých prevádzkovateľov prenosových a distribučných sústav vyžadovať, aby regulačným orgánom v oblasti energetiky poskytli potrebné údaje o svojej súčasnej a budúcej kapacite hosťovania siete a o plánovaní siete s cieľom umožniť regulačným orgánom v oblasti energetiky riadne kontrolovať plánovanie sústavy; vyzýva členské štáty, aby vykonávali článok 31 ods. 3 smernice </w:t>
      </w:r>
      <w:r w:rsidR="006419B8">
        <w:rPr>
          <w:lang w:val="sk-SK"/>
        </w:rPr>
        <w:t>(</w:t>
      </w:r>
      <w:r w:rsidR="006419B8" w:rsidRPr="005B52AF">
        <w:rPr>
          <w:szCs w:val="24"/>
          <w:lang w:val="sk-SK"/>
        </w:rPr>
        <w:t>EÚ</w:t>
      </w:r>
      <w:r w:rsidR="006419B8">
        <w:rPr>
          <w:szCs w:val="24"/>
          <w:lang w:val="sk-SK"/>
        </w:rPr>
        <w:t>) </w:t>
      </w:r>
      <w:r w:rsidRPr="005273F8">
        <w:rPr>
          <w:lang w:val="sk-SK"/>
        </w:rPr>
        <w:t xml:space="preserve">2024/1711, v ktorom sa od prevádzkovateľov sietí vyžaduje, aby zverejňovali </w:t>
      </w:r>
      <w:r w:rsidRPr="005273F8">
        <w:rPr>
          <w:lang w:val="sk-SK"/>
        </w:rPr>
        <w:lastRenderedPageBreak/>
        <w:t>informácie o dostupnej kapacite v ich oblasti prevádzky s cieľom zabezpečiť transparentnosť a umožniť zainteresovaným stranám prijímať informované investičné rozhodnutia; vyzýva Komisiu, aby vytvorila centralizovaný online register všetkých plánov prenosu a plánov rozvoja siete;</w:t>
      </w:r>
    </w:p>
    <w:p w14:paraId="2C99A759" w14:textId="7A58FDDA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19.</w:t>
      </w:r>
      <w:r w:rsidRPr="005273F8">
        <w:rPr>
          <w:lang w:val="sk-SK"/>
        </w:rPr>
        <w:tab/>
        <w:t>zdôrazňuje významné riziko, ktoré predstavuje obmedzenie pre realizovateľnosť investícií do energie z obnoviteľných zdrojov, najmä vzhľadom na to, že mnohé členské štáty nekompenzujú výrobcov za prerušené objemy elektrickej energie napriek požiadavkám článkov 12 a 13 nariadenia (EÚ) 2019/943; vyjadruje poľutovanie nad nedostatočnou transparentnosťou, dostupnosťou a podrobnosťou údajov o obmedzenom objeme energie z obnoviteľných zdrojov a nákladoch na riadenie preťaženia;</w:t>
      </w:r>
    </w:p>
    <w:p w14:paraId="1DB5CE36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20.</w:t>
      </w:r>
      <w:r w:rsidRPr="005273F8">
        <w:rPr>
          <w:lang w:val="sk-SK"/>
        </w:rPr>
        <w:tab/>
        <w:t>zdôrazňuje význam zavedenia jasných metrík na meranie toho, či je EÚ na dobrej ceste k dosiahnutiu rozšírenia a posilnenia sietí potrebných na splnenie svojich cieľov do roku 2050; konštatuje, že takéto metriky by mohli zahŕňať zníženie obmedzenia využívania energie z obnoviteľných zdrojov, nižšie náklady na rozvoj siete v porovnaní s objemom dodanej kapacity, zvýšenie efektívneho využívania existujúcej infraštruktúry, zníženie strát a nižšiu materiálovú náročnosť;</w:t>
      </w:r>
    </w:p>
    <w:p w14:paraId="62B4AF07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21.</w:t>
      </w:r>
      <w:r w:rsidRPr="005273F8">
        <w:rPr>
          <w:lang w:val="sk-SK"/>
        </w:rPr>
        <w:tab/>
        <w:t xml:space="preserve">berie na vedomie prácu, ktorú vykonali ENTSO-E a subjekt PDS EÚ na harmonizovaných vymedzeniach dostupnej hostiteľskej kapacity siete pre prevádzkovateľov sústav a na vytvorení prehľadu o tejto kapacite za celú Úniu; domnieva sa, že národné regulačné orgány by mohli mať prospech z jasných legislatívnych ustanovení o tom, ako môžu členské štáty uprednostniť pripojenia do sústavy, aby upustili od zásady „kto prv príde, ten prv berie“; žiada preto Komisiu, aby zmenila článok 6 smernice (EÚ) 2019/944 o vnútornom trhu s elektrinou v rámci preskúmania vykonávania, ktoré musí Komisia dokončiť do 31. decembra 2025, a aby následne zaviedla transparentné kritériá prioritného pripojenia, ktoré si členské štáty vyberú a ďalej vymedzia 1) pripojenie výroby, ako je kvalita a vyspelosť projektu, úroveň záväzku, príspevok k dekarbonizácii, sociálna hodnota a 2) pripojenie spotrebiteľov, ako je kvalita a vyspelosť projektu, úroveň záväzku, príspevok k dekarbonizácii, verejný záujem alebo jeho strategická a/alebo sociálna hodnota a optimalizácia siete; vyzýva národné regulačné orgány a členské štáty, aby poskytli jasné pravidlá </w:t>
      </w:r>
      <w:proofErr w:type="spellStart"/>
      <w:r w:rsidRPr="005273F8">
        <w:rPr>
          <w:lang w:val="sk-SK"/>
        </w:rPr>
        <w:t>prioritizácie</w:t>
      </w:r>
      <w:proofErr w:type="spellEnd"/>
      <w:r w:rsidRPr="005273F8">
        <w:rPr>
          <w:lang w:val="sk-SK"/>
        </w:rPr>
        <w:t xml:space="preserve"> podľa svojich miestnych a vnútroštátnych špecifík, aby sa umožnilo upustiť od prístupu „kto prv príde, ten prv berie“ tým, že bude odrádzať od žiadostí o pripojenie, ak nie sú podložené solídnym projektom, sú špekulatívne alebo ak navrhovateľ nemôže preukázať dostatočné odhodlanie realizovať projekt;</w:t>
      </w:r>
    </w:p>
    <w:p w14:paraId="48AB8F56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22.</w:t>
      </w:r>
      <w:r w:rsidRPr="005273F8">
        <w:rPr>
          <w:lang w:val="sk-SK"/>
        </w:rPr>
        <w:tab/>
        <w:t>zdôrazňuje, že zlepšené cezhraničné prepojenia ponúkajú značný potenciál úspory nákladov na úrovni sústavy, pričom ročné zníženie výrobných nákladov do roku 2040 sa odhaduje na 9 miliárd EUR, zatiaľ čo nevyhnutné ročné investície do cezhraničnej infraštruktúry a skladovacích kapacít sú 6 miliárd EUR;</w:t>
      </w:r>
    </w:p>
    <w:p w14:paraId="78A6B06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23.</w:t>
      </w:r>
      <w:r w:rsidRPr="005273F8">
        <w:rPr>
          <w:lang w:val="sk-SK"/>
        </w:rPr>
        <w:tab/>
        <w:t xml:space="preserve">vyjadruje poľutovanie nad tým, že niektoré členské štáty nedosiahli cieľ prepojenia na úrovni 10 % do roku 2020, a naliehavo ich vyzýva, aby sa usilovali o dosiahnutie súčasného cieľa prepojenia na úrovni 15 % do roku 2030, ako sa stanovuje v nariadení (EÚ) 2018/1999, keďže kapacita prepojenia je kľúčová pre fungovanie vnútorného trhu EÚ s elektrickou energiou, ktoré povedie k značným úsporám nákladov na úrovni </w:t>
      </w:r>
      <w:r w:rsidRPr="005273F8">
        <w:rPr>
          <w:lang w:val="sk-SK"/>
        </w:rPr>
        <w:lastRenderedPageBreak/>
        <w:t>sústav a k zníženiu nákladov na výrobu energie o 9 miliárd EUR ročne do roku 2040</w:t>
      </w:r>
      <w:r w:rsidRPr="005273F8">
        <w:rPr>
          <w:rStyle w:val="FootnoteReference"/>
          <w:lang w:val="sk-SK"/>
        </w:rPr>
        <w:footnoteReference w:id="27"/>
      </w:r>
      <w:r w:rsidRPr="005273F8">
        <w:rPr>
          <w:lang w:val="sk-SK"/>
        </w:rPr>
        <w:t>; vyjadruje poľutovanie nad tým, že 32 GW cezhraničnej kapacity potrebnej do roku 2030 zostáva nevyriešených</w:t>
      </w:r>
      <w:r w:rsidRPr="005273F8">
        <w:rPr>
          <w:rStyle w:val="FootnoteReference"/>
          <w:lang w:val="sk-SK"/>
        </w:rPr>
        <w:footnoteReference w:id="28"/>
      </w:r>
      <w:r w:rsidRPr="005273F8">
        <w:rPr>
          <w:lang w:val="sk-SK"/>
        </w:rPr>
        <w:t>; vyjadruje poľutovanie nad oneskoreniami a neistotou v súvislosti s viacerými projektmi prepojenia; vyzýva preto Komisiu, aby najneskôr do júna 2026 navrhla záväzný cieľ prepojenia na rok 2036 na základe posúdenia potrieb; zdôrazňuje potrebu spolupráce s nehostiteľskými členskými štátmi a zapojenia EÚ a jej susedných krajín do rokovaní s cieľom zabezpečiť dokončenie projektov;</w:t>
      </w:r>
    </w:p>
    <w:p w14:paraId="2DC966C9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24.</w:t>
      </w:r>
      <w:r w:rsidRPr="005273F8">
        <w:rPr>
          <w:lang w:val="sk-SK"/>
        </w:rPr>
        <w:tab/>
        <w:t>zdôrazňuje potrebu urýchliť povoľovacie postupy pre elektrickú infraštruktúru; zdôrazňuje, že rozširovanie siete by sa nemalo oneskorovať zdĺhavými povoľovacími postupmi alebo nadmernými požiadavkami na podávanie správ; víta preto pozitívny pokrok dosiahnutý v súvislosti s ustanoveniami prijatými v rámci najnovšej revízie smernice o obnoviteľných zdrojoch energie, najmä jej článku 16f, a núdzového nariadenia o povolení</w:t>
      </w:r>
      <w:r w:rsidRPr="005273F8">
        <w:rPr>
          <w:rStyle w:val="FootnoteReference"/>
          <w:lang w:val="sk-SK"/>
        </w:rPr>
        <w:footnoteReference w:id="29"/>
      </w:r>
      <w:r w:rsidRPr="005273F8">
        <w:rPr>
          <w:lang w:val="sk-SK"/>
        </w:rPr>
        <w:t xml:space="preserve"> na urýchlenie, zefektívnenie a zjednodušenie postupov udeľovania povolení pre projekty v oblasti sústav a energie z obnoviteľných zdrojov, najmä pokiaľ ide o zásadu verejného záujmu v prípade sieťových projektov; konštatuje však, že niektoré členské štáty napriek ambicióznym rámcom stanoveným na úrovni EÚ nezaznamenali podstatné zlepšenie v harmonogramoch povoľovania projektov; naliehavo preto vyzýva členské štáty, aby bezodkladne vykonali tieto opatrenia, a vyzýva Komisiu, aby pozorne monitorovala vykonávanie smernice o obnoviteľných zdrojoch energie a pravidelne posudzovala, či sú revidované ustanovenia o udeľovaní povolení dostatočné na dosiahnutie cieľov EÚ; okrem toho vyzýva Komisiu, aby stanovila usmernenia pre členské štáty s cieľom zahrnúť zásadu tichého súhlasu do svojich vnútroštátnych systémov plánovania, ako sa uvádza v článku 16a smernice o obnoviteľných zdrojoch energie; zdôrazňuje, že posilnenie administratívnych kapacít, a to aj prostredníctvom primeraného personálneho obsadenia orgánov zodpovedných za plánovanie a udeľovanie povolení, urýchli postupy udeľovania povolení;</w:t>
      </w:r>
    </w:p>
    <w:p w14:paraId="2278F61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25.</w:t>
      </w:r>
      <w:r w:rsidRPr="005273F8">
        <w:rPr>
          <w:lang w:val="sk-SK"/>
        </w:rPr>
        <w:tab/>
        <w:t>vyzýva členské štáty, aby vypracovali plány na určenie osobitných oblastí infraštruktúry pre projekty v oblasti sietí, ako sa uvádza v článku 15e smernice o energii z obnoviteľných zdrojov; zdôrazňuje, že takéto plány sú nevyhnutné na zohľadnenie miestnych špecifík a zabezpečenie rešpektovania chránených oblastí; zdôrazňuje, že tieto plány by mali byť úzko koordinované s určením oblastí urýchleného využívania obnoviteľných zdrojov energie, aby sa zabezpečil racionálny, účinný a integrovaný prístup k rozvoju energetickej infraštruktúry;</w:t>
      </w:r>
    </w:p>
    <w:p w14:paraId="1585149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26.</w:t>
      </w:r>
      <w:r w:rsidRPr="005273F8">
        <w:rPr>
          <w:lang w:val="sk-SK"/>
        </w:rPr>
        <w:tab/>
        <w:t xml:space="preserve">konštatuje, že dokumenty sa často musia predkladať v papierovej forme; vyzýva členské štáty, aby zvýšili digitalizáciu týchto procesov s cieľom urýchliť postupy povoľovania; vyzýva Komisiu a členské štáty, aby zrevidovali všetky právne predpisy EÚ týkajúce sa </w:t>
      </w:r>
      <w:r w:rsidRPr="005273F8">
        <w:rPr>
          <w:lang w:val="sk-SK"/>
        </w:rPr>
        <w:lastRenderedPageBreak/>
        <w:t>udeľovania povolení, napríklad smernicu o posudzovaní vplyvov na životné prostredie</w:t>
      </w:r>
      <w:r w:rsidRPr="005273F8">
        <w:rPr>
          <w:rStyle w:val="FootnoteReference"/>
          <w:lang w:val="sk-SK"/>
        </w:rPr>
        <w:footnoteReference w:id="30"/>
      </w:r>
      <w:r w:rsidRPr="005273F8">
        <w:rPr>
          <w:lang w:val="sk-SK"/>
        </w:rPr>
        <w:t>, s cieľom zaviesť povinné digitálne požiadavky na podávanie, predkladanie a spracovanie žiadostí;</w:t>
      </w:r>
    </w:p>
    <w:p w14:paraId="2D72B41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27.</w:t>
      </w:r>
      <w:r w:rsidRPr="005273F8">
        <w:rPr>
          <w:lang w:val="sk-SK"/>
        </w:rPr>
        <w:tab/>
        <w:t>zdôrazňuje význam akceptácie verejnosti a zapojenia verejnosti pri vypracúvaní nových projektov v oblasti sústav a vyzýva Komisiu, aby vypracovala súbor najlepších postupov, ktoré by si členské štáty v tejto súvislosti mohli vymieňať; zdôrazňuje kľúčový význam účinnej komunikácie s občanmi a komunitami, pokiaľ ide o projekty v oblasti sietí a ich posilnenie; konštatuje, že podpora na miestnej úrovni môže pomôcť urýchliť poskytovanie kritickej infraštruktúry, a tým splniť ciele na vnútroštátnej úrovni a na úrovni EÚ; naliehavo vyzýva na urýchlené vykonávanie paktu EÚ o spolupráci s odvetvím elektrickej energie a koordináciu s národnými signatármi (PPS, PDS, NRO) s cieľom zaručiť včasnú, zmysluplnú a pravidelnú účasť verejnosti na projektoch v oblasti sústav;</w:t>
      </w:r>
    </w:p>
    <w:p w14:paraId="2474107B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28.</w:t>
      </w:r>
      <w:r w:rsidRPr="005273F8">
        <w:rPr>
          <w:lang w:val="sk-SK"/>
        </w:rPr>
        <w:tab/>
        <w:t>vyzýva na zvolanie skupiny TAIEX</w:t>
      </w:r>
      <w:r w:rsidRPr="005273F8">
        <w:rPr>
          <w:rStyle w:val="FootnoteReference"/>
          <w:lang w:val="sk-SK"/>
        </w:rPr>
        <w:footnoteReference w:id="31"/>
      </w:r>
      <w:r w:rsidRPr="005273F8">
        <w:rPr>
          <w:lang w:val="sk-SK"/>
        </w:rPr>
        <w:t xml:space="preserve"> pre udeľovanie povolení v rámci pripravovaného balíka opatrení pre európske elektrizačné sústavy s cieľom podporiť členské štáty pri riešení administratívnych prekážok, zvyšovaní regulačnej kapacity a urýchľovaní schvaľovania projektov prostredníctvom výmeny osvedčených postupov a cezhraničnej koordinácie;</w:t>
      </w:r>
    </w:p>
    <w:p w14:paraId="13A8F9A8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29.</w:t>
      </w:r>
      <w:r w:rsidRPr="005273F8">
        <w:rPr>
          <w:lang w:val="sk-SK"/>
        </w:rPr>
        <w:tab/>
        <w:t>víta iniciatívy oznámené v rámci akčného plánu pre cenovo dostupnú energiu; odporúča Komisii, aby rozšírila „trojstrannú zmluvu o prijateľných cenách energie pre európsky priemysel“ na menších výrobcov energie vrátane energetických spoločenstiev, MSP a podnikov využívajúcich flexibilitu a reakciu na dopyt a aby prepojila výsledky týchto štruktúr spolupráce s procesmi plánovania sietí na vnútroštátnej úrovni a na úrovni EÚ s cieľom optimalizovať plánovanie, investície a využívanie sietí od samého začiatku;</w:t>
      </w:r>
    </w:p>
    <w:p w14:paraId="547E53A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30.</w:t>
      </w:r>
      <w:r w:rsidRPr="005273F8">
        <w:rPr>
          <w:lang w:val="sk-SK"/>
        </w:rPr>
        <w:tab/>
        <w:t>zdôrazňuje potrebu zlepšení rámca verejného obstarávania s cieľom riešiť problémy prevádzkovateľov sietí v súvislosti s výzvami v oblasti dodávok; víta preto oznámenie Komisie o Dohode o čistom priemysle a oznámenie Komisie o nadchádzajúcom preskúmaní smerníc o verejnom obstarávaní</w:t>
      </w:r>
      <w:r w:rsidRPr="005273F8">
        <w:rPr>
          <w:rStyle w:val="FootnoteReference"/>
          <w:lang w:val="sk-SK"/>
        </w:rPr>
        <w:footnoteReference w:id="32"/>
      </w:r>
      <w:r w:rsidRPr="005273F8">
        <w:rPr>
          <w:lang w:val="sk-SK"/>
        </w:rPr>
        <w:t>; zdôrazňuje potenciál verejného obstarávania na ďalší rozvoj silného výrobného dodávateľského reťazca EÚ pre zariadenia, softvér a služby v oblasti elektrických sietí; nabáda Komisiu, aby podporovala odolnosť, udržateľnosť a bezpečnosť pri postupoch verejného obstarávania prevádzkovateľov sietí; zasadzuje sa za väčšiu konzistentnosť nariadení EÚ o verejnom obstarávaní; vyzýva Komisiu, aby upravila pravidlá EÚ týkajúce sa verejného obstarávania s cieľom harmonizovať a zjednodušiť špecifikácie funkčného verejného obstarávania s cieľom zvýšiť výrobné kapacity komponentov siete;</w:t>
      </w:r>
    </w:p>
    <w:p w14:paraId="0D5B5123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lastRenderedPageBreak/>
        <w:t>31.</w:t>
      </w:r>
      <w:r w:rsidRPr="005273F8">
        <w:rPr>
          <w:lang w:val="sk-SK"/>
        </w:rPr>
        <w:tab/>
        <w:t>domnieva sa, že na dosiahnutie úspor z rozsahu a urýchlenie technologického vývoja je potrebná primeraná štandardizácia a spoločné technické špecifikácie; okrem toho sa domnieva, že je nevyhnutné zabezpečiť správnu úroveň normalizácie, aby sa neznížila inovačná kapacita výrobcov;</w:t>
      </w:r>
    </w:p>
    <w:p w14:paraId="034452A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32.</w:t>
      </w:r>
      <w:r w:rsidRPr="005273F8">
        <w:rPr>
          <w:lang w:val="sk-SK"/>
        </w:rPr>
        <w:tab/>
        <w:t>opakuje, že je potrebné zvážiť nové obchodné modely medzi výrobcami zariadení a prevádzkovateľmi, ako sú dlhodobé rámcové dohody, ktoré podporujú prechod od jednorazových „projektov v oblasti sústav“ k trvalým a štruktúrovaným „programom v oblasti sústav“, čo povedie k predvídateľnejšiemu plánovaniu pre výrobcov sieťových technológií; vyzýva na zefektívnenie postupov verejného obstarávania na poskytovanie sieťového vybavenia a služieb;</w:t>
      </w:r>
    </w:p>
    <w:p w14:paraId="6F24A21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33.</w:t>
      </w:r>
      <w:r w:rsidRPr="005273F8">
        <w:rPr>
          <w:lang w:val="sk-SK"/>
        </w:rPr>
        <w:tab/>
        <w:t>zdôrazňuje, že táto nadchádzajúca revízia smerníc o verejnom obstarávaní umožní začlenenie kritérií udržateľnosti, odolnosti a európskych preferencií do postupov verejného obstarávania EÚ pre strategické odvetvia v súlade s ustanoveniami uvedenými v článku 25 nariadenia (EÚ) 2024/1735</w:t>
      </w:r>
      <w:r w:rsidRPr="005273F8">
        <w:rPr>
          <w:rStyle w:val="FootnoteReference"/>
          <w:lang w:val="sk-SK"/>
        </w:rPr>
        <w:footnoteReference w:id="33"/>
      </w:r>
      <w:r w:rsidRPr="005273F8">
        <w:rPr>
          <w:lang w:val="sk-SK"/>
        </w:rPr>
        <w:t>; žiada, aby boli siete a súvisiace technológie výslovne uznané za strategické odvetvia, aby sa zabezpečila ich oprávnenosť v rámci revidovaného rámca; zdôrazňuje, že posilnenie európskych preferencií v postupoch verejného obstarávania má zásadný význam pre zníženie závislosti EÚ od dodávateľov z krajín, ktoré nie sú členmi EÚ, zvýšenie bezpečnosti dodávateľského reťazca a podporu odolnej priemyselnej základne EÚ schopnej podporiť energetickú transformáciu; víta skutočnosť, že Európska investičná banka (EIB) zaviedla „balík na podporu výroby elektrizačných sústav“ na podporu európskeho dodávateľského reťazca s protizárukami vo výške najmenej 1,5 miliardy EUR pre výrobcov komponentov sietí; vyzýva na vytvorenie ďalších podobných finančných nástrojov, ktoré by poskytli dlhodobú investičnú istotu a urýchlili rozšírenie európskych výrobných kapacít;</w:t>
      </w:r>
    </w:p>
    <w:p w14:paraId="6B6A639B" w14:textId="77777777" w:rsidR="0030521E" w:rsidRPr="005273F8" w:rsidRDefault="0030521E" w:rsidP="0030521E">
      <w:pPr>
        <w:pStyle w:val="Normal12a24b"/>
        <w:rPr>
          <w:lang w:val="sk-SK"/>
        </w:rPr>
      </w:pPr>
      <w:r w:rsidRPr="005273F8">
        <w:rPr>
          <w:rStyle w:val="BoldItalic"/>
          <w:lang w:val="sk-SK"/>
        </w:rPr>
        <w:t>Financovanie</w:t>
      </w:r>
    </w:p>
    <w:p w14:paraId="6B7C24C5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34.</w:t>
      </w:r>
      <w:r w:rsidRPr="005273F8">
        <w:rPr>
          <w:lang w:val="sk-SK"/>
        </w:rPr>
        <w:tab/>
        <w:t>konštatuje, že za posledných päť rokov sa celosvetové investície do energetickej kapacity zvýšili o takmer 40 %, zatiaľ čo investovanie do sieťovej infraštruktúry zaostávalo; konštatuje, že odhady investícií, ktoré bude musieť EÚ vynaložiť do svojej siete v období 2025 – 2050, sa pohybujú v rozmedzí od 1 950 miliárd EUR do 2 600 miliárd EUR</w:t>
      </w:r>
      <w:r w:rsidRPr="005273F8">
        <w:rPr>
          <w:rStyle w:val="FootnoteReference"/>
          <w:lang w:val="sk-SK"/>
        </w:rPr>
        <w:footnoteReference w:id="34"/>
      </w:r>
      <w:r w:rsidRPr="005273F8">
        <w:rPr>
          <w:lang w:val="sk-SK"/>
        </w:rPr>
        <w:t>;</w:t>
      </w:r>
    </w:p>
    <w:p w14:paraId="149B9653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35.</w:t>
      </w:r>
      <w:r w:rsidRPr="005273F8">
        <w:rPr>
          <w:lang w:val="sk-SK"/>
        </w:rPr>
        <w:tab/>
        <w:t xml:space="preserve">so znepokojením konštatuje, že rozpočet pridelený v rámci NPE – E nie je dostatočný na urýchlenie všetkých kategórií projektov spoločného záujmu a projektov vo vzájomnom záujme; konštatuje, že s rozpočtom 5,84 miliardy EUR na roky 2021 – 2027 má program obmedzenú kapacitu a môže mať problémy udržať krok s investičnými potrebami; vyzýva Komisiu a členské štáty, aby pri navrhovaní budúceho viacročného finančného rámca (VFR) výrazne zvýšili finančné krytie NPE-E a </w:t>
      </w:r>
      <w:r w:rsidRPr="005273F8">
        <w:rPr>
          <w:lang w:val="sk-SK"/>
        </w:rPr>
        <w:lastRenderedPageBreak/>
        <w:t>percentuálny podiel finančných prostriedkov NPE-E určených na elektrickú infraštruktúru ako samostatný primeraný zdroj a aby zabezpečili, že projekty na úrovni distribúcie aj prenosu s pridanou hodnotou EÚ budú oprávnené na rozpočet vyčlenený v rámci NPE-E; nabáda Komisiu, aby ďalej skúmala možnosti spolufinancovania medzi NPE-E a mechanizmom financovania energie z obnoviteľných zdrojov;</w:t>
      </w:r>
    </w:p>
    <w:p w14:paraId="2FE2B243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36.</w:t>
      </w:r>
      <w:r w:rsidRPr="005273F8">
        <w:rPr>
          <w:lang w:val="sk-SK"/>
        </w:rPr>
        <w:tab/>
        <w:t>konštatuje, že finančné prostriedky EÚ sa prideľujú prevažne na prenosové siete s relatívne zanedbateľným pridelením na distribučné siete, a to napriek ich významnej úlohe v energetickej transformácii EÚ, čo dokazuje skutočnosť, že v rokoch 2014 až 2020 sa z NPE-E financovali projekty v hodnote približne 5,3 miliardy EUR, z čoho približne 1,7 miliardy EUR smerovalo na prenosové siete a 237 miliónov EUR na inteligentné distribučné siete; poznamenáva, že posledný zoznam projektov spoločného záujmu obsahoval len päť projektov inteligentných sietí;</w:t>
      </w:r>
    </w:p>
    <w:p w14:paraId="26DD927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37.</w:t>
      </w:r>
      <w:r w:rsidRPr="005273F8">
        <w:rPr>
          <w:lang w:val="sk-SK"/>
        </w:rPr>
        <w:tab/>
        <w:t>vyjadruje hlboké poľutovanie nad tým, že zatiaľ čo regionálne fondy, ako je Kohézny fond alebo Európsky fond regionálneho rozvoja alebo Mechanizmus na podporu obnovy a odolnosti, v zásade podporujú investície do sústav, v praxi sa dostatočne nevyužívajú na projekty v oblasti sústav; tiež vyjadruje poľutovanie nad tým, že hodnotiace kritériá uplatňované na posudzovanie projektov predložených v reakcii na výzvy Inovačného fondu EÚ na predkladanie ponúk bránia financovaniu demonštrácie a výroby sieťových technológií; vyzýva Komisiu a členské štáty, aby zabezpečili, že primeraná suma z týchto fondov sa vynaloží aj na investície do sústav;</w:t>
      </w:r>
    </w:p>
    <w:p w14:paraId="1D482503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38.</w:t>
      </w:r>
      <w:r w:rsidRPr="005273F8">
        <w:rPr>
          <w:lang w:val="sk-SK"/>
        </w:rPr>
        <w:tab/>
        <w:t>vyzýva členské štáty, aby zjednodušili prístup prevádzkovateľov sietí k fondom EÚ, ktoré spravujú členské štáty, napríklad prostredníctvom zriadenia jednotného kontaktného miesta v tých členských štátoch, kde je veľký podiel malých a stredných PDS;</w:t>
      </w:r>
    </w:p>
    <w:p w14:paraId="73C0B8C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39.</w:t>
      </w:r>
      <w:r w:rsidRPr="005273F8">
        <w:rPr>
          <w:lang w:val="sk-SK"/>
        </w:rPr>
        <w:tab/>
        <w:t>vyzýva Komisiu, aby navrhla osobitný nástroj financovania, ako je nástroj založený na príjmoch z trhového systému znižovania emisií, s cieľom umožniť členským štátom podporovať decentralizované a inovačné sieťové projekty s jasnou pridanou hodnotou EÚ vrátane menších projektov, čím sa zabezpečí jeho účinné využívanie členskými štátmi na tieto účely;</w:t>
      </w:r>
    </w:p>
    <w:p w14:paraId="437CCE0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40.</w:t>
      </w:r>
      <w:r w:rsidRPr="005273F8">
        <w:rPr>
          <w:lang w:val="sk-SK"/>
        </w:rPr>
        <w:tab/>
        <w:t>zdôrazňuje potrebu regulačných rámcov, ktoré by okrem mechanizmov verejného financovania prilákali súkromné investície a zabezpečili tarify odrážajúce náklady;</w:t>
      </w:r>
    </w:p>
    <w:p w14:paraId="25F9D85D" w14:textId="430F96CC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41.</w:t>
      </w:r>
      <w:r w:rsidRPr="005273F8">
        <w:rPr>
          <w:lang w:val="sk-SK"/>
        </w:rPr>
        <w:tab/>
        <w:t>je presvedčený, že anticipačné investície a výhľadové investície pomôžu riešiť úzke miesta v sústave a zabránia obmedzovaniu; poukazuje na to, že v nariadení o EMD sa stanovujú regulačné prvky pre anticipačné investície, ale chýba v ňom harmonizované vymedzenie a vykonávanie v celej Únii; vyzýva členské štáty, aby urýchlene vykonali uvedené ustanovenia nariadenia o EMD a odstránili vnútroštátne právne prekážky, národné regulačné orgány, aby odstránili prekážky týkajúce sa regulačných stimulov a odrádzajúcich opatrení, a Komisiu, aby urýchlene poskytla usmernenia týkajúce sa schvaľovania anticipačných investícií, ako bolo oznámené v jej akčnom pláne pre elektrizačné sústavy</w:t>
      </w:r>
      <w:r w:rsidRPr="005273F8">
        <w:rPr>
          <w:rStyle w:val="FootnoteReference"/>
          <w:lang w:val="sk-SK"/>
        </w:rPr>
        <w:footnoteReference w:id="35"/>
      </w:r>
      <w:r w:rsidRPr="005273F8">
        <w:rPr>
          <w:lang w:val="sk-SK"/>
        </w:rPr>
        <w:t xml:space="preserve">; domnieva sa, že ďalšia harmonizácia v tejto oblasti by mohla byť prospešná; požaduje podrobné analýzy nákladov a prínosov a plánovanie založené na scenároch s cieľom posúdiť pravdepodobnosť budúceho využitia a odporúča </w:t>
      </w:r>
      <w:r w:rsidRPr="005273F8">
        <w:rPr>
          <w:lang w:val="sk-SK"/>
        </w:rPr>
        <w:lastRenderedPageBreak/>
        <w:t>dvojstupňový proces schvaľovania projektov s vyššou úrovňou rizika, a to najprv schválením menších rozpočtov na štúdie alebo plánovanie a následne druhým schválením nákladnejších krokov s cieľom znížiť riziko uviaznutých aktív;</w:t>
      </w:r>
    </w:p>
    <w:p w14:paraId="7CEE232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42.</w:t>
      </w:r>
      <w:r w:rsidRPr="005273F8">
        <w:rPr>
          <w:lang w:val="sk-SK"/>
        </w:rPr>
        <w:tab/>
        <w:t>uznáva, že investície do sietí z kapitálových trhov možno stimulovať poskytnutím trhovo orientovaných podmienok, ako sú vhodné miery návratnosti a pevný regulačný rámec; zdôrazňuje, že EÚ a členské štáty by mali podporovať súkromné investície poskytovaním nástrojov na zmierňovanie rizika alebo záruk členských štátov; vyzýva Komisiu a EIB, aby ďalej posilňovali iniciatívy a nástroje na znižovanie rizika, ako sú napríklad protizáruky, s cieľom podporiť ďalšie rozširovanie a modernizáciu elektrických sietí za dostupné ceny pre prevádzkovateľov sústav; zdôrazňuje, že vzhľadom na kritickosť infraštruktúry je dôležité zabezpečiť, aby bola elektrická sieť EÚ financovaná, a teda vlastnená verejným a súkromným kapitálom len od subjektov z EÚ alebo vopred preverených investorov z krajín, ktoré nie sú členmi EÚ;</w:t>
      </w:r>
    </w:p>
    <w:p w14:paraId="56C67D6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43.</w:t>
      </w:r>
      <w:r w:rsidRPr="005273F8">
        <w:rPr>
          <w:lang w:val="sk-SK"/>
        </w:rPr>
        <w:tab/>
        <w:t>zdôrazňuje, že zatiaľ čo investičné rozhodnutia by sa mali riadiť efektívnosťou vrátane energetickej a nákladovej efektívnosti, investície by sa nemali zameriavať len na kapitálové výdavky a že by sa mali rovnako zvážiť investície optimalizácie, obnovy a modernizácie existujúcej infraštruktúry; víta preto článok 18 nariadenia o EMD, v ktorom sa požaduje, aby sa v metodikách taríf rovnako zohľadňovali kapitálové a prevádzkové výdavky a aby sa prevádzkovatelia odmeňovali za zvyšovanie efektívnosti prevádzky a rozvoja svojich sietí, a to aj prostredníctvom energetickej efektívnosti, flexibility a digitalizácie; vyzýva Komisiu a členské štáty, aby dôkladne vykonávali jeho ustanovenia a zamerali sa na zabezpečenie spravodlivej a včasnej náhrady nákladov, ktoré znášajú prevádzkovatelia sústav;</w:t>
      </w:r>
    </w:p>
    <w:p w14:paraId="17C6DA1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44.</w:t>
      </w:r>
      <w:r w:rsidRPr="005273F8">
        <w:rPr>
          <w:lang w:val="sk-SK"/>
        </w:rPr>
        <w:tab/>
        <w:t>konštatuje, že elektrifikácia hospodárstva EÚ, ak je to technicky a ekonomicky uskutočniteľné, by pomohla znížiť sieťové tarify rozdelením nákladov na širšiu škálu používateľov; zdôrazňuje preto, že je dôležité zabezpečiť, aby bol rozvoj budúcej siete plne v súlade s prognózami dopytu spôsobenými zvýšením úrovne elektrifikácie; vyjadruje znepokojenie nad tým, že odborníci predpovedajú zvýšenie sieťových taríf približne o 50 % až 100 % do roku 2050</w:t>
      </w:r>
      <w:r w:rsidRPr="005273F8">
        <w:rPr>
          <w:rStyle w:val="FootnoteReference"/>
          <w:lang w:val="sk-SK"/>
        </w:rPr>
        <w:footnoteReference w:id="36"/>
      </w:r>
      <w:r w:rsidRPr="005273F8">
        <w:rPr>
          <w:lang w:val="sk-SK"/>
        </w:rPr>
        <w:t>; preto zdôrazňuje potrebu nástrojov a stimulov na podporu prevádzkovateľov sietí pri účinnom riadení dostupnej kapacity siete, a to aj prostredníctvom obstarávania služieb flexibility, s cieľom znížiť bezprostredné potreby investícií do siete; zdôrazňuje, že dohody o flexibilnom pripojení, flexibilné sieťové tarify a miestne trhy flexibility prispievajú k efektívnosti siete; vyzýva NRO, aby podporovali tieto flexibilné sadzby, ktoré spotrebiteľom umožnia ľahko reagovať na cenové signály a zároveň ochránia zraniteľné domácnosti a podniky pred cenovými vrcholmi; vyzýva Komisiu a členské štáty, aby aktívne riešili prekážky v oblasti taríf, poplatkov za pripojenie a predpisov s cieľom uľahčiť cezhraničné investície a investície do hybridných sietí na mori;</w:t>
      </w:r>
    </w:p>
    <w:p w14:paraId="42A8E11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45.</w:t>
      </w:r>
      <w:r w:rsidRPr="005273F8">
        <w:rPr>
          <w:lang w:val="sk-SK"/>
        </w:rPr>
        <w:tab/>
        <w:t xml:space="preserve">vyzýva členské štáty, aby zaviedli príslušný právny rámec EÚ na uvoľnenie flexibility na strane dopytu prostredníctvom urýchlenia zavádzania inteligentných meračov, umožnenia prístupu k údajom zo všetkých meracích zariadení a zabezpečenia účinných cenových signálov, aby priemysel a domácnosti mohli optimalizovať svoju spotrebu a </w:t>
      </w:r>
      <w:r w:rsidRPr="005273F8">
        <w:rPr>
          <w:lang w:val="sk-SK"/>
        </w:rPr>
        <w:lastRenderedPageBreak/>
        <w:t>znížiť svoje účty za elektrinu a zároveň pomôcť znížiť prevádzkové náklady a potrebu ďalších investícií do siete;</w:t>
      </w:r>
    </w:p>
    <w:p w14:paraId="63CF4508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46.</w:t>
      </w:r>
      <w:r w:rsidRPr="005273F8">
        <w:rPr>
          <w:lang w:val="sk-SK"/>
        </w:rPr>
        <w:tab/>
        <w:t>zdôrazňuje, že uvoľnenie sieťových taríf a niektorých poplatkov, ktoré by mohli maž vplyv na znižovanie cien elektrickej energie, ako sa navrhuje v Akčnom pláne pre cenovo dostupnú energiu, musí byť sprevádzané plánom na nahradenie zdrojov finančných prostriedkov potrebných na investície do sietí z alternatívnych zdrojov, aby sa v budúcnosti predišlo nedostatočnému investovaniu do sietí;</w:t>
      </w:r>
    </w:p>
    <w:p w14:paraId="2198276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47.</w:t>
      </w:r>
      <w:r w:rsidRPr="005273F8">
        <w:rPr>
          <w:lang w:val="sk-SK"/>
        </w:rPr>
        <w:tab/>
        <w:t>zdôrazňuje, že je dôležité minimalizovať dodatočné náklady na účty spotrebiteľov vyplývajúce z investícií potrebných na modernizáciu a rozšírenie siete, ktoré sú potrebné na splnenie cieľov EÚ v oblasti klímy a konkurencieschopnosti; žiada Komisiu, aby v spolupráci s členskými štátmi vypracovala koordinovaný súbor najlepších postupov pre investície a zloženie spravodlivých sieťových taríf s veľkým dôrazom na zvyšovanie transparentnosti a odstránenie poplatkov z taríf nesúvisiacich s energiou;</w:t>
      </w:r>
    </w:p>
    <w:p w14:paraId="652CC96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48.</w:t>
      </w:r>
      <w:r w:rsidRPr="005273F8">
        <w:rPr>
          <w:lang w:val="sk-SK"/>
        </w:rPr>
        <w:tab/>
        <w:t xml:space="preserve">poukazuje na to, že prenosová infraštruktúra a dostupnosť </w:t>
      </w:r>
      <w:proofErr w:type="spellStart"/>
      <w:r w:rsidRPr="005273F8">
        <w:rPr>
          <w:lang w:val="sk-SK"/>
        </w:rPr>
        <w:t>medzioblastných</w:t>
      </w:r>
      <w:proofErr w:type="spellEnd"/>
      <w:r w:rsidRPr="005273F8">
        <w:rPr>
          <w:lang w:val="sk-SK"/>
        </w:rPr>
        <w:t xml:space="preserve"> kapacít majú zásadný význam pre integrovaný trh a pre výmenu energie z obnoviteľných zdrojov s nízkymi marginálnymi nákladmi, pri dodržaní bezpečnosti systému; konštatuje, že v nariadení o EMD sa stanovuje minimálny cieľ 70 % kapacít dostupných pre </w:t>
      </w:r>
      <w:proofErr w:type="spellStart"/>
      <w:r w:rsidRPr="005273F8">
        <w:rPr>
          <w:lang w:val="sk-SK"/>
        </w:rPr>
        <w:t>medzioblastný</w:t>
      </w:r>
      <w:proofErr w:type="spellEnd"/>
      <w:r w:rsidRPr="005273F8">
        <w:rPr>
          <w:lang w:val="sk-SK"/>
        </w:rPr>
        <w:t xml:space="preserve"> obchod do roku 2025, ale členské štáty sú ďaleko od jeho dosiahnutia; preto naliehavo vyzýva členské štáty a ich prevádzkovateľov prenosových sústav, aby urýchlili svoje úsilie o maximalizáciu možností </w:t>
      </w:r>
      <w:proofErr w:type="spellStart"/>
      <w:r w:rsidRPr="005273F8">
        <w:rPr>
          <w:lang w:val="sk-SK"/>
        </w:rPr>
        <w:t>medzioblastného</w:t>
      </w:r>
      <w:proofErr w:type="spellEnd"/>
      <w:r w:rsidRPr="005273F8">
        <w:rPr>
          <w:lang w:val="sk-SK"/>
        </w:rPr>
        <w:t xml:space="preserve"> obchodovania s cieľom zabezpečiť efektívny vnútorný trh s elektrickou energiou, primerané investičné rozhodnutia a integráciu energie z obnoviteľných zdrojov; vyjadruje poľutovanie nad tým, že dosiahnutie tohto cieľa často viedlo k nákladom na </w:t>
      </w:r>
      <w:proofErr w:type="spellStart"/>
      <w:r w:rsidRPr="005273F8">
        <w:rPr>
          <w:lang w:val="sk-SK"/>
        </w:rPr>
        <w:t>redispečing</w:t>
      </w:r>
      <w:proofErr w:type="spellEnd"/>
      <w:r w:rsidRPr="005273F8">
        <w:rPr>
          <w:lang w:val="sk-SK"/>
        </w:rPr>
        <w:t xml:space="preserve">; konštatuje, že existujúce mechanizmy rozdelenia nákladov, ako je cezhraničné rozdelenie nákladov, kompenzácia medzi prevádzkovateľmi prenosových sústav (PPS) a rozdelenie nákladov na </w:t>
      </w:r>
      <w:proofErr w:type="spellStart"/>
      <w:r w:rsidRPr="005273F8">
        <w:rPr>
          <w:lang w:val="sk-SK"/>
        </w:rPr>
        <w:t>redispečing</w:t>
      </w:r>
      <w:proofErr w:type="spellEnd"/>
      <w:r w:rsidRPr="005273F8">
        <w:rPr>
          <w:lang w:val="sk-SK"/>
        </w:rPr>
        <w:t>, sú obmedzené a ťažko sa uplatňujú, čo nepodporuje cezhraničné investície, ako sú siete na mori; vyzýva Komisiu, aby komplexne preskúmala a zlepšila tieto mechanizmy s cieľom zabezpečiť, aby odrážali spoločné výhody infraštruktúry a riešili rozmanitosť tokov elektrickej energie, či už vnútorných alebo cezhraničných vrátane spravodlivého a vyváženého mechanizmu rozdelenia nákladov a prínosov pre cezhraničné infraštruktúrne projekty, ktorý by bol založený na objektívnych kritériách;</w:t>
      </w:r>
    </w:p>
    <w:p w14:paraId="023646BD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49.</w:t>
      </w:r>
      <w:r w:rsidRPr="005273F8">
        <w:rPr>
          <w:lang w:val="sk-SK"/>
        </w:rPr>
        <w:tab/>
        <w:t>berie na vedomie správu ENTSO-E z apríla 2025 o potenciálnych alternatívnych konfiguráciách ponukových oblastí na základe simulácií lokálnych marginálnych cien, ktoré poskytujú prevádzkovatelia prenosových sústav;</w:t>
      </w:r>
    </w:p>
    <w:p w14:paraId="7744727C" w14:textId="77777777" w:rsidR="0030521E" w:rsidRPr="000F3DC8" w:rsidRDefault="0030521E" w:rsidP="0030521E">
      <w:pPr>
        <w:pStyle w:val="Normal12a24b"/>
        <w:rPr>
          <w:b/>
          <w:lang w:val="sk-SK"/>
        </w:rPr>
      </w:pPr>
      <w:r w:rsidRPr="000F3DC8">
        <w:rPr>
          <w:rStyle w:val="Italic"/>
          <w:b/>
          <w:lang w:val="sk-SK"/>
        </w:rPr>
        <w:t>Technológie na posilnenie sústavy, digitalizácia, inovačné riešenia a odolnosť</w:t>
      </w:r>
    </w:p>
    <w:p w14:paraId="17E8F73D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50.</w:t>
      </w:r>
      <w:r w:rsidRPr="005273F8">
        <w:rPr>
          <w:lang w:val="sk-SK"/>
        </w:rPr>
        <w:tab/>
        <w:t xml:space="preserve">zdôrazňuje, že technológie posilňujúce sústavu, digitálne riešenia, podporné služby a technológie správy údajov, ako aj inteligentné energetické spotrebiče, ktoré často využívajú umelú inteligenciu, môžu výrazne zvýšiť efektívnosť existujúcich kapacít siete a maximalizovať využívanie existujúcich aktív, čím sa zníži požiadavka na novú infraštruktúru, napríklad poskytovaním informácií o energetických tokoch v reálnom čase; trvá preto na tom, že tieto technológie a inovačné riešenia sa musia preskúmať; naliehavo vyzýva národné regulačné orgány, aby motivovali PPS a PDS k tomu, aby sa viac spoliehali na takéto technológie zvážením nákladov a prínosov ich využívania v </w:t>
      </w:r>
      <w:r w:rsidRPr="005273F8">
        <w:rPr>
          <w:lang w:val="sk-SK"/>
        </w:rPr>
        <w:lastRenderedPageBreak/>
        <w:t>porovnaní s rozširovaním siete, a to skôr prostredníctvom systémov odmeňovania založených na výhodách ako prostredníctvom nákladov, a aby PPS a PDS porovnávali vzhľadom na ich využívanie týchto technológií; vyzýva Komisiu, aby pri posudzovaní projektov, ktoré sa uchádzajú o financovanie zo strany EÚ, ďalej podporovala takéto inovatívne technológie;</w:t>
      </w:r>
    </w:p>
    <w:p w14:paraId="5F6190D6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51.</w:t>
      </w:r>
      <w:r w:rsidRPr="005273F8">
        <w:rPr>
          <w:lang w:val="sk-SK"/>
        </w:rPr>
        <w:tab/>
        <w:t xml:space="preserve">víta prácu, ktorú vykonali ENTSO-E a subjekt PDS pri vývoji dokumentu </w:t>
      </w:r>
      <w:proofErr w:type="spellStart"/>
      <w:r w:rsidRPr="005273F8">
        <w:rPr>
          <w:lang w:val="sk-SK"/>
        </w:rPr>
        <w:t>Technopedia</w:t>
      </w:r>
      <w:proofErr w:type="spellEnd"/>
      <w:r w:rsidRPr="005273F8">
        <w:rPr>
          <w:lang w:val="sk-SK"/>
        </w:rPr>
        <w:t xml:space="preserve"> pre PPS/PDS</w:t>
      </w:r>
      <w:r w:rsidRPr="005273F8">
        <w:rPr>
          <w:rStyle w:val="FootnoteReference"/>
          <w:lang w:val="sk-SK"/>
        </w:rPr>
        <w:footnoteReference w:id="37"/>
      </w:r>
      <w:r w:rsidRPr="005273F8">
        <w:rPr>
          <w:lang w:val="sk-SK"/>
        </w:rPr>
        <w:t xml:space="preserve"> a vyzýva Komisiu, aby nariadila aktualizáciu </w:t>
      </w:r>
      <w:proofErr w:type="spellStart"/>
      <w:r w:rsidRPr="005273F8">
        <w:rPr>
          <w:lang w:val="sk-SK"/>
        </w:rPr>
        <w:t>Technopedie</w:t>
      </w:r>
      <w:proofErr w:type="spellEnd"/>
      <w:r w:rsidRPr="005273F8">
        <w:rPr>
          <w:lang w:val="sk-SK"/>
        </w:rPr>
        <w:t xml:space="preserve"> dvakrát ročne, aby presne odrážala úrovne technologickej pripravenosti zahrnutých technológií;</w:t>
      </w:r>
    </w:p>
    <w:p w14:paraId="3CFE4BF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52.</w:t>
      </w:r>
      <w:r w:rsidRPr="005273F8">
        <w:rPr>
          <w:lang w:val="sk-SK"/>
        </w:rPr>
        <w:tab/>
        <w:t xml:space="preserve">naliehavo vyzýva Komisiu a členské štáty, aby ďalej umožnili a zvýšili digitalizáciu európskej elektrizačnej sústavy, čím by sa umožnila optimalizácia jej prevádzky a znížil tlak na dodávateľský reťazec; zdôrazňuje, že pre plánovanie a optimalizáciu siete je nevyhnutná výmena údajov a </w:t>
      </w:r>
      <w:proofErr w:type="spellStart"/>
      <w:r w:rsidRPr="005273F8">
        <w:rPr>
          <w:lang w:val="sk-SK"/>
        </w:rPr>
        <w:t>interoperabilita</w:t>
      </w:r>
      <w:proofErr w:type="spellEnd"/>
      <w:r w:rsidRPr="005273F8">
        <w:rPr>
          <w:lang w:val="sk-SK"/>
        </w:rPr>
        <w:t xml:space="preserve"> údajov; vyzýva členské štáty, národné regulačné orgány, subjekt PDS EÚ a agentúru ACER, aby pokračovali v práci na systéme monitorovania založenom na ukazovateľoch merania výkonnosti inteligentných sietí („ukazovatele inteligentných sietí“), ako sa stanovuje v smernici o elektrine, a urýchlili ju;</w:t>
      </w:r>
    </w:p>
    <w:p w14:paraId="02B6187C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53.</w:t>
      </w:r>
      <w:r w:rsidRPr="005273F8">
        <w:rPr>
          <w:lang w:val="sk-SK"/>
        </w:rPr>
        <w:tab/>
        <w:t>zdôrazňuje, že je naliehavo potrebné zvýšiť bezpečnosť kritickej elektrickej infraštruktúry vrátane prepojovacích vedení a podmorských káblov, ktorým hrozí riziko sabotáže, a zvýšiť jej odolnosť voči extrémnym výkyvom počasia a zmene klímy a fyzickým a digitálnym útokom; zdôrazňuje potrebu posilniť spoluprácu na vnútroštátnej a regionálnej úrovni a na úrovni EÚ;</w:t>
      </w:r>
    </w:p>
    <w:p w14:paraId="1ED5EBEB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54.</w:t>
      </w:r>
      <w:r w:rsidRPr="005273F8">
        <w:rPr>
          <w:lang w:val="sk-SK"/>
        </w:rPr>
        <w:tab/>
        <w:t xml:space="preserve">zdôrazňuje rastúce riziko koordinovaných kybernetických útokov zameraných na celú elektrickú sieť EÚ; pripomína význam rýchleho vykonávania </w:t>
      </w:r>
      <w:proofErr w:type="spellStart"/>
      <w:r w:rsidRPr="005273F8">
        <w:rPr>
          <w:lang w:val="sk-SK"/>
        </w:rPr>
        <w:t>kybernetickobezpečnostných</w:t>
      </w:r>
      <w:proofErr w:type="spellEnd"/>
      <w:r w:rsidRPr="005273F8">
        <w:rPr>
          <w:lang w:val="sk-SK"/>
        </w:rPr>
        <w:t xml:space="preserve"> a iných súvisiacich sieťových predpisov a súvisiacich právnych predpisov, ako je smernica NIS 2</w:t>
      </w:r>
      <w:r w:rsidRPr="005273F8">
        <w:rPr>
          <w:rStyle w:val="FootnoteReference"/>
          <w:lang w:val="sk-SK"/>
        </w:rPr>
        <w:footnoteReference w:id="38"/>
      </w:r>
      <w:r w:rsidRPr="005273F8">
        <w:rPr>
          <w:lang w:val="sk-SK"/>
        </w:rPr>
        <w:t xml:space="preserve"> a akt o kybernetickej bezpečnosti</w:t>
      </w:r>
      <w:r w:rsidRPr="005273F8">
        <w:rPr>
          <w:rStyle w:val="FootnoteReference"/>
          <w:lang w:val="sk-SK"/>
        </w:rPr>
        <w:footnoteReference w:id="39"/>
      </w:r>
      <w:r w:rsidRPr="005273F8">
        <w:rPr>
          <w:lang w:val="sk-SK"/>
        </w:rPr>
        <w:t xml:space="preserve">, a nabáda Komisiu, aby v nadchádzajúcich legislatívnych preskúmaniach napravila stav fyzických sieťových zariadení vrátane diaľkovo ovládateľných sieťových zariadení, ako sú </w:t>
      </w:r>
      <w:proofErr w:type="spellStart"/>
      <w:r w:rsidRPr="005273F8">
        <w:rPr>
          <w:lang w:val="sk-SK"/>
        </w:rPr>
        <w:t>invertory</w:t>
      </w:r>
      <w:proofErr w:type="spellEnd"/>
      <w:r w:rsidRPr="005273F8">
        <w:rPr>
          <w:lang w:val="sk-SK"/>
        </w:rPr>
        <w:t xml:space="preserve">, ktoré v súčasnosti nemajú dostatočne vysokú úroveň kybernetickej bezpečnosti, najmä v prípadoch, keď sa od výrobcu vyžaduje, aby v rámci jurisdikcie krajiny mimo EÚ oznamoval orgánom danej krajiny mimo EÚ informácie o zraniteľnostiach softvéru alebo hardvéru; vyzýva na posilnenie spolupráce na úrovni EÚ medzi všetkými stranami s cieľom posilniť pripravenosť a odolnosť; domnieva sa, že národné regulačné orgány by mali uznať náklady, ktoré prevádzkovateľom vznikli pri </w:t>
      </w:r>
      <w:r w:rsidRPr="005273F8">
        <w:rPr>
          <w:lang w:val="sk-SK"/>
        </w:rPr>
        <w:lastRenderedPageBreak/>
        <w:t>prijímaní opatrení v oblasti kybernetickej bezpečnosti a odolnosti, a poskytnúť stimuly na investície týkajúce sa zvýšenia odolnosti energetickej infraštruktúry voči kybernetickým hrozbám a fyzickým a hybridným hrozbám vrátane opatrení na prispôsobenie sa zmene klímy;</w:t>
      </w:r>
    </w:p>
    <w:p w14:paraId="0FC869EC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55.</w:t>
      </w:r>
      <w:r w:rsidRPr="005273F8">
        <w:rPr>
          <w:lang w:val="sk-SK"/>
        </w:rPr>
        <w:tab/>
        <w:t>zdôrazňuje potrebu zintenzívniť úsilie o ochranu existujúcej a budúcej kritickej podmorskej a pobrežnej energetickej infraštruktúry; domnieva sa, že EÚ by mala zohrávať širšiu úlohu pri predchádzaní incidentom, ktoré ohrozujú túto infraštruktúru, podpore dohľadu a obnove poškodenej infraštruktúry na základe najmodernejších technológií; vyzýva Komisiu a členské štáty, aby našli riešenia na zvýšenie ochrany a odolnosti kritickej infraštruktúry vrátane riešenia financovania takýchto opatrení a technológií;</w:t>
      </w:r>
    </w:p>
    <w:p w14:paraId="16943B29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56.</w:t>
      </w:r>
      <w:r w:rsidRPr="005273F8">
        <w:rPr>
          <w:lang w:val="sk-SK"/>
        </w:rPr>
        <w:tab/>
        <w:t xml:space="preserve">uznáva, že nové projekty vysokonapäťových inteligentných sústav poskytujú multifunkčnú a nákladovo efektívnu príležitosť na integráciu dodatočných bezpečnostných opatrení (t. j. senzorov, </w:t>
      </w:r>
      <w:proofErr w:type="spellStart"/>
      <w:r w:rsidRPr="005273F8">
        <w:rPr>
          <w:lang w:val="sk-SK"/>
        </w:rPr>
        <w:t>sonarov</w:t>
      </w:r>
      <w:proofErr w:type="spellEnd"/>
      <w:r w:rsidRPr="005273F8">
        <w:rPr>
          <w:lang w:val="sk-SK"/>
        </w:rPr>
        <w:t xml:space="preserve"> atď.) a environmentálnych riešení (t. j. </w:t>
      </w:r>
      <w:proofErr w:type="spellStart"/>
      <w:r w:rsidRPr="005273F8">
        <w:rPr>
          <w:lang w:val="sk-SK"/>
        </w:rPr>
        <w:t>plašičov</w:t>
      </w:r>
      <w:proofErr w:type="spellEnd"/>
      <w:r w:rsidRPr="005273F8">
        <w:rPr>
          <w:lang w:val="sk-SK"/>
        </w:rPr>
        <w:t xml:space="preserve"> vtákov, požiarnych hlásičov, prírodných koridorov atď., ak sa plánujú uceleným spôsobom; žiada Komisiu, aby vypracovala usmernenia pre národné regulačné orgány s cieľom zabezpečiť, aby sa počiatočné plánovanie projektov sústav vykonávalo a financovalo s ohľadom na tieto prvky;</w:t>
      </w:r>
    </w:p>
    <w:p w14:paraId="4FAE3EC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57.</w:t>
      </w:r>
      <w:r w:rsidRPr="005273F8">
        <w:rPr>
          <w:lang w:val="sk-SK"/>
        </w:rPr>
        <w:tab/>
        <w:t>naliehavo vyzýva Komisiu, prevádzkovateľov distribučných sústav a prevádzkovateľov prenosových sústav, aby vytvorili spoločný európsky energetický dátový priestor vo vlastníctve EÚ založený na technických odborných znalostiach a postupoch využívajúcich dostupné údaje</w:t>
      </w:r>
      <w:r w:rsidRPr="005273F8">
        <w:rPr>
          <w:rStyle w:val="FootnoteReference"/>
          <w:lang w:val="sk-SK"/>
        </w:rPr>
        <w:footnoteReference w:id="40"/>
      </w:r>
      <w:r w:rsidRPr="005273F8">
        <w:rPr>
          <w:lang w:val="sk-SK"/>
        </w:rPr>
        <w:t xml:space="preserve"> a na spoločnom súbore pravidiel zabezpečujúcich bezpečnú, transparentnú prenosnosť a </w:t>
      </w:r>
      <w:proofErr w:type="spellStart"/>
      <w:r w:rsidRPr="005273F8">
        <w:rPr>
          <w:lang w:val="sk-SK"/>
        </w:rPr>
        <w:t>interoperabilitu</w:t>
      </w:r>
      <w:proofErr w:type="spellEnd"/>
      <w:r w:rsidRPr="005273F8">
        <w:rPr>
          <w:lang w:val="sk-SK"/>
        </w:rPr>
        <w:t xml:space="preserve"> energetických údajov, v ktorom sa harmonizované údaje bezpečne spravujú, vymieňajú a uchovávajú v EÚ; zdôrazňuje, že tento spoločný európsky energetický dátový priestor by mal uľahčiť zhromažďovanie a výmenu údajov prostredníctvom vhodných riadiacich štruktúr a služieb zdieľania údajov a podporovať kritické energetické operácie vrátane prenosu a distribúcie; zdôrazňuje, že európski PPS, PDS a iní predtým kontrolovaní aktéri elektrizačnej sústavy musia byť schopní bezpečne a inteligentne prevádzkovať sieť a optimalizovať jej využívanie integráciou flexibility a inovačných technológií v súlade s kľúčovými zásadami </w:t>
      </w:r>
      <w:proofErr w:type="spellStart"/>
      <w:r w:rsidRPr="005273F8">
        <w:rPr>
          <w:lang w:val="sk-SK"/>
        </w:rPr>
        <w:t>interoperability</w:t>
      </w:r>
      <w:proofErr w:type="spellEnd"/>
      <w:r w:rsidRPr="005273F8">
        <w:rPr>
          <w:lang w:val="sk-SK"/>
        </w:rPr>
        <w:t>, dôvery, hodnoty údajov a správy; konštatuje, že dohody o výmene údajov musia zohľadňovať aj interakcie so stranami, ktoré nie sú členmi EÚ;</w:t>
      </w:r>
    </w:p>
    <w:p w14:paraId="6AAA480E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58.</w:t>
      </w:r>
      <w:r w:rsidRPr="005273F8">
        <w:rPr>
          <w:lang w:val="sk-SK"/>
        </w:rPr>
        <w:tab/>
        <w:t xml:space="preserve">uznáva potenciál flexibility ako potrebného nástroja na optimalizáciu prevádzky systému, zachovanie stability systému a posilnenie postavenia spotrebiteľov tým, že ich bude motivovať k tomu, aby zmenili svoje modely spotreby; zdôrazňuje, že je dôležité zaviesť vhodné opatrenia na zaručenie účinných cenových signálov, ktoré stimulujú flexibilitu, a to aj od všetkých koncových spotrebiteľov, a zabezpečiť, aby všetky zdroje prispievali k bezpečnosti systému, a to aj urýchlením zavádzania inteligentných meračov, inteligentných energeticky efektívnych budov a umožnením prístupu k údajom zo všetkých meracích zariadení; žiada NRO, aby uznali inovácie flexibility a </w:t>
      </w:r>
      <w:r w:rsidRPr="005273F8">
        <w:rPr>
          <w:lang w:val="sk-SK"/>
        </w:rPr>
        <w:lastRenderedPageBreak/>
        <w:t>pilotné projekty v systéme, pokiaľ nemajú negatívny vplyv na celkovú rovnováhu a stabilitu siete, s cieľom naďalej stimulovať inovácie;</w:t>
      </w:r>
    </w:p>
    <w:p w14:paraId="219B280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59.</w:t>
      </w:r>
      <w:r w:rsidRPr="005273F8">
        <w:rPr>
          <w:lang w:val="sk-SK"/>
        </w:rPr>
        <w:tab/>
        <w:t>vyzýva NRO, aby úzko spolupracovali s PPS a PDS s cieľom posúdiť potenciál flexibility a potreby vnútroštátnych systémov v súčasnom a budúcom plánovaní, pričom zohľadnia prítomnosť priemyslu, veľkých spotrebiteľov, veľkých výrobcov a zásobníkov; zdôrazňuje najmä kľúčovú úlohu, ktorú môžu zohrávať uskladňovacie zariadenia vrátane dlhodobého uskladňovania elektrickej energie, ktoré sú schopné poskytovať až 100 hodín elektrickej energie, pri poskytovaní služieb riadenia preťaženia siete; konštatuje, že na poskytovanie týchto základných systémových služieb potrebujú investori do uskladňovacích zariadení stabilné a dlhodobé modely príjmov, podobne ako podporné schémy, ktoré úspešne poskytovali istotu príjmov pre aktíva na výrobu energie z obnoviteľných zdrojov;</w:t>
      </w:r>
    </w:p>
    <w:p w14:paraId="585BD123" w14:textId="77777777" w:rsidR="0030521E" w:rsidRPr="005273F8" w:rsidRDefault="0030521E" w:rsidP="0030521E">
      <w:pPr>
        <w:pStyle w:val="Normal12a24b"/>
        <w:rPr>
          <w:lang w:val="sk-SK"/>
        </w:rPr>
      </w:pPr>
      <w:r w:rsidRPr="005273F8">
        <w:rPr>
          <w:rStyle w:val="BoldItalic"/>
          <w:lang w:val="sk-SK"/>
        </w:rPr>
        <w:t>Dodávateľský reťazec, suroviny a potreba zručností</w:t>
      </w:r>
    </w:p>
    <w:p w14:paraId="55730CD2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60.</w:t>
      </w:r>
      <w:r w:rsidRPr="005273F8">
        <w:rPr>
          <w:lang w:val="sk-SK"/>
        </w:rPr>
        <w:tab/>
        <w:t>so znepokojením konštatuje, že globálny rast dopytu po sieťových technológiách vytvára tlak na dodávateľské reťazce a dostupnosť káblov, transformátorov, komponentov a kritických technológií; poukazuje na zistenia uvedené v nedávnej správe Medzinárodnej agentúry pre energiu s názvom Budovanie budúcej prenosovej sústavy</w:t>
      </w:r>
      <w:r w:rsidRPr="005273F8">
        <w:rPr>
          <w:rStyle w:val="FootnoteReference"/>
          <w:lang w:val="sk-SK"/>
        </w:rPr>
        <w:footnoteReference w:id="41"/>
      </w:r>
      <w:r w:rsidRPr="005273F8">
        <w:rPr>
          <w:lang w:val="sk-SK"/>
        </w:rPr>
        <w:t xml:space="preserve"> z februára 2025, podľa ktorých v súčasnosti trvá obstaranie káblov dva až tri roky a zabezpečenie veľkých výkonových transformátorov až štyri roky, a že priemerný čas potrebný na obstaranie káblov a veľkých elektrických transformátorov sa od roku 2021 takmer zdvojnásobil;</w:t>
      </w:r>
    </w:p>
    <w:p w14:paraId="39BFBDB7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61.</w:t>
      </w:r>
      <w:r w:rsidRPr="005273F8">
        <w:rPr>
          <w:lang w:val="sk-SK"/>
        </w:rPr>
        <w:tab/>
        <w:t>je znepokojený dlhým časom dodania mnohých komponentov sieťových technológií a je naďalej odhodlaný udržať si vedúce postavenie európskych technológií v oblasti sieťových technológií, pričom zdôrazňuje potrebu inovácií na vývoj, demonštráciu a rozšírenie európskych vysokokapacitných sieťových technológií a inovatívnych technológií na posilnenie sietí;</w:t>
      </w:r>
    </w:p>
    <w:p w14:paraId="0BDDDEC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62.</w:t>
      </w:r>
      <w:r w:rsidRPr="005273F8">
        <w:rPr>
          <w:lang w:val="sk-SK"/>
        </w:rPr>
        <w:tab/>
        <w:t>zdôrazňuje, že kritické a strategické suroviny sú nevyhnutné pre sieťovú infraštruktúru, pričom dopyt po hliníku sa do roku 2050 zvýši o 33 % a po medi o 35 %</w:t>
      </w:r>
      <w:r w:rsidRPr="005273F8">
        <w:rPr>
          <w:rStyle w:val="FootnoteReference"/>
          <w:lang w:val="sk-SK"/>
        </w:rPr>
        <w:footnoteReference w:id="42"/>
      </w:r>
      <w:r w:rsidRPr="005273F8">
        <w:rPr>
          <w:lang w:val="sk-SK"/>
        </w:rPr>
        <w:t>; berie na vedomie rozhodnutie Komisie, ktorým sa určité projekty v oblasti kritických surovín uznávajú za strategické projekty v rámci aktu o kritických surovinách</w:t>
      </w:r>
      <w:r w:rsidRPr="005273F8">
        <w:rPr>
          <w:rStyle w:val="FootnoteReference"/>
          <w:lang w:val="sk-SK"/>
        </w:rPr>
        <w:footnoteReference w:id="43"/>
      </w:r>
      <w:r w:rsidRPr="005273F8">
        <w:rPr>
          <w:lang w:val="sk-SK"/>
        </w:rPr>
        <w:t xml:space="preserve"> s cieľom zabezpečiť prístup k týmto kľúčovým materiálom a </w:t>
      </w:r>
      <w:proofErr w:type="spellStart"/>
      <w:r w:rsidRPr="005273F8">
        <w:rPr>
          <w:lang w:val="sk-SK"/>
        </w:rPr>
        <w:t>diverzifikovať</w:t>
      </w:r>
      <w:proofErr w:type="spellEnd"/>
      <w:r w:rsidRPr="005273F8">
        <w:rPr>
          <w:lang w:val="sk-SK"/>
        </w:rPr>
        <w:t xml:space="preserve"> zdroje dodávok; </w:t>
      </w:r>
      <w:r w:rsidRPr="005273F8">
        <w:rPr>
          <w:lang w:val="sk-SK"/>
        </w:rPr>
        <w:lastRenderedPageBreak/>
        <w:t>vyzýva Komisiu a členské štáty, aby posilnili recykláciu a na tento účel podporovali strategické partnerstvá a obchodné dohody;</w:t>
      </w:r>
    </w:p>
    <w:p w14:paraId="59B7AB0A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63.</w:t>
      </w:r>
      <w:r w:rsidRPr="005273F8">
        <w:rPr>
          <w:lang w:val="sk-SK"/>
        </w:rPr>
        <w:tab/>
        <w:t>zdôrazňuje, že je potrebné posilniť dodávateľské reťazce sietí, aby sa zvýšila ponuka sieťových technológií za prijateľné ceny, a tým obmedzili náklady, ktoré znášajú spotrebitelia prostredníctvom sieťových poplatkov; vyzýva na strategický prístup k získavaniu energetických technológií, komponentov alebo kritických materiálov súvisiacich so sieťami, aby sa predišlo vzniku závislosti od jednotlivých dodávateľov mimo EÚ;</w:t>
      </w:r>
    </w:p>
    <w:p w14:paraId="7629946B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64.</w:t>
      </w:r>
      <w:r w:rsidRPr="005273F8">
        <w:rPr>
          <w:lang w:val="sk-SK"/>
        </w:rPr>
        <w:tab/>
        <w:t>domnieva sa, že na vyriešenie kapacitných prekážok v dodávateľskom reťazci je potrebné holistické, koordinované a dlhodobé plánovanie siete v rámci celého európskeho energetického systému a že takéto plánovanie poskytuje výrobcom nevyhnutnú transparentnosť a predvídateľnosť, aby mohli primerane plánovať zvyšovanie výrobnej kapacity; domnieva sa, že takéto plánovanie musí byť spoľahlivé a umožniť aj nové obchodné modely, ako sú dlhodobé rámcové dohody a zmluvy o rezervácii kapacity;</w:t>
      </w:r>
    </w:p>
    <w:p w14:paraId="342FBB64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65.</w:t>
      </w:r>
      <w:r w:rsidRPr="005273F8">
        <w:rPr>
          <w:lang w:val="sk-SK"/>
        </w:rPr>
        <w:tab/>
        <w:t xml:space="preserve">naliehavo vyzýva na maximalizáciu štandardizácie kľúčových zariadení elektrickej siete, pokiaľ je to technicky možné, prostredníctvom spoločného technického hodnotenia Komisie, PDS, PPS a priemyslu, ktoré by sa vzťahovalo na všetky úrovne napätia, s cieľom zvýšiť výrobu, znížiť ceny a dodacie lehoty a podporiť </w:t>
      </w:r>
      <w:proofErr w:type="spellStart"/>
      <w:r w:rsidRPr="005273F8">
        <w:rPr>
          <w:lang w:val="sk-SK"/>
        </w:rPr>
        <w:t>interoperabilitu</w:t>
      </w:r>
      <w:proofErr w:type="spellEnd"/>
      <w:r w:rsidRPr="005273F8">
        <w:rPr>
          <w:lang w:val="sk-SK"/>
        </w:rPr>
        <w:t xml:space="preserve"> systémov;</w:t>
      </w:r>
    </w:p>
    <w:p w14:paraId="2634C22C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66.</w:t>
      </w:r>
      <w:r w:rsidRPr="005273F8">
        <w:rPr>
          <w:lang w:val="sk-SK"/>
        </w:rPr>
        <w:tab/>
        <w:t>zdôrazňuje naliehavú potrebu riešiť nedostatok pracovnej sily v odvetví energetiky; konštatuje, že Komisia predpokladá, že počet pracovníkov v energetike sa musí výrazne zvýšiť, aby bolo možné zaviesť technológie v oblastí energie z obnoviteľných zdrojov, modernizovať a rozšíriť siete a vyrábať technológie v oblasti energetickej efektívnosti, sietí a iných relevantných oblastiach; vyjadruje poľutovanie nad nedostatkom elektrických mechanikov a montážnych firiem nahlásených v 15 členských štátoch, čo zvyšuje personálne potreby PDS a PPS; zdôrazňuje, že počet pracovníkov v energetike sa musí do roku 2030 zvýšiť o 50 %, aby sa podporilo zavádzanie obnoviteľných zdrojov energie</w:t>
      </w:r>
      <w:r w:rsidRPr="005273F8">
        <w:rPr>
          <w:rStyle w:val="FootnoteReference"/>
          <w:lang w:val="sk-SK"/>
        </w:rPr>
        <w:footnoteReference w:id="44"/>
      </w:r>
      <w:r w:rsidRPr="005273F8">
        <w:rPr>
          <w:lang w:val="sk-SK"/>
        </w:rPr>
        <w:t xml:space="preserve">, rozširovanie siete a energetická efektívnosť, pričom do roku 2050 budú podľa odhadov potrebné ďalšie 2 milióny pracovných miest v oblasti distribúcie elektrickej energie; vyzýva na iniciatívy v oblasti odbornej prípravy, zlepšovania zručností a rekvalifikácie, pričom prioritou sú zručnosti súvisiace so sieťami, aby sa odstránili chýbajúce zručnosti; víta partnerstvá medzi univerzitami a podnikmi a cielené akadémie zručností EÚ pre strategické odvetvia vrátane sietí; nabáda PDS a PPS, aby </w:t>
      </w:r>
      <w:proofErr w:type="spellStart"/>
      <w:r w:rsidRPr="005273F8">
        <w:rPr>
          <w:lang w:val="sk-SK"/>
        </w:rPr>
        <w:t>diverzifikovali</w:t>
      </w:r>
      <w:proofErr w:type="spellEnd"/>
      <w:r w:rsidRPr="005273F8">
        <w:rPr>
          <w:lang w:val="sk-SK"/>
        </w:rPr>
        <w:t xml:space="preserve"> svoju pracovnú silu, a to aj zvýšením účasti žien;</w:t>
      </w:r>
    </w:p>
    <w:p w14:paraId="5109D977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67.</w:t>
      </w:r>
      <w:r w:rsidRPr="005273F8">
        <w:rPr>
          <w:lang w:val="sk-SK"/>
        </w:rPr>
        <w:tab/>
        <w:t>opakuje, že členské štáty a EÚ by mali spolupracovať na prispôsobení programov relevantných zručností a vypracovaní najlepších postupov s cieľom uspokojiť rastúci dopyt po zručnostiach na všetkých úrovniach vzdelávania, pričom by sa mal klásť veľký dôraz na podporu rodovej rovnováhy v tomto sektore;</w:t>
      </w:r>
    </w:p>
    <w:p w14:paraId="01E88F03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68.</w:t>
      </w:r>
      <w:r w:rsidRPr="005273F8">
        <w:rPr>
          <w:lang w:val="sk-SK"/>
        </w:rPr>
        <w:tab/>
        <w:t xml:space="preserve">zdôrazňuje kľúčovú úlohu MSP a podnikov EÚ pri zásobovaní odvetvia technológií pre elektrizačnú sústavu; poukazuje na potrebu prístupu k cenovo dostupnej elektrifikácii, </w:t>
      </w:r>
      <w:r w:rsidRPr="005273F8">
        <w:rPr>
          <w:lang w:val="sk-SK"/>
        </w:rPr>
        <w:lastRenderedPageBreak/>
        <w:t>ktorá obmedzuje náklady súvisiace s dodávateľským reťazcom a zabezpečuje kvalifikovanú pracovnú silu;</w:t>
      </w:r>
    </w:p>
    <w:p w14:paraId="51C32554" w14:textId="77777777" w:rsidR="0030521E" w:rsidRPr="005273F8" w:rsidRDefault="0030521E" w:rsidP="0030521E">
      <w:pPr>
        <w:pStyle w:val="Normal12a24b"/>
        <w:rPr>
          <w:lang w:val="sk-SK"/>
        </w:rPr>
      </w:pPr>
      <w:r w:rsidRPr="005273F8">
        <w:rPr>
          <w:rStyle w:val="BoldItalic"/>
          <w:lang w:val="sk-SK"/>
        </w:rPr>
        <w:t>Na mori</w:t>
      </w:r>
    </w:p>
    <w:p w14:paraId="467BED0C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69.</w:t>
      </w:r>
      <w:r w:rsidRPr="005273F8">
        <w:rPr>
          <w:lang w:val="sk-SK"/>
        </w:rPr>
        <w:tab/>
        <w:t>uznáva strategický význam rozvoja pobrežných oblastí pri dosahovaní cieľov EÚ v oblasti energetickej autonómie, zvýšeného využívania obnoviteľných zdrojov energie, odolného a nákladovo efektívneho systému elektrickej energie a klimatickej neutrality do roku 2050; zdôrazňuje význam plného využitia potenciálu piatich európskych morských oblastí na výrobu energie na mori; zdôrazňuje osobitný význam Severného mora (zahŕňajúceho geografickú oblasť Severného mora vrátane Írskeho a Keltského mora), ktoré ponúka priaznivé podmienky a najväčší potenciál, pričom v rámci Energetickej spolupráce v Severnom mori sa dohodol cieľ 300 GW inštalovanej kapacity výroby elektrickej energie na mori do roku 2050; víta pokrok dosiahnutý v tejto oblasti; zdôrazňuje, že je potrebné vytvoriť prepojenú sústavu na mori vrátane hybridných prepojení, najmä v Severnom mori, aby sa plne využil potenciál sústavy na mori a zlepšila integrácia trhu s elektrickou energiou; vyzýva Komisiu a členské štáty, aby posilnili regionálnu spoluprácu v oblasti plánovania sietí a energetiky vo všetkých morských oblastiach s krajinami susediacimi s EÚ, najmä Spojeným kráľovstvom a Nórskom, predovšetkým v oblasti rozvoja veternej energie na mori a plánovania a výroby elektrických sietí;</w:t>
      </w:r>
    </w:p>
    <w:p w14:paraId="1B41B490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70.</w:t>
      </w:r>
      <w:r w:rsidRPr="005273F8">
        <w:rPr>
          <w:lang w:val="sk-SK"/>
        </w:rPr>
        <w:tab/>
        <w:t>zdôrazňuje potrebu stabilného a predvídateľného regulačného rámca, ktorý zabezpečí najoptimálnejšie obchodné opatrenia s cieľom poskytnúť požadovanú dôveru investorov na podporu rozvoja a prepojenia projektov v oblasti sústav na mori a veternej energie na mori, čím sa zabezpečí efektívnosť trhu a efektívne cezhraničné toky, a to aj s krajinami mimo EÚ; zdôrazňuje potrebu posilniť vnútroštátne siete, ak je to potrebné na maximalizáciu prínosov energie na mori; uznáva, že kombinácia zariadení na prenos na mori s výrobnými zariadeniami (hybridné projekty na mori) bude neoddeliteľnou súčasťou efektívneho sieťového systému, pretože prináša niekoľko výhod pre európsky energetický systém, ale stále chýba správny regulačný rámec na stimulovanie potrebných investícií;</w:t>
      </w:r>
    </w:p>
    <w:p w14:paraId="42B8AB90" w14:textId="77777777" w:rsidR="0030521E" w:rsidRPr="000F3DC8" w:rsidRDefault="0030521E" w:rsidP="0030521E">
      <w:pPr>
        <w:pStyle w:val="Normal12a24b"/>
        <w:rPr>
          <w:b/>
          <w:lang w:val="sk-SK"/>
        </w:rPr>
      </w:pPr>
      <w:r w:rsidRPr="000F3DC8">
        <w:rPr>
          <w:rStyle w:val="Italic"/>
          <w:b/>
          <w:lang w:val="sk-SK"/>
        </w:rPr>
        <w:t>Spolupráca s krajinami mimo EÚ</w:t>
      </w:r>
    </w:p>
    <w:p w14:paraId="419A9671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71.</w:t>
      </w:r>
      <w:r w:rsidRPr="005273F8">
        <w:rPr>
          <w:lang w:val="sk-SK"/>
        </w:rPr>
        <w:tab/>
        <w:t>vyzýva členské štáty, aby zintenzívnili spoluprácu a koordináciu s podobne zmýšľajúcimi krajinami mimo EÚ, ako sú Nórsko a Spojené kráľovstvo; pripomína, že rozvoj elektrickej infraštruktúry na využitie potenciálu veternej energie na mori v Severnom mori je spoločnou prioritou EÚ aj Spojeného kráľovstva;</w:t>
      </w:r>
    </w:p>
    <w:p w14:paraId="628A52CD" w14:textId="77777777" w:rsidR="0030521E" w:rsidRPr="005273F8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t>72.</w:t>
      </w:r>
      <w:r w:rsidRPr="005273F8">
        <w:rPr>
          <w:lang w:val="sk-SK"/>
        </w:rPr>
        <w:tab/>
        <w:t>zdôrazňuje potrebu pragmatického a kooperatívneho prístupu k obchodovaniu s elektrickou energiou medzi EÚ a Spojeným kráľovstvom; vyzýva Komisiu, aby úzko spolupracovala s administratívou Spojeného kráľovstva s cieľom dohodnúť sa na vzájomne výhodnej obchodnej dohode, ktorá posilní bezpečnosť dodávok a cestu k emisne neutrálnemu hospodárstvu pre obe jurisdikcie; okrem toho sa domnieva, že efektívnosť obchodných opatrení možno ďalej zlepšiť; vyzýva Komisiu, aby v tejto veci konštruktívne spolupracovala so svojimi britskými partnermi;</w:t>
      </w:r>
    </w:p>
    <w:p w14:paraId="6F9775EF" w14:textId="77777777" w:rsidR="0030521E" w:rsidRPr="005273F8" w:rsidRDefault="0030521E" w:rsidP="0030521E">
      <w:pPr>
        <w:pStyle w:val="Normal12a24b"/>
        <w:rPr>
          <w:lang w:val="sk-SK"/>
        </w:rPr>
      </w:pPr>
      <w:r w:rsidRPr="005273F8">
        <w:rPr>
          <w:rStyle w:val="BoldItalic"/>
          <w:lang w:val="sk-SK"/>
        </w:rPr>
        <w:t>Najvzdialenejšie regióny</w:t>
      </w:r>
    </w:p>
    <w:p w14:paraId="20944E82" w14:textId="77777777" w:rsidR="0030521E" w:rsidRDefault="0030521E" w:rsidP="0030521E">
      <w:pPr>
        <w:pStyle w:val="NormalHanging12a"/>
        <w:rPr>
          <w:lang w:val="sk-SK"/>
        </w:rPr>
      </w:pPr>
      <w:r w:rsidRPr="005273F8">
        <w:rPr>
          <w:lang w:val="sk-SK"/>
        </w:rPr>
        <w:lastRenderedPageBreak/>
        <w:t>73.</w:t>
      </w:r>
      <w:r w:rsidRPr="005273F8">
        <w:rPr>
          <w:lang w:val="sk-SK"/>
        </w:rPr>
        <w:tab/>
        <w:t>zdôrazňuje jedinečné výzvy, ktorým čelia najvzdialenejšie regióny EÚ a iné oblasti, ktoré nie sú pripojené k európskej elektrickej sieti; zdôrazňuje ich závislosť od dovozu a vysokú zraniteľnosť voči výpadkom elektrickej energie a extrémnym klimatickým rizikám; poukazuje na význam rozvoja odolných a autonómnych energetických systémov prostredníctvom rozvoja miestnych sietí a výroby čistejšej energie; vyzýva Komisiu, aby sa v balíku opatrení pre európske elektrizačné sústavy zaoberala špecifickými potrebami týchto regiónov a navrhla dodatočnú finančnú podporu na zlepšenie nezávislosti ich energetických systémov a riešenie ich nedostatku nedostatočného prepojenia a absencie širších výhod pripojenia k sieti;</w:t>
      </w:r>
    </w:p>
    <w:p w14:paraId="74948E4A" w14:textId="77777777" w:rsidR="004A7788" w:rsidRDefault="004A7788" w:rsidP="004A7788">
      <w:pPr>
        <w:pStyle w:val="NormalHanging12a"/>
        <w:ind w:left="0" w:firstLine="0"/>
        <w:jc w:val="center"/>
        <w:rPr>
          <w:lang w:val="sk-SK"/>
        </w:rPr>
      </w:pPr>
      <w:r>
        <w:rPr>
          <w:lang w:val="sk-SK"/>
        </w:rPr>
        <w:t>°</w:t>
      </w:r>
    </w:p>
    <w:p w14:paraId="0223AE83" w14:textId="77777777" w:rsidR="004A7788" w:rsidRDefault="004A7788" w:rsidP="004A7788">
      <w:pPr>
        <w:pStyle w:val="NormalHanging12a"/>
        <w:ind w:left="0" w:firstLine="0"/>
        <w:jc w:val="center"/>
        <w:rPr>
          <w:lang w:val="sk-SK"/>
        </w:rPr>
      </w:pPr>
      <w:r>
        <w:rPr>
          <w:lang w:val="sk-SK"/>
        </w:rPr>
        <w:t>°     °</w:t>
      </w:r>
    </w:p>
    <w:p w14:paraId="2DEA945C" w14:textId="77777777" w:rsidR="00E365E1" w:rsidRPr="005273F8" w:rsidRDefault="0030521E" w:rsidP="004A7788">
      <w:pPr>
        <w:pStyle w:val="NormalHanging12a"/>
        <w:rPr>
          <w:lang w:val="sk-SK"/>
        </w:rPr>
      </w:pPr>
      <w:r w:rsidRPr="005273F8">
        <w:rPr>
          <w:lang w:val="sk-SK"/>
        </w:rPr>
        <w:t>74.</w:t>
      </w:r>
      <w:r w:rsidRPr="005273F8">
        <w:rPr>
          <w:lang w:val="sk-SK"/>
        </w:rPr>
        <w:tab/>
        <w:t>poveruje svoju predsedníčku, aby postúpila toto uznesenie Rade a Komisii.</w:t>
      </w:r>
    </w:p>
    <w:sectPr w:rsidR="00E365E1" w:rsidRPr="005273F8" w:rsidSect="005273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7B0B1" w14:textId="77777777" w:rsidR="000A04CF" w:rsidRPr="005273F8" w:rsidRDefault="000A04CF">
      <w:r w:rsidRPr="005273F8">
        <w:separator/>
      </w:r>
    </w:p>
  </w:endnote>
  <w:endnote w:type="continuationSeparator" w:id="0">
    <w:p w14:paraId="476ACC71" w14:textId="77777777" w:rsidR="000A04CF" w:rsidRPr="005273F8" w:rsidRDefault="000A04CF">
      <w:r w:rsidRPr="005273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08DA3" w14:textId="77777777" w:rsidR="00064002" w:rsidRPr="005273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A88B4" w14:textId="77777777" w:rsidR="00064002" w:rsidRPr="005273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7A82B" w14:textId="77777777" w:rsidR="00064002" w:rsidRPr="005273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88979" w14:textId="77777777" w:rsidR="000A04CF" w:rsidRPr="005273F8" w:rsidRDefault="000A04CF">
      <w:r w:rsidRPr="005273F8">
        <w:separator/>
      </w:r>
    </w:p>
  </w:footnote>
  <w:footnote w:type="continuationSeparator" w:id="0">
    <w:p w14:paraId="57E4F00D" w14:textId="77777777" w:rsidR="000A04CF" w:rsidRPr="005273F8" w:rsidRDefault="000A04CF">
      <w:r w:rsidRPr="005273F8">
        <w:continuationSeparator/>
      </w:r>
    </w:p>
  </w:footnote>
  <w:footnote w:id="1">
    <w:p w14:paraId="38054B00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 xml:space="preserve">Európska komisia, Generálne riaditeľstvo pre energetiku, </w:t>
      </w:r>
      <w:proofErr w:type="spellStart"/>
      <w:r w:rsidRPr="005B52AF">
        <w:rPr>
          <w:sz w:val="24"/>
          <w:szCs w:val="24"/>
          <w:lang w:val="sk-SK"/>
        </w:rPr>
        <w:t>Artelys</w:t>
      </w:r>
      <w:proofErr w:type="spellEnd"/>
      <w:r w:rsidRPr="005B52AF">
        <w:rPr>
          <w:sz w:val="24"/>
          <w:szCs w:val="24"/>
          <w:lang w:val="sk-SK"/>
        </w:rPr>
        <w:t xml:space="preserve">, LBST, Trinomics, Finesso, A. a kol., </w:t>
      </w:r>
      <w:r w:rsidRPr="005B52AF">
        <w:rPr>
          <w:rStyle w:val="Italic"/>
          <w:sz w:val="24"/>
          <w:szCs w:val="24"/>
          <w:lang w:val="sk-SK"/>
        </w:rPr>
        <w:t>Investment needs of European energy infrastructure to enable acarbond economy – Final report</w:t>
      </w:r>
      <w:r w:rsidRPr="005B52AF">
        <w:rPr>
          <w:sz w:val="24"/>
          <w:szCs w:val="24"/>
          <w:lang w:val="sk-SK"/>
        </w:rPr>
        <w:t xml:space="preserve"> (Investičné potreby európskej energetickej infraštruktúry na umožnenie dekarbonizovaného hospodárstva – záverečná správa), Úrad pre vydávanie publikácií Európskej únie, 2025.</w:t>
      </w:r>
    </w:p>
  </w:footnote>
  <w:footnote w:id="2">
    <w:p w14:paraId="3E1B1AA3" w14:textId="4818DAAA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>Ú. v. EÚ L 249, 14.7.2021</w:t>
      </w:r>
      <w:r w:rsidR="00AC3732" w:rsidRPr="005B52AF">
        <w:rPr>
          <w:sz w:val="24"/>
          <w:szCs w:val="24"/>
          <w:u w:color="0000FF"/>
          <w:lang w:val="sk-SK"/>
        </w:rPr>
        <w:t xml:space="preserve">, s. </w:t>
      </w:r>
      <w:r w:rsidR="00AC3732" w:rsidRPr="005B52AF">
        <w:rPr>
          <w:sz w:val="24"/>
          <w:szCs w:val="24"/>
          <w:u w:color="0000FF"/>
          <w:lang w:val="sk-SK"/>
        </w:rPr>
        <w:t>38</w:t>
      </w:r>
      <w:r w:rsidR="002C79B2" w:rsidRPr="000F3DC8">
        <w:rPr>
          <w:sz w:val="24"/>
          <w:szCs w:val="24"/>
          <w:u w:color="0000FF"/>
          <w:lang w:val="sk-SK"/>
        </w:rPr>
        <w:t>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1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http://data.europa.eu/eli/reg/2021/1153/oj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3">
    <w:p w14:paraId="30D9BEAD" w14:textId="7C897B54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 xml:space="preserve">Ú. v. EÚ L 152, 3.6.2022, s. </w:t>
      </w:r>
      <w:r w:rsidR="002C79B2" w:rsidRPr="000F3DC8">
        <w:rPr>
          <w:sz w:val="24"/>
          <w:szCs w:val="24"/>
          <w:u w:color="0000FF"/>
          <w:lang w:val="sk-SK"/>
        </w:rPr>
        <w:t>45,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2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http://data.europa.eu/eli/reg/2022/869/oj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4">
    <w:p w14:paraId="2C74B60F" w14:textId="414D41F9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 xml:space="preserve">Ú. v. EÚ L 158, 14.6.2019, s. </w:t>
      </w:r>
      <w:r w:rsidR="002C79B2" w:rsidRPr="000F3DC8">
        <w:rPr>
          <w:sz w:val="24"/>
          <w:szCs w:val="24"/>
          <w:u w:color="0000FF"/>
          <w:lang w:val="sk-SK"/>
        </w:rPr>
        <w:t xml:space="preserve">125, ELI: </w:t>
      </w:r>
      <w:hyperlink r:id="rId3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http://data.europa.eu/eli/dir/2019/944/oj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5">
    <w:p w14:paraId="147934AB" w14:textId="4BE8BC0E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 xml:space="preserve">Ú. v. EÚ L 158, 14.6.2019, s. </w:t>
      </w:r>
      <w:r w:rsidR="002C79B2" w:rsidRPr="000F3DC8">
        <w:rPr>
          <w:sz w:val="24"/>
          <w:szCs w:val="24"/>
          <w:u w:color="0000FF"/>
          <w:lang w:val="sk-SK"/>
        </w:rPr>
        <w:t>54,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4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http://data.europa.eu/eli/reg/2019/943/oj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6">
    <w:p w14:paraId="08E64816" w14:textId="3A8353AE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 xml:space="preserve">Ú. v. </w:t>
      </w:r>
      <w:r w:rsidR="002C79B2" w:rsidRPr="000F3DC8">
        <w:rPr>
          <w:sz w:val="24"/>
          <w:szCs w:val="24"/>
          <w:u w:color="0000FF"/>
          <w:lang w:val="sk-SK"/>
        </w:rPr>
        <w:t>EÚ L, 2023/2413, 31.10.2023,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5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http://data.europa.eu/eli/dir/2023/2413/oj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7">
    <w:p w14:paraId="05681DCE" w14:textId="5B2E17F2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>Ú. v. </w:t>
      </w:r>
      <w:r w:rsidR="002C79B2" w:rsidRPr="000F3DC8">
        <w:rPr>
          <w:sz w:val="24"/>
          <w:szCs w:val="24"/>
          <w:u w:color="0000FF"/>
          <w:lang w:val="sk-SK"/>
        </w:rPr>
        <w:t>EÚ L, 2024/1275, 8.5.2024,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6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http://data.europa.eu/eli/dir/2024/1275/oj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8">
    <w:p w14:paraId="064C28F4" w14:textId="125981AC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 xml:space="preserve">Ú. v. </w:t>
      </w:r>
      <w:r w:rsidR="002C79B2" w:rsidRPr="000F3DC8">
        <w:rPr>
          <w:sz w:val="24"/>
          <w:szCs w:val="24"/>
          <w:u w:color="0000FF"/>
          <w:lang w:val="sk-SK"/>
        </w:rPr>
        <w:t>EÚ L, 2024/1711, 26.6.2024,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7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http://data.europa.eu/eli/dir/2024/1711/oj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9">
    <w:p w14:paraId="32CBC633" w14:textId="0ED06666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 xml:space="preserve">Ú. v. </w:t>
      </w:r>
      <w:r w:rsidR="002C79B2" w:rsidRPr="000F3DC8">
        <w:rPr>
          <w:sz w:val="24"/>
          <w:szCs w:val="24"/>
          <w:u w:color="0000FF"/>
          <w:lang w:val="sk-SK"/>
        </w:rPr>
        <w:t>EÚ L, 2024/1747, 26.6.2024,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8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http://data.europa.eu/eli/reg/2024/1747/oj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10">
    <w:p w14:paraId="4E7F56C9" w14:textId="6BF51265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C79B2" w:rsidRPr="000F3DC8">
        <w:rPr>
          <w:sz w:val="24"/>
          <w:szCs w:val="24"/>
          <w:u w:color="0000FF"/>
          <w:lang w:val="sk-SK"/>
        </w:rPr>
        <w:t xml:space="preserve">Ú. v. EÚ L 328, 21.12.2018, s. </w:t>
      </w:r>
      <w:r w:rsidR="002C79B2" w:rsidRPr="000F3DC8">
        <w:rPr>
          <w:sz w:val="24"/>
          <w:szCs w:val="24"/>
          <w:u w:color="0000FF"/>
          <w:lang w:val="sk-SK"/>
        </w:rPr>
        <w:t>1, ELI:</w:t>
      </w:r>
      <w:r w:rsidR="002C79B2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9" w:history="1">
        <w:r w:rsidR="002C79B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http://data.europa.eu/eli/reg/2018/1999/oj</w:t>
        </w:r>
      </w:hyperlink>
      <w:r w:rsidR="002C79B2" w:rsidRPr="005B52AF">
        <w:rPr>
          <w:color w:val="0000FF"/>
          <w:sz w:val="24"/>
          <w:szCs w:val="24"/>
          <w:u w:val="single" w:color="0000FF"/>
          <w:lang w:val="sk-SK"/>
        </w:rPr>
        <w:t>.</w:t>
      </w:r>
    </w:p>
  </w:footnote>
  <w:footnote w:id="11">
    <w:p w14:paraId="06314912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Ú. v. EÚ C 371, 15.9.2021, s. 58.</w:t>
      </w:r>
    </w:p>
  </w:footnote>
  <w:footnote w:id="12">
    <w:p w14:paraId="2BCCE82B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Ú. v. EÚ C 15, 12.1.2022, s. 45.</w:t>
      </w:r>
    </w:p>
  </w:footnote>
  <w:footnote w:id="13">
    <w:p w14:paraId="6EF38F09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 xml:space="preserve">Európska sieť prevádzkovateľov prenosových sústav pre elektrinu (ENTSO-E), „Preskúmanie cieľového roka 2025 o cieľovom roku 2025“, apríl 2025, </w:t>
      </w:r>
      <w:hyperlink r:id="rId10" w:history="1">
        <w:r w:rsidRPr="005B52AF">
          <w:rPr>
            <w:rStyle w:val="Hyperlink"/>
            <w:sz w:val="24"/>
            <w:szCs w:val="24"/>
            <w:lang w:val="sk-SK"/>
          </w:rPr>
          <w:t>https://eepublicdownloads.blob.core.windows.net/public-cdn-container/clean-documents/Network%20codes%20documents/NC%20CACM/BZR/2025/Bidding_Zone_Review_of_the_2025_Target_Year.pdf</w:t>
        </w:r>
      </w:hyperlink>
      <w:r w:rsidRPr="005B52AF">
        <w:rPr>
          <w:sz w:val="24"/>
          <w:szCs w:val="24"/>
          <w:lang w:val="sk-SK"/>
        </w:rPr>
        <w:t>.</w:t>
      </w:r>
    </w:p>
  </w:footnote>
  <w:footnote w:id="14">
    <w:p w14:paraId="10C34F2C" w14:textId="33CFA780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D6232" w:rsidRPr="000F3DC8">
        <w:rPr>
          <w:sz w:val="24"/>
          <w:szCs w:val="24"/>
          <w:u w:color="0000FF"/>
          <w:lang w:val="sk-SK"/>
        </w:rPr>
        <w:t>Oznámenie Komisie z 5. marca 2025 s názvom Únia zručností (COM(2025)0090).</w:t>
      </w:r>
    </w:p>
  </w:footnote>
  <w:footnote w:id="15">
    <w:p w14:paraId="2FC10B0D" w14:textId="67F37A36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Subjekt PDS EÚ je technický odborný orgán a združenie prevádzkovateľov distribučných sústav (PDS), ktorý je nariadením o trhu s elektrinou (</w:t>
      </w:r>
      <w:r w:rsidR="006419B8">
        <w:rPr>
          <w:sz w:val="24"/>
          <w:szCs w:val="24"/>
          <w:lang w:val="sk-SK"/>
        </w:rPr>
        <w:t>(</w:t>
      </w:r>
      <w:r w:rsidR="006419B8" w:rsidRPr="005B52AF">
        <w:rPr>
          <w:sz w:val="24"/>
          <w:szCs w:val="24"/>
          <w:lang w:val="sk-SK"/>
        </w:rPr>
        <w:t>EÚ</w:t>
      </w:r>
      <w:r w:rsidR="006419B8">
        <w:rPr>
          <w:sz w:val="24"/>
          <w:szCs w:val="24"/>
          <w:lang w:val="sk-SK"/>
        </w:rPr>
        <w:t>) </w:t>
      </w:r>
      <w:r w:rsidRPr="005B52AF">
        <w:rPr>
          <w:sz w:val="24"/>
          <w:szCs w:val="24"/>
          <w:lang w:val="sk-SK"/>
        </w:rPr>
        <w:t>2019/943) poverený podporou fungovania trhu s elektrinou a uľahčovaním energetickej transformácie.</w:t>
      </w:r>
    </w:p>
  </w:footnote>
  <w:footnote w:id="16">
    <w:p w14:paraId="1BD1B0D1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Európska sieť prevádzkovateľov prenosových sústav pre elektrinu (ENTSO-E) je združením pre spoluprácu európskych prevádzkovateľov prenosových sústav (PPS).</w:t>
      </w:r>
    </w:p>
  </w:footnote>
  <w:footnote w:id="17">
    <w:p w14:paraId="5678F327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 xml:space="preserve">Medzinárodný menový fond (MMF), podkladový dokument zamestnancov MMF o integrácii trhu s energiou v EÚ, 16. januára 2025, ako sa uvádza v podkladovom dokumente Rady zo 17. </w:t>
      </w:r>
      <w:r w:rsidRPr="005B52AF">
        <w:rPr>
          <w:sz w:val="24"/>
          <w:szCs w:val="24"/>
          <w:lang w:val="sk-SK"/>
        </w:rPr>
        <w:t xml:space="preserve">januára 2025 o integrácii trhu EÚ s energiou: </w:t>
      </w:r>
      <w:hyperlink r:id="rId11" w:history="1">
        <w:r w:rsidRPr="005B52AF">
          <w:rPr>
            <w:rStyle w:val="Hyperlink"/>
            <w:sz w:val="24"/>
            <w:szCs w:val="24"/>
            <w:lang w:val="sk-SK"/>
          </w:rPr>
          <w:t>https://data.consilium.europa.eu/doc/document/ST-5438-2025-INIT/en/pdf</w:t>
        </w:r>
      </w:hyperlink>
      <w:r w:rsidRPr="005B52AF">
        <w:rPr>
          <w:sz w:val="24"/>
          <w:szCs w:val="24"/>
          <w:lang w:val="sk-SK"/>
        </w:rPr>
        <w:t>.</w:t>
      </w:r>
    </w:p>
  </w:footnote>
  <w:footnote w:id="18">
    <w:p w14:paraId="791505F7" w14:textId="4059A840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2D6232" w:rsidRPr="000F3DC8">
        <w:rPr>
          <w:sz w:val="24"/>
          <w:szCs w:val="24"/>
          <w:u w:color="0000FF"/>
          <w:lang w:val="sk-SK"/>
        </w:rPr>
        <w:t>Oznámenie Komisie z 28. novembra 2023 s názvom Elektrizačné sústavy, chýbajúci článok – Akčný plán EÚ pre elektrizačné sústavy (COM(2023)0757).</w:t>
      </w:r>
    </w:p>
  </w:footnote>
  <w:footnote w:id="19">
    <w:p w14:paraId="3692DD07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Tamtiež.</w:t>
      </w:r>
    </w:p>
  </w:footnote>
  <w:footnote w:id="20">
    <w:p w14:paraId="3B36189B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Tamtiež.</w:t>
      </w:r>
    </w:p>
  </w:footnote>
  <w:footnote w:id="21">
    <w:p w14:paraId="255ABB97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Správa agentúry ACER o monitorovaní trhu za rok 2024, Transmission capacities for cross-zonal trade of electricity and congestion management in the EU (Prenosové kapacity pre medzioblastný obchod s elektrinou a riadenie preťaženia v EÚ), 3. júla 2024.</w:t>
      </w:r>
    </w:p>
  </w:footnote>
  <w:footnote w:id="22">
    <w:p w14:paraId="24DB5C0F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Správa agentúry ACER o monitorovaní trhu za rok 2024, Kľúčový vývoj na veľkoobchodných trhoch EÚ s elektrinou, 20. marca 2024.</w:t>
      </w:r>
    </w:p>
  </w:footnote>
  <w:footnote w:id="23">
    <w:p w14:paraId="0E677AE0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Monitorovacia správa agentúry ACER za rok 2024, Electricity Infrastructure development to support a competitive and sustainable energy system (Rozvoj elektrickej infraštruktúry na podporu konkurencieschopného a udržateľného energetického systému), 16. decembra 2024, s. 17.</w:t>
      </w:r>
    </w:p>
  </w:footnote>
  <w:footnote w:id="24">
    <w:p w14:paraId="32E1AB88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Tamtiež.</w:t>
      </w:r>
    </w:p>
  </w:footnote>
  <w:footnote w:id="25">
    <w:p w14:paraId="167E572D" w14:textId="4A98756B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>Smernica Európskeho parlamentu a Rady (EÚ) 2019/944 z 5. júna 2019 o spoločných pravidlách pre vnútorný trh s elektrinou a o zmene smernice 2012/27/EÚ (Ú. v. EÚ L 158, 14.6.2019, s. </w:t>
      </w:r>
      <w:r w:rsidR="00820ABD" w:rsidRPr="000F3DC8">
        <w:rPr>
          <w:sz w:val="24"/>
          <w:szCs w:val="24"/>
          <w:u w:color="0000FF"/>
          <w:lang w:val="sk-SK"/>
        </w:rPr>
        <w:t xml:space="preserve">125, ELI: </w:t>
      </w:r>
      <w:hyperlink r:id="rId12" w:history="1">
        <w:r w:rsidR="00820ABD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http://data.europa.eu/eli/dir/2019/944/oj</w:t>
        </w:r>
      </w:hyperlink>
      <w:r w:rsidR="00820ABD" w:rsidRPr="000F3DC8">
        <w:rPr>
          <w:sz w:val="24"/>
          <w:szCs w:val="24"/>
          <w:u w:val="single" w:color="0000FF"/>
          <w:lang w:val="sk-SK"/>
        </w:rPr>
        <w:t>).</w:t>
      </w:r>
    </w:p>
  </w:footnote>
  <w:footnote w:id="26">
    <w:p w14:paraId="07E319DD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Subjekt PDS EÚ, DSO Entity’s identified good practices on Distribution Network Development Plans (Osvedčené postupy subjektu PDS týkajúce sa plánov rozvoja distribučnej siete), 1. júla 2024.</w:t>
      </w:r>
    </w:p>
  </w:footnote>
  <w:footnote w:id="27">
    <w:p w14:paraId="2E63F5D3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Monitorovacia správa agentúry ACER za rok 2024, Electricity Infrastructure development to support a competitive and sustainable energy system (Rozvoj elektrickej infraštruktúry na podporu konkurencieschopného a udržateľného energetického systému), 16. decembra 2024.</w:t>
      </w:r>
    </w:p>
  </w:footnote>
  <w:footnote w:id="28">
    <w:p w14:paraId="4BDA5E84" w14:textId="55DD5F5D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>Oznámenie Komisie z 28. novembra 2023 s názvom Elektrizačné sústavy, chýbajúci článok – Akčný plán EÚ pre elektrizačné sústavy (COM(2023)0757).</w:t>
      </w:r>
    </w:p>
  </w:footnote>
  <w:footnote w:id="29">
    <w:p w14:paraId="1368D701" w14:textId="28A0564B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 xml:space="preserve">Nariadenie Rady (EÚ) 2022/2577 z 22. decembra 2022, ktorým sa stanovuje rámec na urýchlenie zavádzania energie z obnoviteľných zdrojov (Ú. v. EÚ L 335, 29.12.2022, s. </w:t>
      </w:r>
      <w:r w:rsidR="00820ABD" w:rsidRPr="000F3DC8">
        <w:rPr>
          <w:sz w:val="24"/>
          <w:szCs w:val="24"/>
          <w:u w:color="0000FF"/>
          <w:lang w:val="sk-SK"/>
        </w:rPr>
        <w:t xml:space="preserve">36, ELI: </w:t>
      </w:r>
      <w:hyperlink r:id="rId13" w:history="1">
        <w:r w:rsidR="00820ABD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http://data.europa.eu/eli/reg/2022/2577/oj</w:t>
        </w:r>
      </w:hyperlink>
      <w:r w:rsidR="00820ABD" w:rsidRPr="000F3DC8">
        <w:rPr>
          <w:sz w:val="24"/>
          <w:szCs w:val="24"/>
          <w:u w:color="0000FF"/>
          <w:lang w:val="sk-SK"/>
        </w:rPr>
        <w:t>).</w:t>
      </w:r>
    </w:p>
  </w:footnote>
  <w:footnote w:id="30">
    <w:p w14:paraId="380D0E2A" w14:textId="2A1B371E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>Smernica Európskeho parlamentu a Rady 2011/92/EÚ z 13. decembra 2011 o posudzovaní vplyvov určitých verejných a súkromných projektov na životné prostredie (Ú. v. EÚ L 26, 28.1.2012, s. </w:t>
      </w:r>
      <w:r w:rsidR="00820ABD" w:rsidRPr="000F3DC8">
        <w:rPr>
          <w:sz w:val="24"/>
          <w:szCs w:val="24"/>
          <w:u w:color="0000FF"/>
          <w:lang w:val="sk-SK"/>
        </w:rPr>
        <w:t>1, ELI:</w:t>
      </w:r>
      <w:r w:rsidR="00820ABD" w:rsidRPr="005B52AF">
        <w:rPr>
          <w:color w:val="0000FF"/>
          <w:sz w:val="24"/>
          <w:szCs w:val="24"/>
          <w:u w:val="single" w:color="0000FF"/>
          <w:lang w:val="sk-SK"/>
        </w:rPr>
        <w:t xml:space="preserve"> </w:t>
      </w:r>
      <w:hyperlink r:id="rId14" w:history="1">
        <w:r w:rsidR="00820ABD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http://data.europa.eu/eli/dir/2011/92/oj</w:t>
        </w:r>
      </w:hyperlink>
      <w:r w:rsidR="00820ABD" w:rsidRPr="000F3DC8">
        <w:rPr>
          <w:sz w:val="24"/>
          <w:szCs w:val="24"/>
          <w:u w:color="0000FF"/>
          <w:lang w:val="sk-SK"/>
        </w:rPr>
        <w:t>).</w:t>
      </w:r>
    </w:p>
  </w:footnote>
  <w:footnote w:id="31">
    <w:p w14:paraId="67E54210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TAIEX je nástroj technickej pomoci a výmeny informácií Komisie. Podporuje orgány verejnej správy v súvislosti s transpozíciou, vykonávaním a presadzovaním právnych predpisov EÚ, a uľahčuje výmenu osvedčených postupov EÚ.</w:t>
      </w:r>
    </w:p>
  </w:footnote>
  <w:footnote w:id="32">
    <w:p w14:paraId="612453BA" w14:textId="711E3264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>Smernica Európskeho parlamentu a Rady 2014/24/EÚ z 26. februára 2014 o verejnom obstarávaní a o zrušení smernice 2004/18/ES (Ú. v. EÚ L 94, 28.3.2014, s. </w:t>
      </w:r>
      <w:r w:rsidR="00820ABD" w:rsidRPr="000F3DC8">
        <w:rPr>
          <w:sz w:val="24"/>
          <w:szCs w:val="24"/>
          <w:u w:color="0000FF"/>
          <w:lang w:val="sk-SK"/>
        </w:rPr>
        <w:t xml:space="preserve">65, ELI: </w:t>
      </w:r>
      <w:hyperlink r:id="rId15" w:history="1">
        <w:r w:rsidR="00820ABD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http://data.europa.eu/eli/dir/2014/24/oj</w:t>
        </w:r>
      </w:hyperlink>
      <w:r w:rsidR="00820ABD" w:rsidRPr="000F3DC8">
        <w:rPr>
          <w:sz w:val="24"/>
          <w:szCs w:val="24"/>
          <w:u w:color="0000FF"/>
          <w:lang w:val="sk-SK"/>
        </w:rPr>
        <w:t>).</w:t>
      </w:r>
    </w:p>
  </w:footnote>
  <w:footnote w:id="33">
    <w:p w14:paraId="49ACE056" w14:textId="2E8024E2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>Nariadenie Európskeho parlamentu a Rady (EÚ) 2024/1735 z 13. júna 2024 o zriadení rámca opatrení na posilnenie európskeho ekosystému výroby emisne neutrálnych technológií a o zmene nariadenia (EÚ) 2018/1724 (Ú. v. </w:t>
      </w:r>
      <w:r w:rsidR="00820ABD" w:rsidRPr="000F3DC8">
        <w:rPr>
          <w:sz w:val="24"/>
          <w:szCs w:val="24"/>
          <w:u w:color="0000FF"/>
          <w:lang w:val="sk-SK"/>
        </w:rPr>
        <w:t xml:space="preserve">EÚ L, 2024/1735, 28.6.2024, ELI: </w:t>
      </w:r>
      <w:hyperlink r:id="rId16" w:history="1">
        <w:r w:rsidR="00820ABD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http://data.europa.eu/eli/reg/2024/1735/oj</w:t>
        </w:r>
      </w:hyperlink>
      <w:r w:rsidR="00820ABD" w:rsidRPr="000F3DC8">
        <w:rPr>
          <w:sz w:val="24"/>
          <w:szCs w:val="24"/>
          <w:u w:color="0000FF"/>
          <w:lang w:val="sk-SK"/>
        </w:rPr>
        <w:t>).</w:t>
      </w:r>
    </w:p>
  </w:footnote>
  <w:footnote w:id="34">
    <w:p w14:paraId="08270DF3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Monitorovacia správa agentúry ACER za rok 2024, Electricity Infrastructure development to support a competitive and sustainable energy system (Rozvoj elektrickej infraštruktúry na podporu konkurencieschopného a udržateľného energetického systému), 16. decembra 2024, s. 30.</w:t>
      </w:r>
    </w:p>
  </w:footnote>
  <w:footnote w:id="35">
    <w:p w14:paraId="5D4EDA6C" w14:textId="0513C401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>Oznámenie Komisie z 28. novembra 2023 s názvom Elektrizačné sústavy, chýbajúci článok – Akčný plán EÚ pre elektrizačné sústavy (COM(2023)0757).</w:t>
      </w:r>
    </w:p>
  </w:footnote>
  <w:footnote w:id="36">
    <w:p w14:paraId="351E5573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Monitorovacia správa agentúry ACER za rok 2024, Electricity Infrastructure development to support a competitive and sustainable energy system (Rozvoj elektrickej infraštruktúry na podporu konkurencieschopného a udržateľného energetického systému), už citovaná.</w:t>
      </w:r>
    </w:p>
  </w:footnote>
  <w:footnote w:id="37">
    <w:p w14:paraId="67C0EC0D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>Subjekt EÚ PDS, Implementation of Action 7 in the EU Action Plan for Grids: DSO/TSO Technopedia, ENTSO-E &amp; DSO Entity (Vykonávanie opatrenia 7 v akčnom pláne EÚ pre elektrizačné sústavy: Technopedia pre PPS/PDS, ENTSO-E a subjekt PDS), 18. decembra 2024.</w:t>
      </w:r>
    </w:p>
  </w:footnote>
  <w:footnote w:id="38">
    <w:p w14:paraId="6F2C8F4D" w14:textId="6252FBEE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 xml:space="preserve">Smernica Európskeho parlamentu a Rady (EÚ) 2022/2555 zo 14. decembra 2022 o opatreniach na zabezpečenie vysokej spoločnej úrovne kybernetickej bezpečnosti v Únii, ktorou sa mení nariadenie (EÚ) č. 910/2014 a smernica (EÚ) 2018/1972 a zrušuje smernica (EÚ) 2016/1148 (smernica NIS 2) (Ú. v. EÚ L 333, 27.12.2022, s. </w:t>
      </w:r>
      <w:r w:rsidR="00820ABD" w:rsidRPr="000F3DC8">
        <w:rPr>
          <w:sz w:val="24"/>
          <w:szCs w:val="24"/>
          <w:u w:color="0000FF"/>
          <w:lang w:val="sk-SK"/>
        </w:rPr>
        <w:t xml:space="preserve">80, ELI: </w:t>
      </w:r>
      <w:hyperlink r:id="rId17" w:history="1">
        <w:r w:rsidR="00820ABD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http://data.europa.eu/eli/dir/2022/2555/oj</w:t>
        </w:r>
      </w:hyperlink>
      <w:r w:rsidR="00820ABD" w:rsidRPr="000F3DC8">
        <w:rPr>
          <w:sz w:val="24"/>
          <w:szCs w:val="24"/>
          <w:u w:color="0000FF"/>
          <w:lang w:val="sk-SK"/>
        </w:rPr>
        <w:t>).</w:t>
      </w:r>
    </w:p>
  </w:footnote>
  <w:footnote w:id="39">
    <w:p w14:paraId="1B828259" w14:textId="2497C1B0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820ABD" w:rsidRPr="000F3DC8">
        <w:rPr>
          <w:sz w:val="24"/>
          <w:szCs w:val="24"/>
          <w:u w:color="0000FF"/>
          <w:lang w:val="sk-SK"/>
        </w:rPr>
        <w:t xml:space="preserve">Nariadenie Európskeho parlamentu a Rady (EÚ) 2019/881 zo 17. apríla 2019 o agentúre ENISA (Agentúra Európskej únie pre kybernetickú bezpečnosť) a o certifikácii kybernetickej bezpečnosti informačných a komunikačných technológií a o zrušení nariadenia (EÚ) č. 526/2013 (akt o kybernetickej bezpečnosti) (Ú. v. EÚ L 151, 7.6.2019, s. </w:t>
      </w:r>
      <w:r w:rsidR="00820ABD" w:rsidRPr="000F3DC8">
        <w:rPr>
          <w:sz w:val="24"/>
          <w:szCs w:val="24"/>
          <w:u w:color="0000FF"/>
          <w:lang w:val="sk-SK"/>
        </w:rPr>
        <w:t xml:space="preserve">15, ELI: </w:t>
      </w:r>
      <w:hyperlink r:id="rId18" w:history="1">
        <w:r w:rsidR="00820ABD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http://data.europa.eu/eli/reg/2019/881/oj</w:t>
        </w:r>
      </w:hyperlink>
      <w:r w:rsidR="00820ABD" w:rsidRPr="000F3DC8">
        <w:rPr>
          <w:sz w:val="24"/>
          <w:szCs w:val="24"/>
          <w:u w:color="0000FF"/>
          <w:lang w:val="sk-SK"/>
        </w:rPr>
        <w:t>).</w:t>
      </w:r>
    </w:p>
  </w:footnote>
  <w:footnote w:id="40">
    <w:p w14:paraId="78CF5018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 xml:space="preserve">Európska komisia, Generálne riaditeľstvo pre energetiku, Fraunhofer Institute for Systems and Innovation Research ISI, Guidehouse, McKinsey &amp; Company, TNO, Trinomics, Utrecht University, Berkhout, V., Villeviere, C., Bergsträßer, J., Klobasa, M., Regeczi, D., Dognini, A., Singh, M., Stornebrink, M., Hülsewig, T., Seigeot, V., Lenzmann, F.Breitschopf, B., </w:t>
      </w:r>
      <w:r w:rsidRPr="005B52AF">
        <w:rPr>
          <w:rStyle w:val="Italic"/>
          <w:sz w:val="24"/>
          <w:szCs w:val="24"/>
          <w:lang w:val="sk-SK"/>
        </w:rPr>
        <w:t>Common European Energy Data Space</w:t>
      </w:r>
      <w:r w:rsidRPr="005B52AF">
        <w:rPr>
          <w:sz w:val="24"/>
          <w:szCs w:val="24"/>
          <w:lang w:val="sk-SK"/>
        </w:rPr>
        <w:t>, Úrad pre vydávanie publikácií Európskej únie, 2023.</w:t>
      </w:r>
    </w:p>
  </w:footnote>
  <w:footnote w:id="41">
    <w:p w14:paraId="444098A9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 xml:space="preserve">Medzinárodná agentúra pre energiu, „Building the Future Transmission Grid – Strategy to navigate supply chain challenges“, február 2025, </w:t>
      </w:r>
      <w:hyperlink r:id="rId19" w:history="1">
        <w:r w:rsidRPr="005B52AF">
          <w:rPr>
            <w:rStyle w:val="Hyperlink"/>
            <w:sz w:val="24"/>
            <w:szCs w:val="24"/>
            <w:lang w:val="sk-SK"/>
          </w:rPr>
          <w:t>https://iea.blob.core.windows.net/assets/a688d0f5-a100-447f-91a1-50b7b0d8eaa1/BuildingtheFutureTransmissionGrid.pdf</w:t>
        </w:r>
      </w:hyperlink>
      <w:r w:rsidRPr="005B52AF">
        <w:rPr>
          <w:sz w:val="24"/>
          <w:szCs w:val="24"/>
          <w:lang w:val="sk-SK"/>
        </w:rPr>
        <w:t>.</w:t>
      </w:r>
    </w:p>
  </w:footnote>
  <w:footnote w:id="42">
    <w:p w14:paraId="7D2D739E" w14:textId="7777777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Pr="005B52AF">
        <w:rPr>
          <w:sz w:val="24"/>
          <w:szCs w:val="24"/>
          <w:lang w:val="sk-SK"/>
        </w:rPr>
        <w:t xml:space="preserve">KU Leuven, Eurometaux, Štúdia kvantifikácie dodávok kovov potrebných na dosiahnutie cieľa klimatickej neutrality EÚ, 25. </w:t>
      </w:r>
      <w:r w:rsidRPr="005B52AF">
        <w:rPr>
          <w:sz w:val="24"/>
          <w:szCs w:val="24"/>
          <w:lang w:val="sk-SK"/>
        </w:rPr>
        <w:t xml:space="preserve">apríla 2022, </w:t>
      </w:r>
      <w:hyperlink r:id="rId20" w:history="1">
        <w:r w:rsidRPr="005B52AF">
          <w:rPr>
            <w:rStyle w:val="Hyperlink"/>
            <w:sz w:val="24"/>
            <w:szCs w:val="24"/>
            <w:lang w:val="sk-SK"/>
          </w:rPr>
          <w:t>https://www.eurometaux.eu/media/hxdhepyp/press-release-study-quantifies-metal-supplies-needed-to-reach-eu-s-climate-neutrality-goal.pdf</w:t>
        </w:r>
      </w:hyperlink>
      <w:r w:rsidRPr="005B52AF">
        <w:rPr>
          <w:sz w:val="24"/>
          <w:szCs w:val="24"/>
          <w:lang w:val="sk-SK"/>
        </w:rPr>
        <w:t>.</w:t>
      </w:r>
    </w:p>
  </w:footnote>
  <w:footnote w:id="43">
    <w:p w14:paraId="53B967A3" w14:textId="6CEE49D0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1523B9" w:rsidRPr="000F3DC8">
        <w:rPr>
          <w:sz w:val="24"/>
          <w:szCs w:val="24"/>
          <w:u w:color="0000FF"/>
          <w:lang w:val="sk-SK"/>
        </w:rPr>
        <w:t>Nariadenie Európskeho parlamentu a Rady (EÚ) 2024/1252 z 11. apríla 2024, ktorým sa stanovuje rámec na zaistenie bezpečných a udržateľných dodávok kritických surovín a ktorým sa menia nariadenia (EÚ) č. 168/2013, (EÚ) 2018/858, (EÚ) 2018/1724 a (EÚ) 2019/1</w:t>
      </w:r>
      <w:r w:rsidR="00AC3732" w:rsidRPr="005B52AF">
        <w:rPr>
          <w:sz w:val="24"/>
          <w:szCs w:val="24"/>
          <w:u w:color="0000FF"/>
          <w:lang w:val="sk-SK"/>
        </w:rPr>
        <w:t>020</w:t>
      </w:r>
      <w:r w:rsidR="001523B9" w:rsidRPr="000F3DC8">
        <w:rPr>
          <w:sz w:val="24"/>
          <w:szCs w:val="24"/>
          <w:u w:color="0000FF"/>
          <w:lang w:val="sk-SK"/>
        </w:rPr>
        <w:t xml:space="preserve"> (Ú. v. </w:t>
      </w:r>
      <w:r w:rsidR="001523B9" w:rsidRPr="000F3DC8">
        <w:rPr>
          <w:sz w:val="24"/>
          <w:szCs w:val="24"/>
          <w:u w:color="0000FF"/>
          <w:lang w:val="sk-SK"/>
        </w:rPr>
        <w:t xml:space="preserve">EÚ </w:t>
      </w:r>
      <w:r w:rsidR="00AC3732" w:rsidRPr="005B52AF">
        <w:rPr>
          <w:sz w:val="24"/>
          <w:szCs w:val="24"/>
          <w:u w:color="0000FF"/>
          <w:lang w:val="sk-SK"/>
        </w:rPr>
        <w:t>L, 2024/1252, 3.5.2024</w:t>
      </w:r>
      <w:r w:rsidR="001523B9" w:rsidRPr="000F3DC8">
        <w:rPr>
          <w:sz w:val="24"/>
          <w:szCs w:val="24"/>
          <w:u w:color="0000FF"/>
          <w:lang w:val="sk-SK"/>
        </w:rPr>
        <w:t xml:space="preserve">, ELI: </w:t>
      </w:r>
      <w:hyperlink r:id="rId21" w:history="1">
        <w:r w:rsidR="00AC3732" w:rsidRPr="005B52AF">
          <w:rPr>
            <w:rStyle w:val="Hyperlink"/>
            <w:sz w:val="24"/>
            <w:szCs w:val="24"/>
            <w:u w:color="0000FF"/>
            <w:lang w:val="sk-SK"/>
          </w:rPr>
          <w:t>http://data.europa.eu/eli/reg/2024/1252/oj</w:t>
        </w:r>
      </w:hyperlink>
      <w:r w:rsidR="001523B9" w:rsidRPr="000F3DC8">
        <w:rPr>
          <w:sz w:val="24"/>
          <w:szCs w:val="24"/>
          <w:u w:color="0000FF"/>
          <w:lang w:val="sk-SK"/>
        </w:rPr>
        <w:t>).</w:t>
      </w:r>
    </w:p>
  </w:footnote>
  <w:footnote w:id="44">
    <w:p w14:paraId="0AC9C025" w14:textId="0C929857" w:rsidR="0030521E" w:rsidRPr="005B52AF" w:rsidRDefault="0030521E" w:rsidP="005273F8">
      <w:pPr>
        <w:pStyle w:val="FootnoteText"/>
        <w:ind w:left="567" w:hanging="567"/>
        <w:rPr>
          <w:sz w:val="24"/>
          <w:szCs w:val="24"/>
          <w:lang w:val="sk-SK"/>
        </w:rPr>
      </w:pPr>
      <w:r w:rsidRPr="005B52AF">
        <w:rPr>
          <w:rStyle w:val="FootnoteReference"/>
          <w:sz w:val="24"/>
          <w:szCs w:val="24"/>
          <w:lang w:val="sk-SK"/>
        </w:rPr>
        <w:footnoteRef/>
      </w:r>
      <w:r w:rsidR="005273F8" w:rsidRPr="005B52AF">
        <w:rPr>
          <w:sz w:val="24"/>
          <w:szCs w:val="24"/>
          <w:lang w:val="sk-SK"/>
        </w:rPr>
        <w:t xml:space="preserve"> </w:t>
      </w:r>
      <w:r w:rsidR="005273F8" w:rsidRPr="005B52AF">
        <w:rPr>
          <w:sz w:val="24"/>
          <w:szCs w:val="24"/>
          <w:lang w:val="sk-SK"/>
        </w:rPr>
        <w:tab/>
      </w:r>
      <w:r w:rsidR="001523B9" w:rsidRPr="000F3DC8">
        <w:rPr>
          <w:sz w:val="24"/>
          <w:szCs w:val="24"/>
          <w:u w:color="0000FF"/>
          <w:lang w:val="sk-SK"/>
        </w:rPr>
        <w:t>Oznámenie Komisie z 5. marca 2025 s názvom Únia zručností (COM(2025)0090).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32361" w14:textId="77777777" w:rsidR="00064002" w:rsidRPr="005273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F1686" w14:textId="77777777" w:rsidR="00064002" w:rsidRPr="005273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9ABF" w14:textId="77777777" w:rsidR="00064002" w:rsidRPr="005273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8208435">
    <w:abstractNumId w:val="9"/>
  </w:num>
  <w:num w:numId="2" w16cid:durableId="83575134">
    <w:abstractNumId w:val="9"/>
  </w:num>
  <w:num w:numId="3" w16cid:durableId="1274245936">
    <w:abstractNumId w:val="7"/>
  </w:num>
  <w:num w:numId="4" w16cid:durableId="23724313">
    <w:abstractNumId w:val="7"/>
  </w:num>
  <w:num w:numId="5" w16cid:durableId="813527495">
    <w:abstractNumId w:val="6"/>
  </w:num>
  <w:num w:numId="6" w16cid:durableId="1372342163">
    <w:abstractNumId w:val="6"/>
  </w:num>
  <w:num w:numId="7" w16cid:durableId="133646621">
    <w:abstractNumId w:val="5"/>
  </w:num>
  <w:num w:numId="8" w16cid:durableId="197162453">
    <w:abstractNumId w:val="5"/>
  </w:num>
  <w:num w:numId="9" w16cid:durableId="1226339332">
    <w:abstractNumId w:val="4"/>
  </w:num>
  <w:num w:numId="10" w16cid:durableId="150292908">
    <w:abstractNumId w:val="4"/>
  </w:num>
  <w:num w:numId="11" w16cid:durableId="46347381">
    <w:abstractNumId w:val="8"/>
  </w:num>
  <w:num w:numId="12" w16cid:durableId="200170731">
    <w:abstractNumId w:val="8"/>
  </w:num>
  <w:num w:numId="13" w16cid:durableId="719940895">
    <w:abstractNumId w:val="3"/>
  </w:num>
  <w:num w:numId="14" w16cid:durableId="445736327">
    <w:abstractNumId w:val="3"/>
  </w:num>
  <w:num w:numId="15" w16cid:durableId="188687765">
    <w:abstractNumId w:val="2"/>
  </w:num>
  <w:num w:numId="16" w16cid:durableId="811481554">
    <w:abstractNumId w:val="2"/>
  </w:num>
  <w:num w:numId="17" w16cid:durableId="1759057019">
    <w:abstractNumId w:val="1"/>
  </w:num>
  <w:num w:numId="18" w16cid:durableId="440804190">
    <w:abstractNumId w:val="1"/>
  </w:num>
  <w:num w:numId="19" w16cid:durableId="1966766582">
    <w:abstractNumId w:val="0"/>
  </w:num>
  <w:num w:numId="20" w16cid:durableId="629749524">
    <w:abstractNumId w:val="0"/>
  </w:num>
  <w:num w:numId="21" w16cid:durableId="1945455443">
    <w:abstractNumId w:val="9"/>
  </w:num>
  <w:num w:numId="22" w16cid:durableId="1903252378">
    <w:abstractNumId w:val="7"/>
  </w:num>
  <w:num w:numId="23" w16cid:durableId="1484813419">
    <w:abstractNumId w:val="6"/>
  </w:num>
  <w:num w:numId="24" w16cid:durableId="518012654">
    <w:abstractNumId w:val="5"/>
  </w:num>
  <w:num w:numId="25" w16cid:durableId="245113509">
    <w:abstractNumId w:val="4"/>
  </w:num>
  <w:num w:numId="26" w16cid:durableId="1088306881">
    <w:abstractNumId w:val="8"/>
  </w:num>
  <w:num w:numId="27" w16cid:durableId="458230629">
    <w:abstractNumId w:val="3"/>
  </w:num>
  <w:num w:numId="28" w16cid:durableId="2146894516">
    <w:abstractNumId w:val="2"/>
  </w:num>
  <w:num w:numId="29" w16cid:durableId="1300769387">
    <w:abstractNumId w:val="1"/>
  </w:num>
  <w:num w:numId="30" w16cid:durableId="1145469724">
    <w:abstractNumId w:val="0"/>
  </w:num>
  <w:num w:numId="31" w16cid:durableId="551116737">
    <w:abstractNumId w:val="9"/>
  </w:num>
  <w:num w:numId="32" w16cid:durableId="1044676398">
    <w:abstractNumId w:val="7"/>
  </w:num>
  <w:num w:numId="33" w16cid:durableId="575171607">
    <w:abstractNumId w:val="6"/>
  </w:num>
  <w:num w:numId="34" w16cid:durableId="83037871">
    <w:abstractNumId w:val="5"/>
  </w:num>
  <w:num w:numId="35" w16cid:durableId="1333754006">
    <w:abstractNumId w:val="4"/>
  </w:num>
  <w:num w:numId="36" w16cid:durableId="1598975155">
    <w:abstractNumId w:val="8"/>
  </w:num>
  <w:num w:numId="37" w16cid:durableId="1336156030">
    <w:abstractNumId w:val="3"/>
  </w:num>
  <w:num w:numId="38" w16cid:durableId="696199703">
    <w:abstractNumId w:val="2"/>
  </w:num>
  <w:num w:numId="39" w16cid:durableId="1810516900">
    <w:abstractNumId w:val="1"/>
  </w:num>
  <w:num w:numId="40" w16cid:durableId="593249281">
    <w:abstractNumId w:val="0"/>
  </w:num>
  <w:num w:numId="41" w16cid:durableId="465897008">
    <w:abstractNumId w:val="10"/>
  </w:num>
  <w:num w:numId="42" w16cid:durableId="1905287646">
    <w:abstractNumId w:val="10"/>
  </w:num>
  <w:num w:numId="43" w16cid:durableId="1152988494">
    <w:abstractNumId w:val="10"/>
  </w:num>
  <w:num w:numId="44" w16cid:durableId="2095356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1/2025"/>
    <w:docVar w:name="dvlangue" w:val="SK"/>
    <w:docVar w:name="dvnumam" w:val="0"/>
    <w:docVar w:name="dvpe" w:val="768.244"/>
    <w:docVar w:name="dvrapporteur" w:val="Spravodajkyňa: "/>
    <w:docVar w:name="dvtitre" w:val="Uznesenie Európskeho parlamentu z xx. júna 2025 o elektrických sieťach: pilier energetického systému EÚ(2025/2006(INI))"/>
  </w:docVars>
  <w:rsids>
    <w:rsidRoot w:val="000A04CF"/>
    <w:rsid w:val="00002272"/>
    <w:rsid w:val="00064002"/>
    <w:rsid w:val="000677B9"/>
    <w:rsid w:val="000831BA"/>
    <w:rsid w:val="000A04CF"/>
    <w:rsid w:val="000A42CC"/>
    <w:rsid w:val="000E7DD9"/>
    <w:rsid w:val="000F3DC8"/>
    <w:rsid w:val="0010095E"/>
    <w:rsid w:val="00125B37"/>
    <w:rsid w:val="001523B9"/>
    <w:rsid w:val="00187494"/>
    <w:rsid w:val="001C018E"/>
    <w:rsid w:val="001F32AE"/>
    <w:rsid w:val="00232A91"/>
    <w:rsid w:val="002767FF"/>
    <w:rsid w:val="002B18FE"/>
    <w:rsid w:val="002B5493"/>
    <w:rsid w:val="002B5514"/>
    <w:rsid w:val="002C79B2"/>
    <w:rsid w:val="002D6232"/>
    <w:rsid w:val="0030521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7788"/>
    <w:rsid w:val="004C0004"/>
    <w:rsid w:val="004C5D52"/>
    <w:rsid w:val="0050519A"/>
    <w:rsid w:val="005072A1"/>
    <w:rsid w:val="00514517"/>
    <w:rsid w:val="005273F8"/>
    <w:rsid w:val="00545827"/>
    <w:rsid w:val="00560270"/>
    <w:rsid w:val="005B52AF"/>
    <w:rsid w:val="005C2568"/>
    <w:rsid w:val="005F1B17"/>
    <w:rsid w:val="006037C0"/>
    <w:rsid w:val="00634F46"/>
    <w:rsid w:val="006419B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ABD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3BA"/>
    <w:rsid w:val="009A4AA6"/>
    <w:rsid w:val="00A1687D"/>
    <w:rsid w:val="00A43E52"/>
    <w:rsid w:val="00A4678D"/>
    <w:rsid w:val="00A778C7"/>
    <w:rsid w:val="00AB441E"/>
    <w:rsid w:val="00AB6293"/>
    <w:rsid w:val="00AC3732"/>
    <w:rsid w:val="00AE0928"/>
    <w:rsid w:val="00AF3B82"/>
    <w:rsid w:val="00B12E95"/>
    <w:rsid w:val="00B22876"/>
    <w:rsid w:val="00B558F0"/>
    <w:rsid w:val="00BD48FE"/>
    <w:rsid w:val="00BD7BD8"/>
    <w:rsid w:val="00BE5AA3"/>
    <w:rsid w:val="00BE6ADC"/>
    <w:rsid w:val="00C05BFE"/>
    <w:rsid w:val="00C23CD4"/>
    <w:rsid w:val="00C61C0C"/>
    <w:rsid w:val="00C941CB"/>
    <w:rsid w:val="00CC2357"/>
    <w:rsid w:val="00CF071A"/>
    <w:rsid w:val="00D058B8"/>
    <w:rsid w:val="00D35FF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23E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3575F"/>
  <w15:chartTrackingRefBased/>
  <w15:docId w15:val="{6FA9FE84-23E3-4109-BC94-779B7877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521E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30521E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30521E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30521E"/>
    <w:rPr>
      <w:b/>
      <w:i/>
      <w:u w:val="none"/>
    </w:rPr>
  </w:style>
  <w:style w:type="character" w:customStyle="1" w:styleId="Italic">
    <w:name w:val="Italic"/>
    <w:uiPriority w:val="1"/>
    <w:rsid w:val="0030521E"/>
    <w:rPr>
      <w:i/>
    </w:rPr>
  </w:style>
  <w:style w:type="paragraph" w:customStyle="1" w:styleId="Normal12a24b">
    <w:name w:val="Normal12a24b"/>
    <w:basedOn w:val="Normal"/>
    <w:rsid w:val="0030521E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30521E"/>
    <w:rPr>
      <w:color w:val="0000FF"/>
      <w:u w:val="single"/>
    </w:rPr>
  </w:style>
  <w:style w:type="character" w:styleId="FollowedHyperlink">
    <w:name w:val="FollowedHyperlink"/>
    <w:basedOn w:val="DefaultParagraphFont"/>
    <w:rsid w:val="00D35FF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A4AA6"/>
    <w:rPr>
      <w:sz w:val="24"/>
      <w:lang w:val="sk-SK"/>
    </w:rPr>
  </w:style>
  <w:style w:type="paragraph" w:styleId="BalloonText">
    <w:name w:val="Balloon Text"/>
    <w:basedOn w:val="Normal"/>
    <w:link w:val="BalloonTextChar"/>
    <w:rsid w:val="00F623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23E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1747/oj" TargetMode="External"/><Relationship Id="rId13" Type="http://schemas.openxmlformats.org/officeDocument/2006/relationships/hyperlink" Target="http://data.europa.eu/eli/reg/2022/2577/oj" TargetMode="External"/><Relationship Id="rId18" Type="http://schemas.openxmlformats.org/officeDocument/2006/relationships/hyperlink" Target="http://data.europa.eu/eli/reg/2019/881/oj" TargetMode="External"/><Relationship Id="rId3" Type="http://schemas.openxmlformats.org/officeDocument/2006/relationships/hyperlink" Target="http://data.europa.eu/eli/dir/2019/944/oj" TargetMode="External"/><Relationship Id="rId21" Type="http://schemas.openxmlformats.org/officeDocument/2006/relationships/hyperlink" Target="http://data.europa.eu/eli/reg/2024/1252/oj" TargetMode="External"/><Relationship Id="rId7" Type="http://schemas.openxmlformats.org/officeDocument/2006/relationships/hyperlink" Target="http://data.europa.eu/eli/dir/2024/1711/oj" TargetMode="External"/><Relationship Id="rId12" Type="http://schemas.openxmlformats.org/officeDocument/2006/relationships/hyperlink" Target="http://data.europa.eu/eli/dir/2019/944/oj" TargetMode="External"/><Relationship Id="rId17" Type="http://schemas.openxmlformats.org/officeDocument/2006/relationships/hyperlink" Target="http://data.europa.eu/eli/dir/2022/2555/oj" TargetMode="External"/><Relationship Id="rId2" Type="http://schemas.openxmlformats.org/officeDocument/2006/relationships/hyperlink" Target="http://data.europa.eu/eli/reg/2022/869/oj" TargetMode="External"/><Relationship Id="rId16" Type="http://schemas.openxmlformats.org/officeDocument/2006/relationships/hyperlink" Target="http://data.europa.eu/eli/reg/2024/1735/oj" TargetMode="External"/><Relationship Id="rId20" Type="http://schemas.openxmlformats.org/officeDocument/2006/relationships/hyperlink" Target="https://www.eurometaux.eu/media/hxdhepyp/press-release-study-quantifies-metal-supplies-needed-to-reach-eu-s-climate-neutrality-goal.pdf" TargetMode="External"/><Relationship Id="rId1" Type="http://schemas.openxmlformats.org/officeDocument/2006/relationships/hyperlink" Target="http://data.europa.eu/eli/reg/2021/1153/oj" TargetMode="External"/><Relationship Id="rId6" Type="http://schemas.openxmlformats.org/officeDocument/2006/relationships/hyperlink" Target="http://data.europa.eu/eli/dir/2024/1275/oj" TargetMode="External"/><Relationship Id="rId11" Type="http://schemas.openxmlformats.org/officeDocument/2006/relationships/hyperlink" Target="https://data.consilium.europa.eu/doc/document/ST-5438-2025-INIT/en/pdf" TargetMode="External"/><Relationship Id="rId5" Type="http://schemas.openxmlformats.org/officeDocument/2006/relationships/hyperlink" Target="http://data.europa.eu/eli/dir/2023/2413/oj" TargetMode="External"/><Relationship Id="rId15" Type="http://schemas.openxmlformats.org/officeDocument/2006/relationships/hyperlink" Target="http://data.europa.eu/eli/dir/2014/24/oj" TargetMode="External"/><Relationship Id="rId10" Type="http://schemas.openxmlformats.org/officeDocument/2006/relationships/hyperlink" Target="https://eepublicdownloads.blob.core.windows.net/public-cdn-container/clean-documents/Network%20codes%20documents/NC%20CACM/BZR/2025/Bidding_Zone_Review_of_the_2025_Target_Year.pdf" TargetMode="External"/><Relationship Id="rId19" Type="http://schemas.openxmlformats.org/officeDocument/2006/relationships/hyperlink" Target="https://iea.blob.core.windows.net/assets/a688d0f5-a100-447f-91a1-50b7b0d8eaa1/BuildingtheFutureTransmissionGrid.pdf" TargetMode="External"/><Relationship Id="rId4" Type="http://schemas.openxmlformats.org/officeDocument/2006/relationships/hyperlink" Target="http://data.europa.eu/eli/reg/2019/943/oj" TargetMode="External"/><Relationship Id="rId9" Type="http://schemas.openxmlformats.org/officeDocument/2006/relationships/hyperlink" Target="http://data.europa.eu/eli/reg/2018/1999/oj" TargetMode="External"/><Relationship Id="rId14" Type="http://schemas.openxmlformats.org/officeDocument/2006/relationships/hyperlink" Target="http://data.europa.eu/eli/dir/2011/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813F7-5C70-417E-B2AF-2CDD2C7B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8184</Words>
  <Characters>52067</Characters>
  <Application>Microsoft Office Word</Application>
  <DocSecurity>4</DocSecurity>
  <Lines>433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GIRGINOV Kiril</cp:lastModifiedBy>
  <cp:revision>2</cp:revision>
  <cp:lastPrinted>2004-11-19T15:42:00Z</cp:lastPrinted>
  <dcterms:created xsi:type="dcterms:W3CDTF">2025-10-16T10:37:00Z</dcterms:created>
  <dcterms:modified xsi:type="dcterms:W3CDTF">2025-10-16T10:37:00Z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A10-0091/2025</vt:lpwstr>
  </property>
  <property fmtid="{D5CDD505-2E9C-101B-9397-08002B2CF9AE}" pid="4" name="&lt;Type&gt;">
    <vt:lpwstr>RR</vt:lpwstr>
  </property>
</Properties>
</file>