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5671" w14:paraId="00398E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C5BA13" w14:textId="77777777" w:rsidR="00751A4A" w:rsidRPr="00225671" w:rsidRDefault="00583456" w:rsidP="0010095E">
            <w:pPr>
              <w:pStyle w:val="EPName"/>
            </w:pPr>
            <w:r w:rsidRPr="00225671">
              <w:t>Evropský parlament</w:t>
            </w:r>
          </w:p>
          <w:p w14:paraId="6E804484" w14:textId="77777777" w:rsidR="00751A4A" w:rsidRPr="002256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5671">
              <w:t>2024</w:t>
            </w:r>
            <w:r w:rsidR="00817416" w:rsidRPr="00225671">
              <w:t>-202</w:t>
            </w:r>
            <w:r w:rsidRPr="00225671">
              <w:t>9</w:t>
            </w:r>
          </w:p>
        </w:tc>
        <w:tc>
          <w:tcPr>
            <w:tcW w:w="2268" w:type="dxa"/>
            <w:shd w:val="clear" w:color="auto" w:fill="auto"/>
          </w:tcPr>
          <w:p w14:paraId="49D15F15" w14:textId="77777777" w:rsidR="00751A4A" w:rsidRPr="00225671" w:rsidRDefault="00187494" w:rsidP="0010095E">
            <w:pPr>
              <w:pStyle w:val="EPLogo"/>
            </w:pPr>
            <w:r w:rsidRPr="00225671">
              <w:rPr>
                <w:noProof/>
                <w:lang w:eastAsia="ja-JP"/>
              </w:rPr>
              <w:drawing>
                <wp:inline distT="0" distB="0" distL="0" distR="0" wp14:anchorId="15E84DC4" wp14:editId="0BFC0D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AF293" w14:textId="77777777" w:rsidR="00D058B8" w:rsidRPr="00225671" w:rsidRDefault="00D058B8" w:rsidP="004C5D52">
      <w:pPr>
        <w:pStyle w:val="LineTop"/>
      </w:pPr>
    </w:p>
    <w:p w14:paraId="13D8C39A" w14:textId="77777777" w:rsidR="00680577" w:rsidRPr="00225671" w:rsidRDefault="00583456" w:rsidP="00680577">
      <w:pPr>
        <w:pStyle w:val="EPBodyTA1"/>
      </w:pPr>
      <w:r w:rsidRPr="00225671">
        <w:t>PŘIJATÉ TEXTY</w:t>
      </w:r>
    </w:p>
    <w:p w14:paraId="7DD4B6C5" w14:textId="77777777" w:rsidR="00D058B8" w:rsidRPr="00225671" w:rsidRDefault="00D058B8" w:rsidP="00D058B8">
      <w:pPr>
        <w:pStyle w:val="LineBottom"/>
      </w:pPr>
    </w:p>
    <w:p w14:paraId="64749CE0" w14:textId="188000F4" w:rsidR="00583456" w:rsidRPr="001C7B54" w:rsidRDefault="00583456" w:rsidP="00583456">
      <w:pPr>
        <w:pStyle w:val="ATHeading1"/>
      </w:pPr>
      <w:bookmarkStart w:id="0" w:name="TANumber"/>
      <w:r w:rsidRPr="001C7B54">
        <w:t>P10_</w:t>
      </w:r>
      <w:proofErr w:type="gramStart"/>
      <w:r w:rsidRPr="001C7B54">
        <w:t>TA(</w:t>
      </w:r>
      <w:proofErr w:type="gramEnd"/>
      <w:r w:rsidRPr="001C7B54">
        <w:t>2025)0</w:t>
      </w:r>
      <w:r w:rsidR="004276B3">
        <w:t>137</w:t>
      </w:r>
      <w:bookmarkEnd w:id="0"/>
    </w:p>
    <w:p w14:paraId="68B31A36" w14:textId="77777777" w:rsidR="00583456" w:rsidRPr="001C7B54" w:rsidRDefault="00583456" w:rsidP="00583456">
      <w:pPr>
        <w:pStyle w:val="ATHeading2"/>
      </w:pPr>
      <w:bookmarkStart w:id="1" w:name="title"/>
      <w:r w:rsidRPr="001C7B54">
        <w:t>Dohoda o čistém průmyslu</w:t>
      </w:r>
      <w:bookmarkEnd w:id="1"/>
    </w:p>
    <w:p w14:paraId="3A01657B" w14:textId="77777777" w:rsidR="00583456" w:rsidRPr="00225671" w:rsidRDefault="00583456" w:rsidP="00583456">
      <w:pPr>
        <w:rPr>
          <w:i/>
          <w:vanish/>
        </w:rPr>
      </w:pPr>
      <w:r w:rsidRPr="00225671">
        <w:rPr>
          <w:i/>
        </w:rPr>
        <w:fldChar w:fldCharType="begin"/>
      </w:r>
      <w:r w:rsidRPr="00225671">
        <w:rPr>
          <w:i/>
        </w:rPr>
        <w:instrText xml:space="preserve"> TC"(</w:instrText>
      </w:r>
      <w:bookmarkStart w:id="2" w:name="DocNumber"/>
      <w:r w:rsidRPr="00225671">
        <w:rPr>
          <w:i/>
        </w:rPr>
        <w:instrText>B10-0277/2025</w:instrText>
      </w:r>
      <w:bookmarkEnd w:id="2"/>
      <w:r w:rsidRPr="00225671">
        <w:rPr>
          <w:i/>
        </w:rPr>
        <w:instrText xml:space="preserve">)"\l3 \n&gt; \* MERGEFORMAT </w:instrText>
      </w:r>
      <w:r w:rsidRPr="00225671">
        <w:rPr>
          <w:i/>
        </w:rPr>
        <w:fldChar w:fldCharType="end"/>
      </w:r>
    </w:p>
    <w:p w14:paraId="629EEDAF" w14:textId="77777777" w:rsidR="00583456" w:rsidRPr="00225671" w:rsidRDefault="00583456" w:rsidP="00583456">
      <w:pPr>
        <w:rPr>
          <w:vanish/>
        </w:rPr>
      </w:pPr>
      <w:bookmarkStart w:id="3" w:name="PE"/>
      <w:r w:rsidRPr="00225671">
        <w:rPr>
          <w:vanish/>
        </w:rPr>
        <w:t>PE773.358</w:t>
      </w:r>
      <w:bookmarkEnd w:id="3"/>
    </w:p>
    <w:p w14:paraId="06112FCA" w14:textId="77777777" w:rsidR="00583456" w:rsidRPr="001C7B54" w:rsidRDefault="00583456" w:rsidP="00583456">
      <w:pPr>
        <w:pStyle w:val="ATHeading3"/>
      </w:pPr>
      <w:bookmarkStart w:id="4" w:name="Sujet"/>
      <w:r w:rsidRPr="001C7B54">
        <w:t>Usnesení Evropského parlamentu ze dne 19. června 2025 o Dohodě o čistém průmyslu</w:t>
      </w:r>
      <w:bookmarkEnd w:id="4"/>
      <w:r w:rsidRPr="001C7B54">
        <w:t xml:space="preserve"> </w:t>
      </w:r>
      <w:bookmarkStart w:id="5" w:name="References"/>
      <w:r w:rsidRPr="001C7B54">
        <w:t>(2025/2656(RSP))</w:t>
      </w:r>
      <w:bookmarkEnd w:id="5"/>
    </w:p>
    <w:p w14:paraId="42FD043F" w14:textId="137529D2" w:rsidR="00134C78" w:rsidRPr="00225671" w:rsidRDefault="00134C78" w:rsidP="001C7B54">
      <w:pPr>
        <w:widowControl/>
        <w:suppressAutoHyphens/>
        <w:autoSpaceDN w:val="0"/>
        <w:spacing w:before="360" w:after="240"/>
        <w:jc w:val="both"/>
        <w:textAlignment w:val="baseline"/>
        <w:rPr>
          <w:szCs w:val="24"/>
        </w:rPr>
      </w:pPr>
      <w:bookmarkStart w:id="6" w:name="TextBodyBegin"/>
      <w:bookmarkEnd w:id="6"/>
      <w:r w:rsidRPr="00225671">
        <w:rPr>
          <w:i/>
        </w:rPr>
        <w:t>Evropský parlament</w:t>
      </w:r>
      <w:r w:rsidRPr="00225671">
        <w:t>,</w:t>
      </w:r>
    </w:p>
    <w:p w14:paraId="7F98CE9B" w14:textId="77777777" w:rsidR="00134C78" w:rsidRPr="00225671" w:rsidRDefault="00134C78" w:rsidP="00225671">
      <w:pPr>
        <w:pStyle w:val="NormalHanging12a"/>
      </w:pPr>
      <w:r w:rsidRPr="00225671">
        <w:t>–</w:t>
      </w:r>
      <w:r w:rsidRPr="00225671">
        <w:tab/>
        <w:t>s ohledem na sdělení Komise ze dne 26. února 2025 nazvané „Sdělení o Dohodě o čistém průmyslu: společný plán konkurenceschopnosti a dekarbonizace“ (</w:t>
      </w:r>
      <w:proofErr w:type="gramStart"/>
      <w:r w:rsidRPr="00225671">
        <w:t>COM(</w:t>
      </w:r>
      <w:proofErr w:type="gramEnd"/>
      <w:r w:rsidRPr="00225671">
        <w:t>2025)0085),</w:t>
      </w:r>
    </w:p>
    <w:p w14:paraId="243B1BD4" w14:textId="77777777" w:rsidR="00134C78" w:rsidRPr="00225671" w:rsidRDefault="00134C78" w:rsidP="00225671">
      <w:pPr>
        <w:pStyle w:val="NormalHanging12a"/>
      </w:pPr>
      <w:r w:rsidRPr="00225671">
        <w:t>–</w:t>
      </w:r>
      <w:r w:rsidRPr="00225671">
        <w:tab/>
        <w:t>s ohledem na sdělení Komise ze dne 26. února 2025 nazvané „Akční plán pro cenově dostupnou energii – Odhalení skutečné hodnoty energetické unie s cílem zajistit cenově dostupnější, účinnější a čistší energii pro všechny Evropany“ (</w:t>
      </w:r>
      <w:proofErr w:type="gramStart"/>
      <w:r w:rsidRPr="00225671">
        <w:t>COM(</w:t>
      </w:r>
      <w:proofErr w:type="gramEnd"/>
      <w:r w:rsidRPr="00225671">
        <w:t>2025)0079),</w:t>
      </w:r>
    </w:p>
    <w:p w14:paraId="0AA74FE3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 xml:space="preserve">s ohledem na zprávu ze dne 9. září 2024, kterou vypracoval Mario </w:t>
      </w:r>
      <w:proofErr w:type="spellStart"/>
      <w:r w:rsidRPr="00225671">
        <w:t>Draghi</w:t>
      </w:r>
      <w:proofErr w:type="spellEnd"/>
      <w:r w:rsidRPr="00225671">
        <w:t xml:space="preserve"> pod názvem „O budoucnosti evropské konkurenceschopnosti“,</w:t>
      </w:r>
    </w:p>
    <w:p w14:paraId="4FB06FF6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 xml:space="preserve">s ohledem na zprávu z dubna 2024, kterou vypracoval Enrico </w:t>
      </w:r>
      <w:proofErr w:type="spellStart"/>
      <w:r w:rsidRPr="00225671">
        <w:t>Letta</w:t>
      </w:r>
      <w:proofErr w:type="spellEnd"/>
      <w:r w:rsidRPr="00225671">
        <w:t xml:space="preserve"> pod názvem „Mnohem více než jen trh“,</w:t>
      </w:r>
    </w:p>
    <w:p w14:paraId="3EC4088F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>s ohledem na sdělení Komise ze dne 29. ledna 2025 nazvané „Kompas konkurenceschopnosti pro EU“ (</w:t>
      </w:r>
      <w:proofErr w:type="gramStart"/>
      <w:r w:rsidRPr="00225671">
        <w:t>COM(</w:t>
      </w:r>
      <w:proofErr w:type="gramEnd"/>
      <w:r w:rsidRPr="00225671">
        <w:t>2025)0030),</w:t>
      </w:r>
    </w:p>
    <w:p w14:paraId="018927C6" w14:textId="06DEFCA2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 xml:space="preserve">s ohledem na sdělení Komise ze dne 19. března 2025 nazvané „Evropský akční plán pro ocel a kovy“ </w:t>
      </w:r>
      <w:r w:rsidR="00C41758">
        <w:t>(</w:t>
      </w:r>
      <w:proofErr w:type="gramStart"/>
      <w:r w:rsidRPr="00225671">
        <w:t>COM(</w:t>
      </w:r>
      <w:proofErr w:type="gramEnd"/>
      <w:r w:rsidRPr="00225671">
        <w:t>2025)0125),</w:t>
      </w:r>
    </w:p>
    <w:p w14:paraId="05C797E5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>s ohledem na své usnesení ze dne 15. září 2022 o provádění aktualizované nové průmyslové strategie pro Evropu: sladění výdajů s politikou</w:t>
      </w:r>
      <w:r w:rsidRPr="00225671">
        <w:rPr>
          <w:rStyle w:val="FootnoteReference"/>
          <w:szCs w:val="24"/>
        </w:rPr>
        <w:footnoteReference w:id="1"/>
      </w:r>
      <w:r w:rsidRPr="00225671">
        <w:t>,</w:t>
      </w:r>
    </w:p>
    <w:p w14:paraId="551AF22D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>s ohledem na své usnesení ze dne 3. dubna 2025 o energeticky náročných průmyslových odvětvích</w:t>
      </w:r>
      <w:r w:rsidRPr="00225671">
        <w:rPr>
          <w:rStyle w:val="FootnoteReference"/>
          <w:szCs w:val="24"/>
        </w:rPr>
        <w:footnoteReference w:id="2"/>
      </w:r>
      <w:r w:rsidRPr="00225671">
        <w:t xml:space="preserve"> a související otázku k ústnímu zodpovězení O-00010/2025,</w:t>
      </w:r>
    </w:p>
    <w:p w14:paraId="05C9805A" w14:textId="77777777" w:rsidR="00134C78" w:rsidRPr="00225671" w:rsidRDefault="00134C78" w:rsidP="00225671">
      <w:pPr>
        <w:pStyle w:val="NormalHanging12a"/>
        <w:rPr>
          <w:bCs/>
          <w:iCs/>
          <w:szCs w:val="24"/>
        </w:rPr>
      </w:pPr>
      <w:r w:rsidRPr="00225671">
        <w:t>–</w:t>
      </w:r>
      <w:r w:rsidRPr="00225671">
        <w:tab/>
        <w:t xml:space="preserve">s ohledem na sdělení Komise ze dne 11. prosince 2019 nazvané „Zelená dohoda pro </w:t>
      </w:r>
      <w:r w:rsidRPr="00225671">
        <w:lastRenderedPageBreak/>
        <w:t>Evropu“ (</w:t>
      </w:r>
      <w:proofErr w:type="gramStart"/>
      <w:r w:rsidRPr="00225671">
        <w:t>COM(</w:t>
      </w:r>
      <w:proofErr w:type="gramEnd"/>
      <w:r w:rsidRPr="00225671">
        <w:t>2019)0640),</w:t>
      </w:r>
    </w:p>
    <w:p w14:paraId="1E4DA250" w14:textId="77777777" w:rsidR="00134C78" w:rsidRPr="00225671" w:rsidRDefault="00134C78" w:rsidP="00225671">
      <w:pPr>
        <w:pStyle w:val="NormalHanging12a"/>
      </w:pPr>
      <w:r w:rsidRPr="00225671">
        <w:t>–</w:t>
      </w:r>
      <w:r w:rsidRPr="00225671">
        <w:tab/>
        <w:t>s ohledem na zprávu svého Výboru pro průmysl, výzkum a energetiku ze dne 13. května 2025 o elektrizačních soustavách: páteři energetického systému EU,</w:t>
      </w:r>
    </w:p>
    <w:p w14:paraId="23589195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>s ohledem na otázku položenou Komisi (O-000020/2025),</w:t>
      </w:r>
    </w:p>
    <w:p w14:paraId="17D5D5A7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–</w:t>
      </w:r>
      <w:r w:rsidRPr="00225671">
        <w:tab/>
        <w:t>s ohledem na čl. 142 odst. 5 a čl. 136 odst. 2 jednacího řádu,</w:t>
      </w:r>
    </w:p>
    <w:p w14:paraId="017216F4" w14:textId="77777777" w:rsidR="00134C78" w:rsidRPr="00225671" w:rsidRDefault="00134C78" w:rsidP="00225671">
      <w:pPr>
        <w:pStyle w:val="NormalHanging12a"/>
      </w:pPr>
      <w:r w:rsidRPr="00225671">
        <w:t>–</w:t>
      </w:r>
      <w:r w:rsidRPr="00225671">
        <w:tab/>
        <w:t>s ohledem na návrh usnesení Výboru pro průmysl, výzkum a energetiku,</w:t>
      </w:r>
    </w:p>
    <w:p w14:paraId="10E7335C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A.</w:t>
      </w:r>
      <w:r w:rsidRPr="00225671">
        <w:tab/>
        <w:t xml:space="preserve">vzhledem k tomu, že cílem Dohody o čistém průmyslu je spojit opatření v oblasti klimatu a konkurenceschopnost do jedné zastřešující strategie růstu, která se </w:t>
      </w:r>
      <w:proofErr w:type="gramStart"/>
      <w:r w:rsidRPr="00225671">
        <w:t>zaměří</w:t>
      </w:r>
      <w:proofErr w:type="gramEnd"/>
      <w:r w:rsidRPr="00225671">
        <w:t xml:space="preserve"> na podporu energeticky náročných průmyslových odvětví a odvětví čistých technologií; vzhledem k tomu, že se jedná o velmi potřebnou iniciativu, jelikož přechod na dekarbonizované a oběhové hospodářství může být úspěšný pouze tehdy, pokud se podaří zachovat konkurenceschopnost;</w:t>
      </w:r>
    </w:p>
    <w:p w14:paraId="10AA040D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B.</w:t>
      </w:r>
      <w:r w:rsidRPr="00225671">
        <w:tab/>
        <w:t xml:space="preserve">vzhledem k tomu, že cílem Akčního plánu pro cenově dostupnou energii je zajistit cenově dostupnou a čistou energii a krátkodobou úlevu tím, že </w:t>
      </w:r>
      <w:proofErr w:type="gramStart"/>
      <w:r w:rsidRPr="00225671">
        <w:t>sníží</w:t>
      </w:r>
      <w:proofErr w:type="gramEnd"/>
      <w:r w:rsidRPr="00225671">
        <w:t xml:space="preserve"> účty za energii, a současně urychlit provádění strukturálních reforem a posílit naše energetické systémy, aby se zmírnily budoucí cenové šoky;</w:t>
      </w:r>
    </w:p>
    <w:p w14:paraId="656A2B78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C.</w:t>
      </w:r>
      <w:r w:rsidRPr="00225671">
        <w:tab/>
        <w:t xml:space="preserve">vzhledem k tomu, že evropský průmysl se v současnosti potýká s obrovskými problémy v důsledku vysokých cen energie z fosilních zdrojů, nekalé mezinárodní hospodářské soutěže, ztráty pracovních míst a nedostatku kvalifikovaných pracovníků, což má za následek omezenou výrobu, přemísťování a uzavírání provozů, a to dále zvyšuje naši závislost na externích dodavatelích a oslabuje naši strategickou nezávislost, přičemž existuje riziko, že inovace, výroba a související emise budou pouze přemístěny do jiných zemí, spíše než řešeny u zdroje; </w:t>
      </w:r>
    </w:p>
    <w:p w14:paraId="35127A64" w14:textId="77777777" w:rsidR="00134C78" w:rsidRPr="00225671" w:rsidRDefault="00134C78" w:rsidP="00225671">
      <w:pPr>
        <w:pStyle w:val="NormalHanging12a"/>
        <w:rPr>
          <w:szCs w:val="24"/>
        </w:rPr>
      </w:pPr>
      <w:r w:rsidRPr="00225671">
        <w:t>D.</w:t>
      </w:r>
      <w:r w:rsidRPr="00225671">
        <w:tab/>
        <w:t>vzhledem k tomu, že evropský průmysl je ochoten se posunout směrem k větší udržitelnosti a přispět k dosažení cíle klimatické neutrality do roku 2050 a dekarbonizovaná průmyslová základna, která obstojí i v budoucnosti, může nabídnout značné příležitosti, ale existuje riziko, že projekty dekarbonizace budou odloženy, protože jejich obchodní důvody již v Evropě nedávají smysl;</w:t>
      </w:r>
    </w:p>
    <w:p w14:paraId="20EE1DC1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1.</w:t>
      </w:r>
      <w:r w:rsidRPr="00225671">
        <w:tab/>
        <w:t>vítá Dohodu o čistém průmyslu jako dlouho očekávaný první krok na cestě k posílení evropské průmyslové konkurenceschopnosti a inovací, strategické nezávislosti, dekarbonizace, prosperity a čistého růstu; naléhavě vyzývá Komisi, aby se urychleně posunula od strategie k činům a provádění; je si vědom toho, že navrhované kroky je třeba rozšířit o další opatření; zdůrazňuje, že robustní a dobře cílená průmyslová politika je zásadní pro zajištění silné a udržitelné průmyslové základny v Evropě a k vytvoření a udržení vysoce kvalitních pracovních míst a současné dekarbonizaci naší ekonomiky, snížení znečištění a posílení odolnosti Evropy;</w:t>
      </w:r>
    </w:p>
    <w:p w14:paraId="69F83D44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2.</w:t>
      </w:r>
      <w:r w:rsidRPr="00225671">
        <w:tab/>
        <w:t xml:space="preserve">vítá zřízení banky pro dekarbonizaci průmyslu s cílem uvolnit finanční prostředky ve výši 100 miliard EUR a také ohlášenou pilotní aukci v hodnotě 1 miliardy EUR na dekarbonizaci klíčových průmyslových procesů v různých odvětvích s cílem podpořit dekarbonizaci a elektrifikaci průmyslu; zdůrazňuje, že je důležité zvýšit investice do výroby čistých technologií a zlepšit přístup ke kapitálu pro tuto výrobu, a to i prostřednictvím dalších finančních prostředků z Inovačního fondu; vyzývá k širší </w:t>
      </w:r>
      <w:r w:rsidRPr="00225671">
        <w:lastRenderedPageBreak/>
        <w:t xml:space="preserve">účasti členských států v programech aukce jako služba; vyzývá k přijetí investičních kritérií založených na uhlíkovém dopadu, rozšiřitelnosti a bezpečnosti dodávek; podporuje rozdílové smlouvy o uhlíku pro překlenutí rozdílu mezi cenou uhlíku a náklady na projekty průmyslového hospodaření s uhlíkem u těžko </w:t>
      </w:r>
      <w:proofErr w:type="spellStart"/>
      <w:r w:rsidRPr="00225671">
        <w:t>dekarbonizovatelných</w:t>
      </w:r>
      <w:proofErr w:type="spellEnd"/>
      <w:r w:rsidRPr="00225671">
        <w:t xml:space="preserve"> odvětví; zvažuje vytvoření rozpočtové položky pro zavádění průmyslových technologií pro dekarbonizaci v rámci správy fondu pro konkurenceschopnost;</w:t>
      </w:r>
    </w:p>
    <w:p w14:paraId="735356D5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3.</w:t>
      </w:r>
      <w:r w:rsidRPr="00225671">
        <w:tab/>
        <w:t>podporuje Akční plán pro cenově dostupnou energii a jeho zaměření na realizaci uspořádání trhu s elektřinou, zlepšování nástrojů, jako jsou smlouvy o nákupu elektřiny a dvousměrné rozdílové smlouvy, aby se snížil vliv cen fosilních paliv na ceny elektřiny; vítá pilotní program pro podnikové smlouvy o nákupu elektřiny prostřednictvím Evropské investiční banky a zdůrazňuje, že je třeba tyto smlouvy využít k rozšíření kapacity a dosažení skutečné dekarbonizace; vyzývá Komisi, aby zavedla nástroje ke snížení rizika s cílem řešit hlavní překážky, se kterými se potýkají energeticky náročná odvětví při podepisování smluv o nákupu elektřiny, zejména smluv o nákupu elektřiny z obnovitelných zdrojů, a rozdílových smluv pro snížení rizika na straně poptávky pro uživatele energie, a aby zvážila, jak stimulovat rozvoj hybridních smluv o nákupu elektřiny s odpovídajícími produkty flexibility;</w:t>
      </w:r>
    </w:p>
    <w:p w14:paraId="5F371041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4.</w:t>
      </w:r>
      <w:r w:rsidRPr="00225671">
        <w:tab/>
        <w:t>zdůrazňuje, že je třeba posílit energetickou infrastrukturu, zejména tu přeshraniční, včetně propojení, a dokončit energetickou unii; vyzývá ke sledování ambiciózního cíle v rámci budoucího dialogu o hlubší integraci trhu s elektřinou, jelikož stávající fragmentace regulačního dohledu a plánování investic napříč všemi členskými státy brání integraci a elektrifikaci; vyzývá členské státy, provozovatele přenosových soustav a Komisi, aby podpořili přeshraniční obchod s elektřinou, což jim umožní využít přínosy integrace trhu a zlepšit spolehlivost dodávek pro všechny propojené strany; naléhavě vyzývá členské státy, aby se snažily dosáhnout stávajícího cíle 15% propojení stanoveného v nařízení (EU) 2018/1999</w:t>
      </w:r>
      <w:r w:rsidRPr="00225671">
        <w:rPr>
          <w:rStyle w:val="FootnoteReference"/>
          <w:bCs/>
          <w:iCs/>
          <w:szCs w:val="24"/>
          <w:lang w:eastAsia="en-US"/>
        </w:rPr>
        <w:footnoteReference w:id="3"/>
      </w:r>
      <w:r w:rsidRPr="00225671">
        <w:t>;</w:t>
      </w:r>
    </w:p>
    <w:p w14:paraId="5E777696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5.</w:t>
      </w:r>
      <w:r w:rsidRPr="00225671">
        <w:tab/>
        <w:t>zdůrazňuje, že je třeba dokončit práci na revizi směrnice o zdanění energie</w:t>
      </w:r>
      <w:r w:rsidRPr="00225671">
        <w:rPr>
          <w:rStyle w:val="FootnoteReference"/>
          <w:rFonts w:eastAsia="Calibri"/>
          <w:szCs w:val="24"/>
          <w:lang w:eastAsia="en-US"/>
        </w:rPr>
        <w:footnoteReference w:id="4"/>
      </w:r>
      <w:r w:rsidRPr="00225671">
        <w:t>, jejímž cílem je sladit zdanění energetických produktů s cíli politiky EU v oblasti energetiky a klimatu, a harmonizovat vytváření metodik pro sazby síťových poplatků za předpokladu, že tato opatření nebudou na úkor konečných spotřebitelů; vyzývá členské státy, aby okamžitě poskytly krátkodobou úlevu průmyslovým podnikům a domácnostem, např. tím, že sníží daně a poplatky za elektřinu a přestanou uplatňovat bezdůvodné další požadavky („</w:t>
      </w:r>
      <w:proofErr w:type="spellStart"/>
      <w:r w:rsidRPr="00225671">
        <w:t>gold-plating</w:t>
      </w:r>
      <w:proofErr w:type="spellEnd"/>
      <w:r w:rsidRPr="00225671">
        <w:t>“ právních předpisů EU), které narušují rovné podmínky;</w:t>
      </w:r>
    </w:p>
    <w:p w14:paraId="280D44B1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6.</w:t>
      </w:r>
      <w:r w:rsidRPr="00225671">
        <w:tab/>
        <w:t xml:space="preserve">vybízí Komisi a členské státy, aby zlepšily koordinaci výdajů na státní podporu </w:t>
      </w:r>
      <w:r w:rsidRPr="00225671">
        <w:lastRenderedPageBreak/>
        <w:t>společných evropských průmyslových priorit, a vyzývá členské státy, aby to využily k podpoře průmyslu při přechodu na čistou energii a zároveň zohlednily různé fiskální kapacity; znovu opakuje, že jsou důležité rovné podmínky; zdůrazňuje, že je třeba zlepšit koordinaci průmyslové politiky v celé Unii, a to mezi členskými státy navzájem i mezi členskými státy a Komisí; podporuje zavedení nástroje pro koordinaci konkurenceschopnosti, který by řídil a harmonizoval úsilí jednotlivých členských států; domnívá se, že veřejná podpora by měla přispívat k udržení pracovních míst a průmyslové aktivity v Evropě a že příjemci takové podpory by se měli zavázat k tomu, že zachovají důstojné zaměstnanecké a pracovní podmínky a budou se účastnit sociálního dialogu;</w:t>
      </w:r>
    </w:p>
    <w:p w14:paraId="2010F8DE" w14:textId="520999D4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7.</w:t>
      </w:r>
      <w:r w:rsidRPr="00225671">
        <w:tab/>
        <w:t xml:space="preserve">podporuje zjednodušení a digitalizaci v zájmu urychlení postupů vydávání povolení, přičemž je třeba současně dodržovat environmentální záruky a chránit lidské zdraví; vyzývá Komisi, aby dále řešila překážky v povolování přístupu průmyslu k energii a dekarbonizaci průmyslu v aktu o akcelerátoru dekarbonizace průmyslu, a to i prostřednictvím přijímání opatření, která urychlí soudní a administrativní postupy, a aby posoudila kritéria pro cílené výjimky pro emise a depozice </w:t>
      </w:r>
      <w:r w:rsidR="00EB0684">
        <w:t>u výstaveb</w:t>
      </w:r>
      <w:r w:rsidRPr="00225671">
        <w:t xml:space="preserve"> v souvislosti s čistými projekty, projekty s nulovými čistými emisemi a projekty v oblasti skladování a rozvodných sítí; naléhavě vyzývá členské státy, aby zlepšily své administrativní kapacity tak, aby zajistily rychlé zpracování povolení, a aby v plném rozsahu provedly směrnici o obnovitelných zdrojích energie</w:t>
      </w:r>
      <w:r w:rsidRPr="00225671">
        <w:rPr>
          <w:rStyle w:val="FootnoteReference"/>
          <w:rFonts w:eastAsia="Calibri"/>
          <w:bCs/>
          <w:iCs/>
          <w:szCs w:val="24"/>
          <w:lang w:eastAsia="en-US"/>
        </w:rPr>
        <w:footnoteReference w:id="5"/>
      </w:r>
      <w:r w:rsidRPr="00225671">
        <w:t>, včetně zásady převažujícího veřejného zájmu, a akt o průmyslu pro nulové čisté emise</w:t>
      </w:r>
      <w:r w:rsidRPr="00225671">
        <w:rPr>
          <w:rStyle w:val="FootnoteReference"/>
          <w:rFonts w:eastAsia="Calibri"/>
          <w:bCs/>
          <w:iCs/>
          <w:szCs w:val="24"/>
          <w:lang w:eastAsia="en-US"/>
        </w:rPr>
        <w:footnoteReference w:id="6"/>
      </w:r>
      <w:r w:rsidRPr="00225671">
        <w:t>;</w:t>
      </w:r>
    </w:p>
    <w:p w14:paraId="462829D3" w14:textId="77777777" w:rsidR="00134C78" w:rsidRPr="00225671" w:rsidRDefault="00134C78" w:rsidP="00225671">
      <w:pPr>
        <w:pStyle w:val="NormalHanging12a"/>
      </w:pPr>
      <w:r w:rsidRPr="00225671">
        <w:t>8.</w:t>
      </w:r>
      <w:r w:rsidRPr="00225671">
        <w:tab/>
        <w:t>vyzývá Komisi, aby při snaze o zachování bezpečnosti dodávek i cenové dostupnosti vzala v úvahu všechny dostupné technologie, které přispívají k dosažení cíle EU v oblasti klimatické neutrality do roku 2050 nákladově efektivním způsobem tak, aby bylo dosaženo čistší, stabilní, bezpečné a nezávislejší skladby zdrojů energie; uznává, že energie z obnovitelných zdrojů je spolu s jadernou energií v případě členských států, které se ji rozhodnou využívat, zásadně důležitá pro čistou a bezpečnou skladbu zdrojů energie; vyzývá Komisi, aby posílila spolupráci v oblasti bezpečného vývoje a výroby malých modulárních reaktorů v Evropě a aby pokročila ve výzkumu jaderné fúze jako energetické technologie budoucnosti; vítá oznámení, že bude posouzena možnost zjednodušit postupy vydávání licencí na nové technologie v oblasti jaderné energie;</w:t>
      </w:r>
    </w:p>
    <w:p w14:paraId="0DD960F1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9.</w:t>
      </w:r>
      <w:r w:rsidRPr="00225671">
        <w:tab/>
        <w:t>zdůrazňuje úlohu elektrifikace, avšak konstatuje, že je nezbytné podstatně rozšířit a modernizovat sítě; vyzývá k vypracování strategie EU pro energetickou flexibilitu, která by se zaměřila na odezvu na straně poptávky a na skladování energie; vítá záměr aktualizovat Strategii pro vytápění a chlazení a Akční plán elektrifikace; vyzývá Komisi, aby uznala odvětví energetické účinnosti za strategické odvětví klíčové pro dekarbonizaci průmyslu a evropskou konkurenceschopnost;</w:t>
      </w:r>
    </w:p>
    <w:p w14:paraId="6768B67F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lastRenderedPageBreak/>
        <w:t>10.</w:t>
      </w:r>
      <w:r w:rsidRPr="00225671">
        <w:tab/>
        <w:t>zdůrazňuje důležitou úlohu, kterou může při dekarbonizaci průmyslu sehrát vodík z obnovitelných a nízkouhlíkových zdrojů; vyzývá k urychlenému přijetí jednoduché, technologicky neutrální definice nízkouhlíkového vodíku, která bude vstřícná vůči investicím, a k jejímu zavedení v nadcházejícím nařízení v přenesené pravomoci, které doplní směrnici (EU) 2024/1788</w:t>
      </w:r>
      <w:r w:rsidRPr="00225671">
        <w:rPr>
          <w:rStyle w:val="FootnoteReference"/>
          <w:rFonts w:eastAsia="Calibri"/>
          <w:szCs w:val="24"/>
          <w:lang w:eastAsia="en-US"/>
        </w:rPr>
        <w:footnoteReference w:id="7"/>
      </w:r>
      <w:r w:rsidRPr="00225671">
        <w:t xml:space="preserve"> stanovením metodiky pro posuzování úspor emisí skleníkových plynů dosažených pomocí nízkouhlíkových paliv, přičemž je třeba zajistit, aby tato definice byla spolehlivá, vědecky podložená a aby motivovala k výrobě a používání vodíku za účelem snížení emisí; vítá oznámení o vypracování studie o pravidlech pro paliva z obnovitelných zdrojů nebiologického původu; naléhavě vyzývá Komisi, aby zohlednila výsledky této studie a obavy zúčastněných stran a případně navrhla změny aktu v přenesené pravomoci o palivech z obnovitelných zdrojů nebiologického původu</w:t>
      </w:r>
      <w:r w:rsidRPr="00225671">
        <w:rPr>
          <w:rStyle w:val="FootnoteReference"/>
          <w:rFonts w:eastAsia="Calibri"/>
          <w:szCs w:val="24"/>
          <w:lang w:eastAsia="en-US"/>
        </w:rPr>
        <w:footnoteReference w:id="8"/>
      </w:r>
      <w:r w:rsidRPr="00225671">
        <w:t xml:space="preserve"> s cílem zvýšit výrobu vodíku z obnovitelných zdrojů a snížit jeho ceny pro spotřebitele;</w:t>
      </w:r>
    </w:p>
    <w:p w14:paraId="372E01C6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11.</w:t>
      </w:r>
      <w:r w:rsidRPr="00225671">
        <w:tab/>
        <w:t xml:space="preserve">opakuje, že je třeba vypracovat opatření k zajištění dodávek plynu za nižší ceny pro odvětví, která se v krátkodobém až střednědobém horizontu nemohou výrazně spoléhat na elektrifikaci; vyzývá k navazování diverzifikovaných a spolehlivých partnerství v souladu s bezpečností a zájmy Unie a plánem </w:t>
      </w:r>
      <w:proofErr w:type="spellStart"/>
      <w:r w:rsidRPr="00225671">
        <w:t>REPowerEU</w:t>
      </w:r>
      <w:proofErr w:type="spellEnd"/>
      <w:r w:rsidRPr="00225671">
        <w:t>;</w:t>
      </w:r>
    </w:p>
    <w:p w14:paraId="7B06E863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12.</w:t>
      </w:r>
      <w:r w:rsidRPr="00225671">
        <w:tab/>
        <w:t>naléhavě vyzývá Komisi, aby se zapojila do odvětvových dialogů s průmyslovými odvětvími, akademickou obcí, sociálními partnery a příslušnými zúčastněnými stranami z odvětví čistých technologií a energeticky náročných odvětví, jakož i s (přeshraničními) regionálními oborovými klastry, a zvýšila tak jejich konkurenceschopnost a usnadnila jejich transformaci; zdůrazňuje, že průmyslové ekosystémy jsou vysoce propojené a účinné, takže uzavření jednoho zařízení má dopad na celý klastr; požaduje každoroční monitorování a podávání zpráv o konkurenceschopnosti a odolnosti našich průmyslových ekosystémů a o pokroku dosaženém při transformaci, aby bylo možné nástroje v případě potřeby pomocí individuální podpory rychle přizpůsobit situaci;</w:t>
      </w:r>
    </w:p>
    <w:p w14:paraId="530E078A" w14:textId="77777777" w:rsidR="00134C78" w:rsidRPr="00225671" w:rsidRDefault="00134C78" w:rsidP="00225671">
      <w:pPr>
        <w:pStyle w:val="NormalHanging12a"/>
        <w:rPr>
          <w:bCs/>
          <w:iCs/>
          <w:szCs w:val="24"/>
        </w:rPr>
      </w:pPr>
      <w:r w:rsidRPr="00225671">
        <w:t>13.</w:t>
      </w:r>
      <w:r w:rsidRPr="00225671">
        <w:tab/>
        <w:t>zdůrazňuje, že úspěšný přechod na čistý průmysl závisí na kvalifikované pracovní síle; vyzývá Komisi a členské státy, aby vypracovaly koordinovanou strategii pro průmyslové dovednosti, která bude v souladu s aktem o průmyslu pro nulové čisté emise a prioritami v oblasti čistých technologií; podporuje rychlé zavádění a rozšíření akademií průmyslu pro nulové čisté emise a center excelence odborného vzdělávání; vybízí k využívání nástrojů EU, jako jsou ESF+, Erasmus+ a Fond pro spravedlivou transformaci, na podporu cíleného zvyšování kvalifikace a rekvalifikace v průmyslových regionech procházejících transformací, včetně venkovských oblastí;</w:t>
      </w:r>
    </w:p>
    <w:p w14:paraId="5C44106C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lastRenderedPageBreak/>
        <w:t>14.</w:t>
      </w:r>
      <w:r w:rsidRPr="00225671">
        <w:tab/>
        <w:t>vítá rozhodující trhy pro čisté, oběhové a nízkouhlíkové produkty vyrobené v Evropě; zdůrazňuje, že je třeba stimulovat poptávku prostřednictvím veřejných a soukromých zakázek a případně zavedením kritérií a norem udržitelnosti a odolnosti; podporuje vytvoření dobrovolných označení uhlíkové náročnosti pro průmyslové výrobky (např. pro ocel a cement), která by měla odrážet uhlíkovou náročnost bez zkreslení souvisejícího s použitými procesy, a sladění se stávajícími právními předpisy EU, včetně nařízení o ekodesignu udržitelných výrobků</w:t>
      </w:r>
      <w:r w:rsidRPr="00225671">
        <w:rPr>
          <w:rStyle w:val="FootnoteReference"/>
          <w:rFonts w:eastAsia="Calibri"/>
          <w:bCs/>
          <w:iCs/>
          <w:szCs w:val="24"/>
          <w:lang w:eastAsia="en-US"/>
        </w:rPr>
        <w:footnoteReference w:id="9"/>
      </w:r>
      <w:r w:rsidRPr="00225671">
        <w:t xml:space="preserve"> a nařízení o stavebních výrobcích</w:t>
      </w:r>
      <w:r w:rsidRPr="00225671">
        <w:rPr>
          <w:rStyle w:val="FootnoteReference"/>
          <w:rFonts w:eastAsia="Calibri"/>
          <w:bCs/>
          <w:iCs/>
          <w:szCs w:val="24"/>
          <w:lang w:eastAsia="en-US"/>
        </w:rPr>
        <w:footnoteReference w:id="10"/>
      </w:r>
      <w:r w:rsidRPr="00225671">
        <w:t>; vyzývá Komisi, aby zvážila další požadavky k zajištění poptávky po čistých výrobcích vyrobených v EU;</w:t>
      </w:r>
    </w:p>
    <w:p w14:paraId="3A36F087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15.</w:t>
      </w:r>
      <w:r w:rsidRPr="00225671">
        <w:tab/>
        <w:t>vítá navrhovaná opatření posilující oběhové hospodářství a biohospodářství tím, že zajišťují přístup k materiálům a zdrojům; vybízí k tomu, aby byla do aktu o oběhovém hospodářství zahrnuta opatření ke zvýšení využívání a cenové dostupnosti strategických druhotných materiálů v rámci EU, a to s přihlédnutím k cílům aktu o kritických surovinách</w:t>
      </w:r>
      <w:r w:rsidRPr="00225671">
        <w:rPr>
          <w:rStyle w:val="FootnoteReference"/>
          <w:rFonts w:eastAsia="Calibri"/>
          <w:szCs w:val="24"/>
          <w:lang w:eastAsia="en-US"/>
        </w:rPr>
        <w:footnoteReference w:id="11"/>
      </w:r>
      <w:r w:rsidRPr="00225671">
        <w:t>; zdůrazňuje, že je třeba definovat ty strategické druhotné suroviny, které by měly podléhat sledování vývozu, jako je ocel a kovový šrot, a řešit jakoukoli nerovnováhu mezi jejich nabídkou a poptávkou, mimo jiné zvážením možnosti zavedení vývozních omezení; trvá na účinném prosazování nařízení o přepravě odpadů</w:t>
      </w:r>
      <w:r w:rsidRPr="00225671">
        <w:rPr>
          <w:rStyle w:val="FootnoteReference"/>
          <w:rFonts w:eastAsia="Calibri"/>
          <w:szCs w:val="24"/>
          <w:lang w:eastAsia="en-US"/>
        </w:rPr>
        <w:footnoteReference w:id="12"/>
      </w:r>
      <w:r w:rsidRPr="00225671">
        <w:t>; vyzývá k vytvoření předvídatelného regulačního rámce, který by umožnil oběhové obchodní modely, zejména ty, které jsou založeny na předcházení vzniku odpadů, opětovném použití a vysoce kvalitní recyklaci;</w:t>
      </w:r>
    </w:p>
    <w:p w14:paraId="68B63718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16.</w:t>
      </w:r>
      <w:r w:rsidRPr="00225671">
        <w:tab/>
        <w:t>zdůrazňuje, že je třeba chránit evropský trh před nekalou hospodářskou soutěží a dumpingem přebytečných průmyslových výrobků ze zemí mimo EU tím, že budou v plném rozsahu využívány mechanismy na ochranu obchodu; vyzývá Komisi k zajištění toho, aby nástroje na ochranu obchodu, včetně antidumpingových a antisubvenčních šetření, byly využívány systematicky, proaktivně a přiměřeně; žádá, aby byly posíleny kapacity pro prosazování nařízení o zahraničních subvencích</w:t>
      </w:r>
      <w:r w:rsidRPr="00225671">
        <w:rPr>
          <w:rStyle w:val="FootnoteReference"/>
          <w:rFonts w:eastAsia="Calibri"/>
          <w:bCs/>
          <w:iCs/>
          <w:szCs w:val="24"/>
          <w:lang w:eastAsia="en-US"/>
        </w:rPr>
        <w:footnoteReference w:id="13"/>
      </w:r>
      <w:r w:rsidRPr="00225671">
        <w:t xml:space="preserve">, a vyjadřuje politování nad tím, že tento nástroj dosud není v klíčových odvětvích systematicky využíván; vyzývá Komisi, aby k nadměrné průmyslové kapacitě </w:t>
      </w:r>
      <w:r w:rsidRPr="00225671">
        <w:lastRenderedPageBreak/>
        <w:t>a strategickým závislostem přistupovala jako k hlavním rizikům hospodářské soutěže vyžadujícím koordinovanou reakci na úrovni EU a vhodné nástroje; vyzývá Komisi k zajištění toho, aby přístup na vnitřní trh EU nebo k evropským průmyslovým projektům nebyl umožněn subjektům, které se podílejí na strukturálním narušování trhu nebo nekalé hospodářské soutěži;</w:t>
      </w:r>
    </w:p>
    <w:p w14:paraId="316C7B92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17.</w:t>
      </w:r>
      <w:r w:rsidRPr="00225671">
        <w:tab/>
        <w:t>vítá navrhované zjednodušení mechanismu uhlíkového vyrovnání na hranicích (CBAM) navržené v prvním souhrnném balíčku, neboť se jedná o důležitý krok k dalšímu zvýšení účinnosti tohoto mechanismu a k řešení úniku uhlíku; opakuje svou výzvu, že je třeba nalézt proveditelné řešení vývozu, které by zmírnilo riziko úniku uhlíku v případě zboží podléhajícího mechanismu CBAM vyváženého z EU do třetích zemí; žádá Komisi, aby pečlivě analyzovala rizika spojená s neověřenými certifikáty ze zemí mimo EU, která by mohly poškodit spravedlnost a konkurenceschopnost; vítá záměr Komise předložit do konce roku strategii proti obcházení předpisů a zvážit v rámci nadcházejícího přezkumu rozšíření mechanismu uhlíkového vyrovnání na hranicích na další odvětví; zdůrazňuje, že v souvislosti s postupným rušením bezplatných povolenek v systému EU pro obchodování s emisemi je důležité, aby byl tento mechanismus skutečně účinný;</w:t>
      </w:r>
    </w:p>
    <w:p w14:paraId="29CD6070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18.</w:t>
      </w:r>
      <w:r w:rsidRPr="00225671">
        <w:tab/>
        <w:t xml:space="preserve">vítá skutečnost, že v rámci provádění strategie průmyslového hospodaření s uhlíkem budou do připravovaných (přezkumů) právních předpisů začleněny obchodní důvody pro trvalé pohlcování uhlíku; uznává, že v těžko </w:t>
      </w:r>
      <w:proofErr w:type="spellStart"/>
      <w:r w:rsidRPr="00225671">
        <w:t>dekarbonizovatelných</w:t>
      </w:r>
      <w:proofErr w:type="spellEnd"/>
      <w:r w:rsidRPr="00225671">
        <w:t xml:space="preserve"> odvětvích může být zapotřebí hospodaření s uhlíkem, včetně zachycování, ukládání, přepravy a využívání; zdůrazňuje, že je třeba navrhnout rámcový balíček pro trh s CO</w:t>
      </w:r>
      <w:r w:rsidRPr="00225671">
        <w:rPr>
          <w:vertAlign w:val="subscript"/>
        </w:rPr>
        <w:t>2</w:t>
      </w:r>
      <w:r w:rsidRPr="00225671">
        <w:t>, který by upravil přepravu CO</w:t>
      </w:r>
      <w:r w:rsidRPr="00225671">
        <w:rPr>
          <w:vertAlign w:val="subscript"/>
        </w:rPr>
        <w:t>2</w:t>
      </w:r>
      <w:r w:rsidRPr="00225671">
        <w:t xml:space="preserve"> a související infrastrukturu;</w:t>
      </w:r>
    </w:p>
    <w:p w14:paraId="46F97EB5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19.</w:t>
      </w:r>
      <w:r w:rsidRPr="00225671">
        <w:tab/>
        <w:t>naléhavě žádá, aby malé a střední podniky měly lepší přístup k financování; vítá zrychlené schvalování a vyplácení prostředků v rámci nástrojů, jako je Inovační fond a akt o průmyslu pro nulové čisté emise, a zdůrazňuje, že iniciativa pro významné projekty společného evropského zájmu musí být přístupná malým a středním podnikům; naléhavě vyzývá k dalšímu zlepšení a harmonizaci s cílem zjednodušit žádosti o financování, omezit oznamovací povinnosti a malé projekty zpracovávat zrychleným postupem;</w:t>
      </w:r>
    </w:p>
    <w:p w14:paraId="6C7EAD4F" w14:textId="77777777" w:rsidR="00134C78" w:rsidRPr="00225671" w:rsidRDefault="00134C78" w:rsidP="00225671">
      <w:pPr>
        <w:pStyle w:val="NormalHanging12a"/>
        <w:rPr>
          <w:rFonts w:eastAsia="Calibri"/>
          <w:szCs w:val="24"/>
        </w:rPr>
      </w:pPr>
      <w:r w:rsidRPr="00225671">
        <w:t>20.</w:t>
      </w:r>
      <w:r w:rsidRPr="00225671">
        <w:tab/>
        <w:t xml:space="preserve">zdůrazňuje, že pro účinné provádění Dohody o čistém průmyslu v celé řadě průmyslových ekosystémů jsou důležité přístupy specifické pro jednotlivá odvětví; vítá Průmyslový akční plán pro automobilový průmysl, Akční plán pro ocel a kovy, oznámení balíčku týkajícího se chemického průmyslu, plán investic do udržitelné dopravy a strategii </w:t>
      </w:r>
      <w:proofErr w:type="spellStart"/>
      <w:r w:rsidRPr="00225671">
        <w:t>bioekonomiky</w:t>
      </w:r>
      <w:proofErr w:type="spellEnd"/>
      <w:r w:rsidRPr="00225671">
        <w:t xml:space="preserve"> jako klíčové stavební prvky soudržné průmyslové transformace; žádá, aby plán investic do udržitelné dopravy zahrnoval podrobné strategie dekarbonizace, které budou odrážet konkrétní technologické a investiční potřeby různých druhů dopravy; vyzývá k začlenění dalších odvětví, jako je evropský letecký a kosmický průmysl a alternativní paliva, do rámce Dohody o čistém průmyslu; </w:t>
      </w:r>
      <w:r w:rsidRPr="00225671">
        <w:rPr>
          <w:shd w:val="clear" w:color="auto" w:fill="FFFFFF"/>
        </w:rPr>
        <w:t>žádá, aby byl vypracován zvláštní akční plán pro čisté technologie;</w:t>
      </w:r>
    </w:p>
    <w:p w14:paraId="06FE02CC" w14:textId="3AFDC3E2" w:rsidR="00E365E1" w:rsidRPr="00225671" w:rsidRDefault="00134C78" w:rsidP="001C7B54">
      <w:pPr>
        <w:spacing w:after="240"/>
        <w:ind w:left="567" w:hanging="567"/>
      </w:pPr>
      <w:r w:rsidRPr="00225671">
        <w:t>21.</w:t>
      </w:r>
      <w:r w:rsidRPr="00225671">
        <w:tab/>
        <w:t>pověřuje svou předsedkyni, aby předala toto usnesení Komisi, Radě a vládám a parlamentům členských států.</w:t>
      </w:r>
    </w:p>
    <w:sectPr w:rsidR="00E365E1" w:rsidRPr="00225671" w:rsidSect="00030A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BA9C" w14:textId="77777777" w:rsidR="00583456" w:rsidRPr="00030A55" w:rsidRDefault="00583456">
      <w:r w:rsidRPr="00030A55">
        <w:separator/>
      </w:r>
    </w:p>
  </w:endnote>
  <w:endnote w:type="continuationSeparator" w:id="0">
    <w:p w14:paraId="0C0DCC5D" w14:textId="77777777" w:rsidR="00583456" w:rsidRPr="00030A55" w:rsidRDefault="00583456">
      <w:r w:rsidRPr="00030A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4553" w14:textId="77777777" w:rsidR="00064002" w:rsidRPr="00030A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091E1" w14:textId="77777777" w:rsidR="00064002" w:rsidRPr="00030A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E8A8" w14:textId="77777777" w:rsidR="00064002" w:rsidRPr="00030A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52D51" w14:textId="77777777" w:rsidR="00583456" w:rsidRPr="00030A55" w:rsidRDefault="00583456">
      <w:r w:rsidRPr="00030A55">
        <w:separator/>
      </w:r>
    </w:p>
  </w:footnote>
  <w:footnote w:type="continuationSeparator" w:id="0">
    <w:p w14:paraId="2EC53F88" w14:textId="77777777" w:rsidR="00583456" w:rsidRPr="00030A55" w:rsidRDefault="00583456">
      <w:r w:rsidRPr="00030A55">
        <w:continuationSeparator/>
      </w:r>
    </w:p>
  </w:footnote>
  <w:footnote w:id="1">
    <w:p w14:paraId="6817460B" w14:textId="366FBDFC" w:rsidR="00134C78" w:rsidRPr="004276B3" w:rsidRDefault="00134C78" w:rsidP="00030A55">
      <w:pPr>
        <w:pStyle w:val="FootnoteText"/>
        <w:ind w:left="567" w:hanging="567"/>
        <w:rPr>
          <w:i/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proofErr w:type="spellStart"/>
      <w:r w:rsidR="00225671" w:rsidRPr="001C7B54">
        <w:rPr>
          <w:sz w:val="24"/>
          <w:szCs w:val="24"/>
        </w:rPr>
        <w:t>Úř</w:t>
      </w:r>
      <w:proofErr w:type="spellEnd"/>
      <w:r w:rsidR="00225671" w:rsidRPr="001C7B54">
        <w:rPr>
          <w:sz w:val="24"/>
          <w:szCs w:val="24"/>
        </w:rPr>
        <w:t xml:space="preserve">. </w:t>
      </w:r>
      <w:proofErr w:type="spellStart"/>
      <w:proofErr w:type="gramStart"/>
      <w:r w:rsidR="00225671" w:rsidRPr="001C7B54">
        <w:rPr>
          <w:sz w:val="24"/>
          <w:szCs w:val="24"/>
        </w:rPr>
        <w:t>věst</w:t>
      </w:r>
      <w:proofErr w:type="spellEnd"/>
      <w:proofErr w:type="gramEnd"/>
      <w:r w:rsidR="00225671" w:rsidRPr="001C7B54">
        <w:rPr>
          <w:sz w:val="24"/>
          <w:szCs w:val="24"/>
        </w:rPr>
        <w:t>. C 125, 5.4.2023, s. 124</w:t>
      </w:r>
      <w:r w:rsidRPr="004276B3">
        <w:rPr>
          <w:sz w:val="24"/>
          <w:szCs w:val="24"/>
          <w:lang w:val="cs-CZ"/>
        </w:rPr>
        <w:t>.</w:t>
      </w:r>
    </w:p>
  </w:footnote>
  <w:footnote w:id="2">
    <w:p w14:paraId="5FE707D5" w14:textId="419F1D6C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Přijaté texty</w:t>
      </w:r>
      <w:r w:rsidR="00C41758" w:rsidRPr="004276B3">
        <w:rPr>
          <w:sz w:val="24"/>
          <w:szCs w:val="24"/>
          <w:lang w:val="cs-CZ"/>
        </w:rPr>
        <w:t>,</w:t>
      </w:r>
      <w:r w:rsidRPr="004276B3">
        <w:rPr>
          <w:sz w:val="24"/>
          <w:szCs w:val="24"/>
          <w:lang w:val="cs-CZ"/>
        </w:rPr>
        <w:t xml:space="preserve"> P10_</w:t>
      </w:r>
      <w:proofErr w:type="gramStart"/>
      <w:r w:rsidRPr="004276B3">
        <w:rPr>
          <w:sz w:val="24"/>
          <w:szCs w:val="24"/>
          <w:lang w:val="cs-CZ"/>
        </w:rPr>
        <w:t>TA(</w:t>
      </w:r>
      <w:proofErr w:type="gramEnd"/>
      <w:r w:rsidRPr="004276B3">
        <w:rPr>
          <w:sz w:val="24"/>
          <w:szCs w:val="24"/>
          <w:lang w:val="cs-CZ"/>
        </w:rPr>
        <w:t>2025)0065.</w:t>
      </w:r>
    </w:p>
  </w:footnote>
  <w:footnote w:id="3">
    <w:p w14:paraId="3D246F8A" w14:textId="4F6967B3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Evropského parlamentu a Rady (EU) 2018/1999 ze dne 11. prosince 2018 o správě energetické unie a opatření v oblasti klimatu, kterým se mění nařízení Evropského parlamentu a Rady (ES) č. 663/2009 a (ES) č. 715/2009, směrnice Evropského parlamentu a Rady 94/22/ES, 98/70/ES, 2009/31/ES, 2009/73/ES, 2010/31/EU, 2012/27/EU a 2013/30/EU, směrnice Rady 2009/119/ES a (EU) 2015/652 a zrušuje nařízení Evropského parlamentu a Rady (EU) č. 525/2013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>. 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 L 328, 21.12.2018, s. 1, ELI: </w:t>
      </w:r>
      <w:r w:rsidR="00EB0684">
        <w:fldChar w:fldCharType="begin"/>
      </w:r>
      <w:r w:rsidR="00EB0684" w:rsidRPr="00EB0684">
        <w:rPr>
          <w:lang w:val="fi-FI"/>
        </w:rPr>
        <w:instrText>HYPERLINK "http://data.europa.eu/eli/reg/2018/1999/oj"</w:instrText>
      </w:r>
      <w:r w:rsidR="00EB0684">
        <w:fldChar w:fldCharType="separate"/>
      </w:r>
      <w:r w:rsidRPr="004276B3">
        <w:rPr>
          <w:rStyle w:val="Hyperlink"/>
          <w:sz w:val="24"/>
          <w:szCs w:val="24"/>
          <w:lang w:val="cs-CZ"/>
        </w:rPr>
        <w:t>http://data.europa.eu/eli/reg/2018/1999/oj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4">
    <w:p w14:paraId="39D7CFF5" w14:textId="5FE3D1B5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Směrnice Rady 2003/96/ES ze dne 27. října 2003, kterou se mění struktura rámcových předpisů Společenství o zdanění energetických produktů a elektřiny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>. 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 L 283, 31.10.2003, s. 51, ELI: </w:t>
      </w:r>
      <w:r w:rsidR="00EB0684">
        <w:fldChar w:fldCharType="begin"/>
      </w:r>
      <w:r w:rsidR="00EB0684" w:rsidRPr="00EB0684">
        <w:rPr>
          <w:lang w:val="fi-FI"/>
        </w:rPr>
        <w:instrText>HYPERLINK "http://data.europa.eu/eli/dir/2003/96/oj"</w:instrText>
      </w:r>
      <w:r w:rsidR="00EB0684">
        <w:fldChar w:fldCharType="separate"/>
      </w:r>
      <w:r w:rsidRPr="004276B3">
        <w:rPr>
          <w:rStyle w:val="Hyperlink"/>
          <w:sz w:val="24"/>
          <w:szCs w:val="24"/>
          <w:lang w:val="cs-CZ"/>
        </w:rPr>
        <w:t>http://data.europa.eu/eli/dir/2003/96/oj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5">
    <w:p w14:paraId="2751C724" w14:textId="38790E0F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Směrnice Evropského parlamentu a Rady (EU) 2023/2413 ze dne 18. října 2023, kterou se mění směrnice (EU) 2018/2001, nařízení (EU) 2018/1999 a směrnice 98/70/ES, pokud jde o podporu energie z obnovitelných zdrojů, a zrušuje směrnice Rady (EU) 2015/652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>. 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>. L, 2023/2413, 31.10.2023, ELI: </w:t>
      </w:r>
      <w:r w:rsidR="00EB0684">
        <w:fldChar w:fldCharType="begin"/>
      </w:r>
      <w:r w:rsidR="00EB0684" w:rsidRPr="00EB0684">
        <w:rPr>
          <w:lang w:val="cs-CZ"/>
        </w:rPr>
        <w:instrText>HYPERLINK "http://data.europa.eu/eli/dir/2023/2413/oj"</w:instrText>
      </w:r>
      <w:r w:rsidR="00EB0684">
        <w:fldChar w:fldCharType="separate"/>
      </w:r>
      <w:r w:rsidR="00CF5F82" w:rsidRPr="004276B3">
        <w:rPr>
          <w:rStyle w:val="Hyperlink"/>
          <w:sz w:val="24"/>
          <w:szCs w:val="24"/>
          <w:lang w:val="cs-CZ"/>
        </w:rPr>
        <w:t>http://data.europa.eu/</w:t>
      </w:r>
      <w:r w:rsidR="00CF5F82" w:rsidRPr="004276B3">
        <w:rPr>
          <w:rStyle w:val="Hyperlink"/>
          <w:sz w:val="24"/>
          <w:szCs w:val="24"/>
          <w:lang w:val="cs-CZ"/>
        </w:rPr>
        <w:br/>
      </w:r>
      <w:proofErr w:type="spellStart"/>
      <w:r w:rsidR="00CF5F82" w:rsidRPr="004276B3">
        <w:rPr>
          <w:rStyle w:val="Hyperlink"/>
          <w:sz w:val="24"/>
          <w:szCs w:val="24"/>
          <w:lang w:val="cs-CZ"/>
        </w:rPr>
        <w:t>eli</w:t>
      </w:r>
      <w:proofErr w:type="spellEnd"/>
      <w:r w:rsidR="00CF5F82" w:rsidRPr="004276B3">
        <w:rPr>
          <w:rStyle w:val="Hyperlink"/>
          <w:sz w:val="24"/>
          <w:szCs w:val="24"/>
          <w:lang w:val="cs-CZ"/>
        </w:rPr>
        <w:t>/</w:t>
      </w:r>
      <w:proofErr w:type="spellStart"/>
      <w:r w:rsidR="00CF5F82" w:rsidRPr="004276B3">
        <w:rPr>
          <w:rStyle w:val="Hyperlink"/>
          <w:sz w:val="24"/>
          <w:szCs w:val="24"/>
          <w:lang w:val="cs-CZ"/>
        </w:rPr>
        <w:t>dir</w:t>
      </w:r>
      <w:proofErr w:type="spellEnd"/>
      <w:r w:rsidR="00CF5F82" w:rsidRPr="004276B3">
        <w:rPr>
          <w:rStyle w:val="Hyperlink"/>
          <w:sz w:val="24"/>
          <w:szCs w:val="24"/>
          <w:lang w:val="cs-CZ"/>
        </w:rPr>
        <w:t>/2023/2413/oj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6">
    <w:p w14:paraId="07518174" w14:textId="77D82A5C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Evropského parlamentu a Rady (EU) 2024/1735 ze dne 13. června 2024, kterým se zřizuje rámec opatření pro posílení evropského ekosystému výroby technologií pro nulové čisté emise a mění nařízení (EU) 2018/1724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 xml:space="preserve">. 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 L, 2024/1735, 28.6.2024, ELI: </w:t>
      </w:r>
      <w:r w:rsidR="00EB0684">
        <w:fldChar w:fldCharType="begin"/>
      </w:r>
      <w:r w:rsidR="00EB0684" w:rsidRPr="00EB0684">
        <w:rPr>
          <w:lang w:val="cs-CZ"/>
        </w:rPr>
        <w:instrText>HYPERLINK "http://data.europa.eu/eli/reg/2024/1735/oj"</w:instrText>
      </w:r>
      <w:r w:rsidR="00EB0684">
        <w:fldChar w:fldCharType="separate"/>
      </w:r>
      <w:r w:rsidRPr="004276B3">
        <w:rPr>
          <w:rStyle w:val="Hyperlink"/>
          <w:sz w:val="24"/>
          <w:szCs w:val="24"/>
          <w:lang w:val="cs-CZ"/>
        </w:rPr>
        <w:t>http://data.europa.eu/eli/reg/2024/1735/oj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7">
    <w:p w14:paraId="5CDFFCA8" w14:textId="72511176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Směrnice Evropského parlamentu a Rady (EU) 2024/1788 ze dne 13. června 2024 o společných pravidlech pro vnitřní trh s plynem z obnovitelných zdrojů, zemním plynem a vodíkem a o změně směrnice (EU) 2023/1791 a o zrušení směrnice 2009/73/ES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 xml:space="preserve">. 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>. L, 2024/1788, 15.7.2024, ELI:</w:t>
      </w:r>
      <w:r w:rsidR="00EB0684">
        <w:fldChar w:fldCharType="begin"/>
      </w:r>
      <w:r w:rsidR="00EB0684" w:rsidRPr="00EB0684">
        <w:rPr>
          <w:lang w:val="cs-CZ"/>
        </w:rPr>
        <w:instrText>HYPERLINK "%20http://data.europa.eu/eli/dir/2024/1788/oj"</w:instrText>
      </w:r>
      <w:r w:rsidR="00EB0684">
        <w:fldChar w:fldCharType="separate"/>
      </w:r>
      <w:r w:rsidR="00CF5F82" w:rsidRPr="004276B3">
        <w:rPr>
          <w:rStyle w:val="Hyperlink"/>
          <w:sz w:val="24"/>
          <w:szCs w:val="24"/>
          <w:lang w:val="cs-CZ"/>
        </w:rPr>
        <w:t xml:space="preserve"> http://data.europa.eu/eli/dir/</w:t>
      </w:r>
      <w:r w:rsidR="00CF5F82" w:rsidRPr="004276B3">
        <w:rPr>
          <w:rStyle w:val="Hyperlink"/>
          <w:sz w:val="24"/>
          <w:szCs w:val="24"/>
          <w:lang w:val="cs-CZ"/>
        </w:rPr>
        <w:br/>
        <w:t>2024/1788/oj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8">
    <w:p w14:paraId="17EC97BE" w14:textId="5FE4B6D9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Komise v přenesené pravomoci (EU) 2023/1184 ze dne 10. února 2023, kterým se doplňuje směrnice Evropského parlamentu a Rady (EU) 2018/2001 stanovením unijní metodiky, v níž jsou vymezena podrobná pravidla pro výrobu kapalných a plynných paliv z obnovitelných zdrojů nebiologického původu používaných v odvětví dopravy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>. 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 L 157, 20.6.2023, s. 11, ELI: </w:t>
      </w:r>
      <w:r w:rsidR="00EB0684">
        <w:fldChar w:fldCharType="begin"/>
      </w:r>
      <w:r w:rsidR="00EB0684" w:rsidRPr="00EB0684">
        <w:rPr>
          <w:lang w:val="fi-FI"/>
        </w:rPr>
        <w:instrText>HYPERLINK "http://data.europa.eu/eli/reg_del/2023/1184/oj"</w:instrText>
      </w:r>
      <w:r w:rsidR="00EB0684">
        <w:fldChar w:fldCharType="separate"/>
      </w:r>
      <w:r w:rsidRPr="004276B3">
        <w:rPr>
          <w:rStyle w:val="Hyperlink"/>
          <w:sz w:val="24"/>
          <w:szCs w:val="24"/>
          <w:lang w:val="cs-CZ"/>
        </w:rPr>
        <w:t>http://data.europa.eu/eli/reg_del/2023/1184/oj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9">
    <w:p w14:paraId="6A861E46" w14:textId="1A55628B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Evropského parlamentu a Rady (EU) 2024/1781 ze dne 13. června 2024 o vytvoření rámce pro stanovení požadavků na ekodesign udržitelných výrobků, o změně směrnice (EU) 2020/1828 a nařízení (EU) 2023/1542 a o zrušení směrnice 2009/125/ES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 xml:space="preserve">. 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 L, 2024/1781, 28.6.2024, ELI: </w:t>
      </w:r>
      <w:r w:rsidR="00EB0684">
        <w:fldChar w:fldCharType="begin"/>
      </w:r>
      <w:r w:rsidR="00EB0684" w:rsidRPr="00EB0684">
        <w:rPr>
          <w:lang w:val="cs-CZ"/>
        </w:rPr>
        <w:instrText>HYPERLINK "http://data.europa.eu/eli/reg/2024/1781/oj"</w:instrText>
      </w:r>
      <w:r w:rsidR="00EB0684">
        <w:fldChar w:fldCharType="separate"/>
      </w:r>
      <w:r w:rsidR="00CF5F82" w:rsidRPr="004276B3">
        <w:rPr>
          <w:rStyle w:val="Hyperlink"/>
          <w:sz w:val="24"/>
          <w:szCs w:val="24"/>
          <w:lang w:val="cs-CZ"/>
        </w:rPr>
        <w:t>http://data.europa.eu/eli/</w:t>
      </w:r>
      <w:r w:rsidR="00CF5F82" w:rsidRPr="004276B3">
        <w:rPr>
          <w:rStyle w:val="Hyperlink"/>
          <w:sz w:val="24"/>
          <w:szCs w:val="24"/>
          <w:lang w:val="cs-CZ"/>
        </w:rPr>
        <w:br/>
      </w:r>
      <w:proofErr w:type="spellStart"/>
      <w:r w:rsidR="00CF5F82" w:rsidRPr="004276B3">
        <w:rPr>
          <w:rStyle w:val="Hyperlink"/>
          <w:sz w:val="24"/>
          <w:szCs w:val="24"/>
          <w:lang w:val="cs-CZ"/>
        </w:rPr>
        <w:t>reg</w:t>
      </w:r>
      <w:proofErr w:type="spellEnd"/>
      <w:r w:rsidR="00CF5F82" w:rsidRPr="004276B3">
        <w:rPr>
          <w:rStyle w:val="Hyperlink"/>
          <w:sz w:val="24"/>
          <w:szCs w:val="24"/>
          <w:lang w:val="cs-CZ"/>
        </w:rPr>
        <w:t>/2024/1781/oj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10">
    <w:p w14:paraId="364463DC" w14:textId="385CDDB0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sz w:val="24"/>
          <w:szCs w:val="24"/>
          <w:vertAlign w:val="superscript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Evropského parlamentu a Rady (EU) 2024/3110 ze dne 27. listopadu 2024, kterým se stanoví harmonizovaná pravidla pro uvádění stavebních výrobků na trh a zrušuje nařízení (EU) č. 305/2011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>. 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 L, 2024/3110, 18.12.2024, ELI: </w:t>
      </w:r>
      <w:r w:rsidR="00EB0684">
        <w:fldChar w:fldCharType="begin"/>
      </w:r>
      <w:r w:rsidR="00EB0684" w:rsidRPr="00EB0684">
        <w:rPr>
          <w:lang w:val="cs-CZ"/>
        </w:rPr>
        <w:instrText>HYPERLINK "http://data.europa.eu/eli/reg/2024/3110/oj"</w:instrText>
      </w:r>
      <w:r w:rsidR="00EB0684">
        <w:fldChar w:fldCharType="separate"/>
      </w:r>
      <w:r w:rsidRPr="004276B3">
        <w:rPr>
          <w:rStyle w:val="Hyperlink"/>
          <w:sz w:val="24"/>
          <w:szCs w:val="24"/>
          <w:lang w:val="cs-CZ"/>
        </w:rPr>
        <w:t>http://data.europa.eu/eli/reg/2024/3110/oj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11">
    <w:p w14:paraId="78B7AF22" w14:textId="267876F1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Evropského parlamentu a Rady (EU) 2024/1252 ze dne 11. dubna 2024, kterým se stanoví rámec pro zajištění bezpečných a udržitelných dodávek kritických surovin a mění nařízení (EU) č. 168/2013, (EU) 2018/858, (EU) 2018/1724 a (EU) 2019/1020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 xml:space="preserve">. 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>. L, 2024/1252, 3.5.2024, ELI: </w:t>
      </w:r>
      <w:r w:rsidR="00EB0684">
        <w:fldChar w:fldCharType="begin"/>
      </w:r>
      <w:r w:rsidR="00EB0684" w:rsidRPr="00EB0684">
        <w:rPr>
          <w:lang w:val="cs-CZ"/>
        </w:rPr>
        <w:instrText>HYPERLINK "http://data.europa.eu/eli/reg/2024/1252/oj"</w:instrText>
      </w:r>
      <w:r w:rsidR="00EB0684">
        <w:fldChar w:fldCharType="separate"/>
      </w:r>
      <w:r w:rsidR="00CF5F82" w:rsidRPr="004276B3">
        <w:rPr>
          <w:rStyle w:val="Hyperlink"/>
          <w:sz w:val="24"/>
          <w:szCs w:val="24"/>
          <w:lang w:val="cs-CZ"/>
        </w:rPr>
        <w:t>http://data.europa.eu/eli/reg/</w:t>
      </w:r>
      <w:r w:rsidR="00CF5F82" w:rsidRPr="004276B3">
        <w:rPr>
          <w:rStyle w:val="Hyperlink"/>
          <w:sz w:val="24"/>
          <w:szCs w:val="24"/>
          <w:lang w:val="cs-CZ"/>
        </w:rPr>
        <w:br/>
        <w:t>2024/1252/oj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12">
    <w:p w14:paraId="39C69EBE" w14:textId="2049C474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Evropského parlamentu a Rady (EU) 2024/1157 ze dne 11. dubna 2024 o přepravě odpadů, o změně nařízení (EU) č. 1257/2013 a (EU) 2020/1056 a o zrušení nařízení (ES) č. 1013/2006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>. 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 L, 2024/1157, 30.4.2024, ELI: </w:t>
      </w:r>
      <w:r w:rsidR="00EB0684">
        <w:fldChar w:fldCharType="begin"/>
      </w:r>
      <w:r w:rsidR="00EB0684" w:rsidRPr="00EB0684">
        <w:rPr>
          <w:lang w:val="cs-CZ"/>
        </w:rPr>
        <w:instrText>HYPERLINK "http://data.europa.eu/eli/reg/2024/1157/oj"</w:instrText>
      </w:r>
      <w:r w:rsidR="00EB0684">
        <w:fldChar w:fldCharType="separate"/>
      </w:r>
      <w:r w:rsidR="00CF5F82" w:rsidRPr="004276B3">
        <w:rPr>
          <w:rStyle w:val="Hyperlink"/>
          <w:sz w:val="24"/>
          <w:szCs w:val="24"/>
          <w:lang w:val="cs-CZ"/>
        </w:rPr>
        <w:t>http://data.europa.</w:t>
      </w:r>
      <w:r w:rsidR="00CF5F82" w:rsidRPr="004276B3">
        <w:rPr>
          <w:rStyle w:val="Hyperlink"/>
          <w:sz w:val="24"/>
          <w:szCs w:val="24"/>
          <w:lang w:val="cs-CZ"/>
        </w:rPr>
        <w:br/>
      </w:r>
      <w:proofErr w:type="spellStart"/>
      <w:r w:rsidR="00CF5F82" w:rsidRPr="004276B3">
        <w:rPr>
          <w:rStyle w:val="Hyperlink"/>
          <w:sz w:val="24"/>
          <w:szCs w:val="24"/>
          <w:lang w:val="cs-CZ"/>
        </w:rPr>
        <w:t>eu</w:t>
      </w:r>
      <w:proofErr w:type="spellEnd"/>
      <w:r w:rsidR="00CF5F82" w:rsidRPr="004276B3">
        <w:rPr>
          <w:rStyle w:val="Hyperlink"/>
          <w:sz w:val="24"/>
          <w:szCs w:val="24"/>
          <w:lang w:val="cs-CZ"/>
        </w:rPr>
        <w:t>/</w:t>
      </w:r>
      <w:proofErr w:type="spellStart"/>
      <w:r w:rsidR="00CF5F82" w:rsidRPr="004276B3">
        <w:rPr>
          <w:rStyle w:val="Hyperlink"/>
          <w:sz w:val="24"/>
          <w:szCs w:val="24"/>
          <w:lang w:val="cs-CZ"/>
        </w:rPr>
        <w:t>eli</w:t>
      </w:r>
      <w:proofErr w:type="spellEnd"/>
      <w:r w:rsidR="00CF5F82" w:rsidRPr="004276B3">
        <w:rPr>
          <w:rStyle w:val="Hyperlink"/>
          <w:sz w:val="24"/>
          <w:szCs w:val="24"/>
          <w:lang w:val="cs-CZ"/>
        </w:rPr>
        <w:t>/</w:t>
      </w:r>
      <w:proofErr w:type="spellStart"/>
      <w:r w:rsidR="00CF5F82" w:rsidRPr="004276B3">
        <w:rPr>
          <w:rStyle w:val="Hyperlink"/>
          <w:sz w:val="24"/>
          <w:szCs w:val="24"/>
          <w:lang w:val="cs-CZ"/>
        </w:rPr>
        <w:t>reg</w:t>
      </w:r>
      <w:proofErr w:type="spellEnd"/>
      <w:r w:rsidR="00CF5F82" w:rsidRPr="004276B3">
        <w:rPr>
          <w:rStyle w:val="Hyperlink"/>
          <w:sz w:val="24"/>
          <w:szCs w:val="24"/>
          <w:lang w:val="cs-CZ"/>
        </w:rPr>
        <w:t>/2024/1157/oj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  <w:footnote w:id="13">
    <w:p w14:paraId="13C4AE60" w14:textId="5404A084" w:rsidR="00134C78" w:rsidRPr="004276B3" w:rsidRDefault="00134C78" w:rsidP="00030A55">
      <w:pPr>
        <w:pStyle w:val="FootnoteText"/>
        <w:ind w:left="567" w:hanging="567"/>
        <w:rPr>
          <w:sz w:val="24"/>
          <w:szCs w:val="24"/>
          <w:lang w:val="cs-CZ"/>
        </w:rPr>
      </w:pPr>
      <w:r w:rsidRPr="004276B3">
        <w:rPr>
          <w:rStyle w:val="FootnoteReference"/>
          <w:sz w:val="24"/>
          <w:szCs w:val="24"/>
          <w:lang w:val="cs-CZ"/>
        </w:rPr>
        <w:footnoteRef/>
      </w:r>
      <w:r w:rsidR="00030A55" w:rsidRPr="004276B3">
        <w:rPr>
          <w:sz w:val="24"/>
          <w:szCs w:val="24"/>
          <w:lang w:val="cs-CZ"/>
        </w:rPr>
        <w:t xml:space="preserve"> </w:t>
      </w:r>
      <w:r w:rsidR="00030A55" w:rsidRPr="004276B3">
        <w:rPr>
          <w:sz w:val="24"/>
          <w:szCs w:val="24"/>
          <w:lang w:val="cs-CZ"/>
        </w:rPr>
        <w:tab/>
      </w:r>
      <w:r w:rsidRPr="004276B3">
        <w:rPr>
          <w:sz w:val="24"/>
          <w:szCs w:val="24"/>
          <w:lang w:val="cs-CZ"/>
        </w:rPr>
        <w:t>Nařízení Evropského parlamentu a Rady (EU) 2022/2560 ze dne 14. prosince 2022 o zahraničních subvencích narušujících vnitřní trh (</w:t>
      </w:r>
      <w:proofErr w:type="spellStart"/>
      <w:r w:rsidRPr="004276B3">
        <w:rPr>
          <w:sz w:val="24"/>
          <w:szCs w:val="24"/>
          <w:lang w:val="cs-CZ"/>
        </w:rPr>
        <w:t>Úř</w:t>
      </w:r>
      <w:proofErr w:type="spellEnd"/>
      <w:r w:rsidRPr="004276B3">
        <w:rPr>
          <w:sz w:val="24"/>
          <w:szCs w:val="24"/>
          <w:lang w:val="cs-CZ"/>
        </w:rPr>
        <w:t>. </w:t>
      </w:r>
      <w:proofErr w:type="spellStart"/>
      <w:r w:rsidRPr="004276B3">
        <w:rPr>
          <w:sz w:val="24"/>
          <w:szCs w:val="24"/>
          <w:lang w:val="cs-CZ"/>
        </w:rPr>
        <w:t>věst</w:t>
      </w:r>
      <w:proofErr w:type="spellEnd"/>
      <w:r w:rsidRPr="004276B3">
        <w:rPr>
          <w:sz w:val="24"/>
          <w:szCs w:val="24"/>
          <w:lang w:val="cs-CZ"/>
        </w:rPr>
        <w:t xml:space="preserve">. L 330, 23.12.2022, s. 1, ELI: </w:t>
      </w:r>
      <w:r w:rsidR="00EB0684">
        <w:fldChar w:fldCharType="begin"/>
      </w:r>
      <w:r w:rsidR="00EB0684" w:rsidRPr="00EB0684">
        <w:rPr>
          <w:lang w:val="fi-FI"/>
        </w:rPr>
        <w:instrText>HYPERLINK "http://data.europa.eu/eli/reg/2022/2560/oj"</w:instrText>
      </w:r>
      <w:r w:rsidR="00EB0684">
        <w:fldChar w:fldCharType="separate"/>
      </w:r>
      <w:r w:rsidRPr="004276B3">
        <w:rPr>
          <w:rStyle w:val="Hyperlink"/>
          <w:sz w:val="24"/>
          <w:szCs w:val="24"/>
          <w:lang w:val="cs-CZ"/>
        </w:rPr>
        <w:t>http://data.europa.eu/eli/reg/2022/2560/oj</w:t>
      </w:r>
      <w:r w:rsidR="00EB0684">
        <w:rPr>
          <w:rStyle w:val="Hyperlink"/>
          <w:sz w:val="24"/>
          <w:szCs w:val="24"/>
          <w:lang w:val="cs-CZ"/>
        </w:rPr>
        <w:fldChar w:fldCharType="end"/>
      </w:r>
      <w:r w:rsidRPr="004276B3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1489" w14:textId="77777777" w:rsidR="00064002" w:rsidRPr="00030A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4B055" w14:textId="77777777" w:rsidR="00064002" w:rsidRPr="00030A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F75CE" w14:textId="77777777" w:rsidR="00064002" w:rsidRPr="00030A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8068986">
    <w:abstractNumId w:val="9"/>
  </w:num>
  <w:num w:numId="2" w16cid:durableId="218787532">
    <w:abstractNumId w:val="9"/>
  </w:num>
  <w:num w:numId="3" w16cid:durableId="673067142">
    <w:abstractNumId w:val="7"/>
  </w:num>
  <w:num w:numId="4" w16cid:durableId="1030837626">
    <w:abstractNumId w:val="7"/>
  </w:num>
  <w:num w:numId="5" w16cid:durableId="1076317245">
    <w:abstractNumId w:val="6"/>
  </w:num>
  <w:num w:numId="6" w16cid:durableId="1438671917">
    <w:abstractNumId w:val="6"/>
  </w:num>
  <w:num w:numId="7" w16cid:durableId="323096894">
    <w:abstractNumId w:val="5"/>
  </w:num>
  <w:num w:numId="8" w16cid:durableId="113604063">
    <w:abstractNumId w:val="5"/>
  </w:num>
  <w:num w:numId="9" w16cid:durableId="2029212017">
    <w:abstractNumId w:val="4"/>
  </w:num>
  <w:num w:numId="10" w16cid:durableId="1230380124">
    <w:abstractNumId w:val="4"/>
  </w:num>
  <w:num w:numId="11" w16cid:durableId="1844586095">
    <w:abstractNumId w:val="8"/>
  </w:num>
  <w:num w:numId="12" w16cid:durableId="1947156928">
    <w:abstractNumId w:val="8"/>
  </w:num>
  <w:num w:numId="13" w16cid:durableId="50926937">
    <w:abstractNumId w:val="3"/>
  </w:num>
  <w:num w:numId="14" w16cid:durableId="235437066">
    <w:abstractNumId w:val="3"/>
  </w:num>
  <w:num w:numId="15" w16cid:durableId="1698430977">
    <w:abstractNumId w:val="2"/>
  </w:num>
  <w:num w:numId="16" w16cid:durableId="1766995299">
    <w:abstractNumId w:val="2"/>
  </w:num>
  <w:num w:numId="17" w16cid:durableId="1748571930">
    <w:abstractNumId w:val="1"/>
  </w:num>
  <w:num w:numId="18" w16cid:durableId="1923640459">
    <w:abstractNumId w:val="1"/>
  </w:num>
  <w:num w:numId="19" w16cid:durableId="1659773773">
    <w:abstractNumId w:val="0"/>
  </w:num>
  <w:num w:numId="20" w16cid:durableId="1269965479">
    <w:abstractNumId w:val="0"/>
  </w:num>
  <w:num w:numId="21" w16cid:durableId="1470902669">
    <w:abstractNumId w:val="9"/>
  </w:num>
  <w:num w:numId="22" w16cid:durableId="127356370">
    <w:abstractNumId w:val="7"/>
  </w:num>
  <w:num w:numId="23" w16cid:durableId="1352685421">
    <w:abstractNumId w:val="6"/>
  </w:num>
  <w:num w:numId="24" w16cid:durableId="782113401">
    <w:abstractNumId w:val="5"/>
  </w:num>
  <w:num w:numId="25" w16cid:durableId="716441345">
    <w:abstractNumId w:val="4"/>
  </w:num>
  <w:num w:numId="26" w16cid:durableId="2078551664">
    <w:abstractNumId w:val="8"/>
  </w:num>
  <w:num w:numId="27" w16cid:durableId="1599875248">
    <w:abstractNumId w:val="3"/>
  </w:num>
  <w:num w:numId="28" w16cid:durableId="1219626954">
    <w:abstractNumId w:val="2"/>
  </w:num>
  <w:num w:numId="29" w16cid:durableId="1643653562">
    <w:abstractNumId w:val="1"/>
  </w:num>
  <w:num w:numId="30" w16cid:durableId="1762607858">
    <w:abstractNumId w:val="0"/>
  </w:num>
  <w:num w:numId="31" w16cid:durableId="1834878070">
    <w:abstractNumId w:val="9"/>
  </w:num>
  <w:num w:numId="32" w16cid:durableId="1500072395">
    <w:abstractNumId w:val="7"/>
  </w:num>
  <w:num w:numId="33" w16cid:durableId="202251915">
    <w:abstractNumId w:val="6"/>
  </w:num>
  <w:num w:numId="34" w16cid:durableId="2079475877">
    <w:abstractNumId w:val="5"/>
  </w:num>
  <w:num w:numId="35" w16cid:durableId="831212884">
    <w:abstractNumId w:val="4"/>
  </w:num>
  <w:num w:numId="36" w16cid:durableId="88694849">
    <w:abstractNumId w:val="8"/>
  </w:num>
  <w:num w:numId="37" w16cid:durableId="1711147715">
    <w:abstractNumId w:val="3"/>
  </w:num>
  <w:num w:numId="38" w16cid:durableId="1237590594">
    <w:abstractNumId w:val="2"/>
  </w:num>
  <w:num w:numId="39" w16cid:durableId="1300693370">
    <w:abstractNumId w:val="1"/>
  </w:num>
  <w:num w:numId="40" w16cid:durableId="974532040">
    <w:abstractNumId w:val="0"/>
  </w:num>
  <w:num w:numId="41" w16cid:durableId="2103797119">
    <w:abstractNumId w:val="10"/>
  </w:num>
  <w:num w:numId="42" w16cid:durableId="1353992248">
    <w:abstractNumId w:val="10"/>
  </w:num>
  <w:num w:numId="43" w16cid:durableId="1876573639">
    <w:abstractNumId w:val="10"/>
  </w:num>
  <w:num w:numId="44" w16cid:durableId="1016422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77/2025"/>
    <w:docVar w:name="dvlangue" w:val="CS"/>
    <w:docVar w:name="dvnumam" w:val="0"/>
    <w:docVar w:name="dvpe" w:val="773.358"/>
    <w:docVar w:name="dvtitre" w:val="Usnesení Evropského parlamentu ze dne 19. června 2025 o Dohodě o čistém průmyslu(2025/2656(RSP))"/>
  </w:docVars>
  <w:rsids>
    <w:rsidRoot w:val="00583456"/>
    <w:rsid w:val="00002272"/>
    <w:rsid w:val="00030A55"/>
    <w:rsid w:val="00064002"/>
    <w:rsid w:val="000677B9"/>
    <w:rsid w:val="000831BA"/>
    <w:rsid w:val="000A42CC"/>
    <w:rsid w:val="000E7DD9"/>
    <w:rsid w:val="0010095E"/>
    <w:rsid w:val="00125B37"/>
    <w:rsid w:val="00134C78"/>
    <w:rsid w:val="00187494"/>
    <w:rsid w:val="001C7B54"/>
    <w:rsid w:val="001F32AE"/>
    <w:rsid w:val="00225671"/>
    <w:rsid w:val="002767FF"/>
    <w:rsid w:val="002B18FE"/>
    <w:rsid w:val="002B5493"/>
    <w:rsid w:val="002B5514"/>
    <w:rsid w:val="00343214"/>
    <w:rsid w:val="00361C00"/>
    <w:rsid w:val="00395FA1"/>
    <w:rsid w:val="003E15D4"/>
    <w:rsid w:val="00411CCE"/>
    <w:rsid w:val="0041666E"/>
    <w:rsid w:val="00421060"/>
    <w:rsid w:val="004276B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45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758"/>
    <w:rsid w:val="00C61C0C"/>
    <w:rsid w:val="00C941CB"/>
    <w:rsid w:val="00CC2357"/>
    <w:rsid w:val="00CF071A"/>
    <w:rsid w:val="00CF5F82"/>
    <w:rsid w:val="00D058B8"/>
    <w:rsid w:val="00D27851"/>
    <w:rsid w:val="00D56C11"/>
    <w:rsid w:val="00D834A0"/>
    <w:rsid w:val="00D872DF"/>
    <w:rsid w:val="00D91E21"/>
    <w:rsid w:val="00DA7FCD"/>
    <w:rsid w:val="00E365E1"/>
    <w:rsid w:val="00E820A4"/>
    <w:rsid w:val="00EB006A"/>
    <w:rsid w:val="00EB0684"/>
    <w:rsid w:val="00EB4772"/>
    <w:rsid w:val="00ED169E"/>
    <w:rsid w:val="00ED4235"/>
    <w:rsid w:val="00F04346"/>
    <w:rsid w:val="00F075DC"/>
    <w:rsid w:val="00F149E9"/>
    <w:rsid w:val="00F5134D"/>
    <w:rsid w:val="00F74202"/>
    <w:rsid w:val="00F8577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4471D"/>
  <w15:chartTrackingRefBased/>
  <w15:docId w15:val="{FDCDC533-0E9D-485E-BCDC-332D025D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34C7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34C78"/>
    <w:rPr>
      <w:color w:val="0000FF"/>
      <w:u w:val="single"/>
    </w:rPr>
  </w:style>
  <w:style w:type="paragraph" w:styleId="Revision">
    <w:name w:val="Revision"/>
    <w:hidden/>
    <w:uiPriority w:val="99"/>
    <w:semiHidden/>
    <w:rsid w:val="00225671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CF5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2587</Words>
  <Characters>15909</Characters>
  <Application>Microsoft Office Word</Application>
  <DocSecurity>0</DocSecurity>
  <Lines>132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2025-07-11T10:14:00Z</dcterms:created>
  <dcterms:modified xsi:type="dcterms:W3CDTF">2025-07-11T10:14:00Z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P10_TA(2025)0137_</vt:lpwstr>
  </property>
  <property fmtid="{D5CDD505-2E9C-101B-9397-08002B2CF9AE}" pid="4" name="&lt;Type&gt;">
    <vt:lpwstr>RR</vt:lpwstr>
  </property>
</Properties>
</file>