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B68" w:rsidTr="0010095E">
        <w:trPr>
          <w:trHeight w:hRule="exact" w:val="1418"/>
        </w:trPr>
        <w:tc>
          <w:tcPr>
            <w:tcW w:w="6804" w:type="dxa"/>
            <w:shd w:val="clear" w:color="auto" w:fill="auto"/>
            <w:vAlign w:val="center"/>
          </w:tcPr>
          <w:p w:rsidR="00751A4A" w:rsidRPr="00726B68" w:rsidRDefault="006A3FE9" w:rsidP="0010095E">
            <w:pPr>
              <w:pStyle w:val="EPName"/>
            </w:pPr>
            <w:r w:rsidRPr="00726B68">
              <w:t>Europa-Parlamentet</w:t>
            </w:r>
          </w:p>
          <w:p w:rsidR="00751A4A" w:rsidRPr="00726B68" w:rsidRDefault="005F1B17" w:rsidP="005F1B17">
            <w:pPr>
              <w:pStyle w:val="EPTerm"/>
              <w:rPr>
                <w:rStyle w:val="HideTWBExt"/>
                <w:noProof w:val="0"/>
                <w:vanish w:val="0"/>
                <w:color w:val="auto"/>
              </w:rPr>
            </w:pPr>
            <w:r w:rsidRPr="00726B68">
              <w:t>2024</w:t>
            </w:r>
            <w:r w:rsidR="00817416" w:rsidRPr="00726B68">
              <w:t>-202</w:t>
            </w:r>
            <w:r w:rsidRPr="00726B68">
              <w:t>9</w:t>
            </w:r>
          </w:p>
        </w:tc>
        <w:tc>
          <w:tcPr>
            <w:tcW w:w="2268" w:type="dxa"/>
            <w:shd w:val="clear" w:color="auto" w:fill="auto"/>
          </w:tcPr>
          <w:p w:rsidR="00751A4A" w:rsidRPr="00726B68" w:rsidRDefault="00187494" w:rsidP="0010095E">
            <w:pPr>
              <w:pStyle w:val="EPLogo"/>
            </w:pPr>
            <w:r w:rsidRPr="00726B68">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6B68" w:rsidRDefault="00D058B8" w:rsidP="004C5D52">
      <w:pPr>
        <w:pStyle w:val="LineTop"/>
      </w:pPr>
    </w:p>
    <w:p w:rsidR="00680577" w:rsidRPr="00726B68" w:rsidRDefault="006A3FE9" w:rsidP="00680577">
      <w:pPr>
        <w:pStyle w:val="EPBodyTA1"/>
      </w:pPr>
      <w:r w:rsidRPr="00726B68">
        <w:t>VEDTAGNE TEKSTER</w:t>
      </w:r>
    </w:p>
    <w:p w:rsidR="00D058B8" w:rsidRPr="00726B68" w:rsidRDefault="00D058B8" w:rsidP="00D058B8">
      <w:pPr>
        <w:pStyle w:val="LineBottom"/>
      </w:pPr>
    </w:p>
    <w:p w:rsidR="006A3FE9" w:rsidRPr="00726B68" w:rsidRDefault="006A3FE9" w:rsidP="006A3FE9">
      <w:pPr>
        <w:pStyle w:val="ATHeading1"/>
      </w:pPr>
      <w:bookmarkStart w:id="0" w:name="TANumber"/>
      <w:r w:rsidRPr="00726B68">
        <w:t>P10_</w:t>
      </w:r>
      <w:proofErr w:type="gramStart"/>
      <w:r w:rsidRPr="00726B68">
        <w:t>TA(</w:t>
      </w:r>
      <w:proofErr w:type="gramEnd"/>
      <w:r w:rsidRPr="00726B68">
        <w:t>2025)0</w:t>
      </w:r>
      <w:bookmarkEnd w:id="0"/>
      <w:r w:rsidR="00B80ABD">
        <w:t>137</w:t>
      </w:r>
    </w:p>
    <w:p w:rsidR="006A3FE9" w:rsidRPr="00726B68" w:rsidRDefault="00300EA0" w:rsidP="006A3FE9">
      <w:pPr>
        <w:pStyle w:val="ATHeading2"/>
      </w:pPr>
      <w:r>
        <w:t>A</w:t>
      </w:r>
      <w:r w:rsidRPr="00726B68">
        <w:t>ftalen om ren industri</w:t>
      </w:r>
    </w:p>
    <w:p w:rsidR="006A3FE9" w:rsidRPr="00726B68" w:rsidRDefault="006A3FE9" w:rsidP="006A3FE9">
      <w:pPr>
        <w:rPr>
          <w:i/>
          <w:vanish/>
        </w:rPr>
      </w:pPr>
      <w:r w:rsidRPr="00726B68">
        <w:rPr>
          <w:i/>
        </w:rPr>
        <w:fldChar w:fldCharType="begin"/>
      </w:r>
      <w:r w:rsidRPr="00726B68">
        <w:rPr>
          <w:i/>
        </w:rPr>
        <w:instrText xml:space="preserve"> TC"(</w:instrText>
      </w:r>
      <w:bookmarkStart w:id="1" w:name="DocNumber"/>
      <w:r w:rsidRPr="00726B68">
        <w:rPr>
          <w:i/>
        </w:rPr>
        <w:instrText>B10-0277/2025</w:instrText>
      </w:r>
      <w:bookmarkEnd w:id="1"/>
      <w:r w:rsidRPr="00726B68">
        <w:rPr>
          <w:i/>
        </w:rPr>
        <w:instrText xml:space="preserve">)"\l3 \n&gt; \* MERGEFORMAT </w:instrText>
      </w:r>
      <w:r w:rsidRPr="00726B68">
        <w:rPr>
          <w:i/>
        </w:rPr>
        <w:fldChar w:fldCharType="end"/>
      </w:r>
    </w:p>
    <w:p w:rsidR="006A3FE9" w:rsidRPr="00726B68" w:rsidRDefault="006A3FE9" w:rsidP="006A3FE9">
      <w:pPr>
        <w:rPr>
          <w:vanish/>
        </w:rPr>
      </w:pPr>
      <w:bookmarkStart w:id="2" w:name="PE"/>
      <w:r w:rsidRPr="00726B68">
        <w:rPr>
          <w:vanish/>
        </w:rPr>
        <w:t>PE773.358</w:t>
      </w:r>
      <w:bookmarkEnd w:id="2"/>
    </w:p>
    <w:p w:rsidR="006A3FE9" w:rsidRPr="00726B68" w:rsidRDefault="006A3FE9" w:rsidP="006A3FE9">
      <w:pPr>
        <w:pStyle w:val="ATHeading3"/>
      </w:pPr>
      <w:bookmarkStart w:id="3" w:name="Sujet"/>
      <w:r w:rsidRPr="00726B68">
        <w:t xml:space="preserve">Europa-Parlamentets beslutning af </w:t>
      </w:r>
      <w:r w:rsidR="00300EA0">
        <w:t>19</w:t>
      </w:r>
      <w:r w:rsidRPr="00726B68">
        <w:t>.</w:t>
      </w:r>
      <w:r w:rsidR="00300EA0">
        <w:t xml:space="preserve"> juni</w:t>
      </w:r>
      <w:r w:rsidRPr="00726B68">
        <w:t xml:space="preserve"> 2025 om aftalen om ren industri</w:t>
      </w:r>
      <w:bookmarkEnd w:id="3"/>
      <w:r w:rsidRPr="00726B68">
        <w:t xml:space="preserve"> </w:t>
      </w:r>
      <w:bookmarkStart w:id="4" w:name="References"/>
      <w:r w:rsidRPr="00726B68">
        <w:t>(2025/2656(RSP))</w:t>
      </w:r>
      <w:bookmarkEnd w:id="4"/>
    </w:p>
    <w:p w:rsidR="006A3FE9" w:rsidRPr="00726B68" w:rsidRDefault="006A3FE9" w:rsidP="006A3FE9"/>
    <w:p w:rsidR="00D9319E" w:rsidRPr="00726B68" w:rsidRDefault="00D9319E" w:rsidP="00D9319E">
      <w:pPr>
        <w:widowControl/>
        <w:suppressAutoHyphens/>
        <w:autoSpaceDN w:val="0"/>
        <w:spacing w:after="240"/>
        <w:jc w:val="both"/>
        <w:textAlignment w:val="baseline"/>
        <w:rPr>
          <w:szCs w:val="24"/>
        </w:rPr>
      </w:pPr>
      <w:bookmarkStart w:id="5" w:name="TextBodyBegin"/>
      <w:bookmarkEnd w:id="5"/>
      <w:r w:rsidRPr="00726B68">
        <w:rPr>
          <w:i/>
          <w:iCs/>
        </w:rPr>
        <w:t>Europa-Parlamentet</w:t>
      </w:r>
      <w:r w:rsidRPr="00726B68">
        <w:t>, </w:t>
      </w:r>
    </w:p>
    <w:p w:rsidR="00D9319E" w:rsidRPr="00726B68" w:rsidRDefault="00D9319E" w:rsidP="00D9319E">
      <w:pPr>
        <w:pStyle w:val="NormalHanging12a"/>
      </w:pPr>
      <w:r w:rsidRPr="00726B68">
        <w:t>–</w:t>
      </w:r>
      <w:r w:rsidRPr="00726B68">
        <w:tab/>
        <w:t xml:space="preserve">der henviser til Kommissionens meddelelse af 26. februar 2025 med titlen "Aftalen om ren industri: en fælles køreplan for </w:t>
      </w:r>
      <w:proofErr w:type="spellStart"/>
      <w:r w:rsidRPr="00726B68">
        <w:t>dekarbonisering</w:t>
      </w:r>
      <w:proofErr w:type="spellEnd"/>
      <w:r w:rsidRPr="00726B68">
        <w:t xml:space="preserve"> og konkurrenceevne" (</w:t>
      </w:r>
      <w:proofErr w:type="gramStart"/>
      <w:r w:rsidRPr="00726B68">
        <w:t>COM(</w:t>
      </w:r>
      <w:proofErr w:type="gramEnd"/>
      <w:r w:rsidRPr="00726B68">
        <w:t>2025)0085),</w:t>
      </w:r>
    </w:p>
    <w:p w:rsidR="00D9319E" w:rsidRPr="00726B68" w:rsidRDefault="00D9319E" w:rsidP="00D9319E">
      <w:pPr>
        <w:pStyle w:val="NormalHanging12a"/>
      </w:pPr>
      <w:r w:rsidRPr="00726B68">
        <w:t>–</w:t>
      </w:r>
      <w:r w:rsidRPr="00726B68">
        <w:tab/>
        <w:t>der henviser til Kommissionens meddelelse af 26. februar 2025 med titlen "Handlingsplan for energi til overkommelige priser – Udnyttelse af energiunionens sande værdi for at sikre alle europæere effektiv og ren energi til overkommelige priser" (</w:t>
      </w:r>
      <w:proofErr w:type="gramStart"/>
      <w:r w:rsidRPr="00726B68">
        <w:t>COM(</w:t>
      </w:r>
      <w:proofErr w:type="gramEnd"/>
      <w:r w:rsidRPr="00726B68">
        <w:t>2025)0079),</w:t>
      </w:r>
    </w:p>
    <w:p w:rsidR="00D9319E" w:rsidRPr="00726B68" w:rsidRDefault="00D9319E" w:rsidP="00D9319E">
      <w:pPr>
        <w:pStyle w:val="NormalHanging12a"/>
        <w:rPr>
          <w:szCs w:val="24"/>
        </w:rPr>
      </w:pPr>
      <w:r w:rsidRPr="00726B68">
        <w:t>–</w:t>
      </w:r>
      <w:r w:rsidRPr="00726B68">
        <w:tab/>
        <w:t xml:space="preserve">der henviser til Mario </w:t>
      </w:r>
      <w:proofErr w:type="spellStart"/>
      <w:r w:rsidRPr="00726B68">
        <w:t>Draghis</w:t>
      </w:r>
      <w:proofErr w:type="spellEnd"/>
      <w:r w:rsidRPr="00726B68">
        <w:t xml:space="preserve"> rapport af 9. september 2024 om fremtiden for den europæiske konkurrenceevne,</w:t>
      </w:r>
    </w:p>
    <w:p w:rsidR="00D9319E" w:rsidRPr="00726B68" w:rsidRDefault="00D9319E" w:rsidP="00D9319E">
      <w:pPr>
        <w:pStyle w:val="NormalHanging12a"/>
        <w:rPr>
          <w:szCs w:val="24"/>
        </w:rPr>
      </w:pPr>
      <w:r w:rsidRPr="00726B68">
        <w:t>–</w:t>
      </w:r>
      <w:r w:rsidRPr="00726B68">
        <w:tab/>
        <w:t xml:space="preserve">der henviser til Enrico </w:t>
      </w:r>
      <w:proofErr w:type="spellStart"/>
      <w:r w:rsidRPr="00726B68">
        <w:t>Lettas</w:t>
      </w:r>
      <w:proofErr w:type="spellEnd"/>
      <w:r w:rsidRPr="00726B68">
        <w:t xml:space="preserve"> rapport fra april 2024 med titlen "</w:t>
      </w:r>
      <w:proofErr w:type="spellStart"/>
      <w:r w:rsidRPr="00726B68">
        <w:t>Much</w:t>
      </w:r>
      <w:proofErr w:type="spellEnd"/>
      <w:r w:rsidRPr="00726B68">
        <w:t xml:space="preserve"> more </w:t>
      </w:r>
      <w:proofErr w:type="spellStart"/>
      <w:r w:rsidRPr="00726B68">
        <w:t>than</w:t>
      </w:r>
      <w:proofErr w:type="spellEnd"/>
      <w:r w:rsidRPr="00726B68">
        <w:t xml:space="preserve"> a </w:t>
      </w:r>
      <w:proofErr w:type="spellStart"/>
      <w:r w:rsidRPr="00726B68">
        <w:t>market</w:t>
      </w:r>
      <w:proofErr w:type="spellEnd"/>
      <w:r w:rsidRPr="00726B68">
        <w:t>",</w:t>
      </w:r>
    </w:p>
    <w:p w:rsidR="00D9319E" w:rsidRPr="00726B68" w:rsidRDefault="00D9319E" w:rsidP="00D9319E">
      <w:pPr>
        <w:pStyle w:val="NormalHanging12a"/>
        <w:rPr>
          <w:szCs w:val="24"/>
        </w:rPr>
      </w:pPr>
      <w:r w:rsidRPr="00726B68">
        <w:t>–</w:t>
      </w:r>
      <w:r w:rsidRPr="00726B68">
        <w:tab/>
        <w:t>der henviser til Kommissionens meddelelse af 29. januar 2025 med titlen "Et konkurrenceevnekompas for EU" (</w:t>
      </w:r>
      <w:proofErr w:type="gramStart"/>
      <w:r w:rsidRPr="00726B68">
        <w:t>COM(</w:t>
      </w:r>
      <w:proofErr w:type="gramEnd"/>
      <w:r w:rsidRPr="00726B68">
        <w:t>2025)0030),</w:t>
      </w:r>
    </w:p>
    <w:p w:rsidR="00D9319E" w:rsidRPr="00726B68" w:rsidRDefault="00D9319E" w:rsidP="00D9319E">
      <w:pPr>
        <w:pStyle w:val="NormalHanging12a"/>
        <w:rPr>
          <w:szCs w:val="24"/>
        </w:rPr>
      </w:pPr>
      <w:r w:rsidRPr="00726B68">
        <w:t>–</w:t>
      </w:r>
      <w:r w:rsidRPr="00726B68">
        <w:tab/>
        <w:t>der henviser til Kommissionens meddelelse af 19. marts 2025 med titlen "En europæisk handlingsplan for stål og metal" (</w:t>
      </w:r>
      <w:proofErr w:type="gramStart"/>
      <w:r w:rsidRPr="00726B68">
        <w:t>COM(</w:t>
      </w:r>
      <w:proofErr w:type="gramEnd"/>
      <w:r w:rsidRPr="00726B68">
        <w:t>2025)0125),</w:t>
      </w:r>
    </w:p>
    <w:p w:rsidR="00D9319E" w:rsidRPr="00726B68" w:rsidRDefault="00D9319E" w:rsidP="00D9319E">
      <w:pPr>
        <w:pStyle w:val="NormalHanging12a"/>
        <w:rPr>
          <w:szCs w:val="24"/>
        </w:rPr>
      </w:pPr>
      <w:r w:rsidRPr="00726B68">
        <w:t>–</w:t>
      </w:r>
      <w:r w:rsidRPr="00726B68">
        <w:tab/>
        <w:t>der henviser til sin beslutning af 15. september 2022 om gennemførelsen af den ajourførte nye industristrategi for Europa: tilpasning af udgifterne til politikken</w:t>
      </w:r>
      <w:r w:rsidRPr="00726B68">
        <w:rPr>
          <w:rStyle w:val="FootnoteReference"/>
          <w:szCs w:val="24"/>
        </w:rPr>
        <w:footnoteReference w:id="1"/>
      </w:r>
      <w:r w:rsidRPr="00726B68">
        <w:t>,</w:t>
      </w:r>
    </w:p>
    <w:p w:rsidR="00D9319E" w:rsidRPr="00726B68" w:rsidRDefault="00D9319E" w:rsidP="00D9319E">
      <w:pPr>
        <w:pStyle w:val="NormalHanging12a"/>
        <w:rPr>
          <w:szCs w:val="24"/>
        </w:rPr>
      </w:pPr>
      <w:r w:rsidRPr="00726B68">
        <w:t>–</w:t>
      </w:r>
      <w:r w:rsidRPr="00726B68">
        <w:tab/>
        <w:t>der henviser til sin beslutning af 3. april 2025 om energiintensive industrier</w:t>
      </w:r>
      <w:r w:rsidRPr="00726B68">
        <w:rPr>
          <w:rStyle w:val="FootnoteReference"/>
          <w:szCs w:val="24"/>
        </w:rPr>
        <w:footnoteReference w:id="2"/>
      </w:r>
      <w:r w:rsidRPr="00726B68">
        <w:t xml:space="preserve"> og den tilhørende forespørgsel til mundtlig besvarelse O-00010/2025,</w:t>
      </w:r>
    </w:p>
    <w:p w:rsidR="00D9319E" w:rsidRPr="00726B68" w:rsidRDefault="00D9319E" w:rsidP="00D9319E">
      <w:pPr>
        <w:pStyle w:val="NormalHanging12a"/>
        <w:rPr>
          <w:bCs/>
          <w:iCs/>
          <w:szCs w:val="24"/>
        </w:rPr>
      </w:pPr>
      <w:r w:rsidRPr="00726B68">
        <w:t>–</w:t>
      </w:r>
      <w:r w:rsidRPr="00726B68">
        <w:tab/>
        <w:t xml:space="preserve">der henviser til Kommissionens meddelelse af 11. december 2019 om den europæiske </w:t>
      </w:r>
      <w:r w:rsidRPr="00726B68">
        <w:lastRenderedPageBreak/>
        <w:t>grønne pagt (</w:t>
      </w:r>
      <w:proofErr w:type="gramStart"/>
      <w:r w:rsidRPr="00726B68">
        <w:t>COM(</w:t>
      </w:r>
      <w:proofErr w:type="gramEnd"/>
      <w:r w:rsidRPr="00726B68">
        <w:t>2019)0640),</w:t>
      </w:r>
    </w:p>
    <w:p w:rsidR="00D9319E" w:rsidRPr="00726B68" w:rsidRDefault="00D9319E" w:rsidP="00D9319E">
      <w:pPr>
        <w:pStyle w:val="NormalHanging12a"/>
      </w:pPr>
      <w:r w:rsidRPr="00726B68">
        <w:t>–</w:t>
      </w:r>
      <w:r w:rsidRPr="00726B68">
        <w:tab/>
        <w:t xml:space="preserve">der henviser til betænkning af 13. maj 2025 fra Udvalget om Industri, Forskning og Energi om </w:t>
      </w:r>
      <w:proofErr w:type="spellStart"/>
      <w:r w:rsidRPr="00726B68">
        <w:t>elnet</w:t>
      </w:r>
      <w:proofErr w:type="spellEnd"/>
      <w:r w:rsidRPr="00726B68">
        <w:t>: rygraden i EU's energisystem,</w:t>
      </w:r>
    </w:p>
    <w:p w:rsidR="00D9319E" w:rsidRPr="00726B68" w:rsidRDefault="00D9319E" w:rsidP="00D9319E">
      <w:pPr>
        <w:pStyle w:val="NormalHanging12a"/>
        <w:rPr>
          <w:szCs w:val="24"/>
        </w:rPr>
      </w:pPr>
      <w:r w:rsidRPr="00726B68">
        <w:t>–</w:t>
      </w:r>
      <w:r w:rsidRPr="00726B68">
        <w:tab/>
        <w:t>der henviser til forespørgsel til Kommissionen O-000020/2025,</w:t>
      </w:r>
    </w:p>
    <w:p w:rsidR="00D9319E" w:rsidRPr="00726B68" w:rsidRDefault="00D9319E" w:rsidP="00D9319E">
      <w:pPr>
        <w:pStyle w:val="NormalHanging12a"/>
        <w:rPr>
          <w:szCs w:val="24"/>
        </w:rPr>
      </w:pPr>
      <w:r w:rsidRPr="00726B68">
        <w:t>–</w:t>
      </w:r>
      <w:r w:rsidRPr="00726B68">
        <w:tab/>
        <w:t>der henviser til forretningsordenens artikel 142, stk. 5, og artikel 136, stk. 2,</w:t>
      </w:r>
    </w:p>
    <w:p w:rsidR="00D9319E" w:rsidRPr="00726B68" w:rsidRDefault="00D9319E" w:rsidP="00D9319E">
      <w:pPr>
        <w:pStyle w:val="NormalHanging12a"/>
      </w:pPr>
      <w:r w:rsidRPr="00726B68">
        <w:t>–</w:t>
      </w:r>
      <w:r w:rsidRPr="00726B68">
        <w:tab/>
        <w:t>der henviser til forslag til beslutning fra Udvalget om Industri, Forskning og Energi,</w:t>
      </w:r>
    </w:p>
    <w:p w:rsidR="00D9319E" w:rsidRPr="00726B68" w:rsidRDefault="00D9319E" w:rsidP="00D9319E">
      <w:pPr>
        <w:pStyle w:val="NormalHanging12a"/>
        <w:rPr>
          <w:szCs w:val="24"/>
        </w:rPr>
      </w:pPr>
      <w:r w:rsidRPr="00726B68">
        <w:t>A.</w:t>
      </w:r>
      <w:r w:rsidRPr="00726B68">
        <w:tab/>
        <w:t xml:space="preserve">der henviser til, at aftalen om ren industri har til formål at samle klimaindsatsen og konkurrenceevnen under én overordnet vækststrategi med fokus på at støtte energiintensive industrier og sektoren for ren teknologi; der henviser til, at dette er meget nødvendigt, da omstillingen til en </w:t>
      </w:r>
      <w:proofErr w:type="spellStart"/>
      <w:r w:rsidRPr="00726B68">
        <w:t>dekarboniseret</w:t>
      </w:r>
      <w:proofErr w:type="spellEnd"/>
      <w:r w:rsidRPr="00726B68">
        <w:t xml:space="preserve"> og cirkulær økonomi kun kan lykkes, hvis konkurrenceevnen opretholdes;</w:t>
      </w:r>
    </w:p>
    <w:p w:rsidR="00D9319E" w:rsidRPr="00726B68" w:rsidRDefault="00D9319E" w:rsidP="00D9319E">
      <w:pPr>
        <w:pStyle w:val="NormalHanging12a"/>
        <w:rPr>
          <w:szCs w:val="24"/>
        </w:rPr>
      </w:pPr>
      <w:r w:rsidRPr="00726B68">
        <w:t>B.</w:t>
      </w:r>
      <w:r w:rsidRPr="00726B68">
        <w:tab/>
        <w:t>der henviser til, at handlingsplanen for energi til overkommelige priser har til formål at levere ren energi til overkommelige priser og kortsigtet hjælp ved at sænke energiregningerne og samtidig fremskynde gennemførelsen af strukturreformer og styrke vores energisystemer for at afbøde fremtidige prischok;</w:t>
      </w:r>
    </w:p>
    <w:p w:rsidR="00D9319E" w:rsidRPr="00726B68" w:rsidRDefault="00D9319E" w:rsidP="00D9319E">
      <w:pPr>
        <w:pStyle w:val="NormalHanging12a"/>
        <w:rPr>
          <w:szCs w:val="24"/>
        </w:rPr>
      </w:pPr>
      <w:r w:rsidRPr="00726B68">
        <w:t>C.</w:t>
      </w:r>
      <w:r w:rsidRPr="00726B68">
        <w:tab/>
        <w:t>der henviser til, at europæisk industri i øjeblikket står over for enorme udfordringer med høje priser på fossil energi, illoyal international konkurrence, tab af arbejdspladser og mangel på kvalificeret arbejdskraft, hvilket fører til reduceret produktion, udflytning og lukkede anlæg, hvilket øger vores afhængighed af eksterne leverandører og underminerer den strategiske autonomi, samtidig med at innovation, produktion og de dermed forbundne emissioner risikerer at blive flyttet frem for at blive håndteret ved kilden;</w:t>
      </w:r>
    </w:p>
    <w:p w:rsidR="00D9319E" w:rsidRPr="00726B68" w:rsidRDefault="00D9319E" w:rsidP="00D9319E">
      <w:pPr>
        <w:pStyle w:val="NormalHanging12a"/>
        <w:rPr>
          <w:szCs w:val="24"/>
        </w:rPr>
      </w:pPr>
      <w:r w:rsidRPr="00726B68">
        <w:t>D.</w:t>
      </w:r>
      <w:r w:rsidRPr="00726B68">
        <w:tab/>
        <w:t xml:space="preserve">der henviser til, at europæisk industri er villig til at bevæge sig i retning af bæredygtighed og bidrage til at opnå klimaneutralitet senest i 2050, og at et fremtidssikret, </w:t>
      </w:r>
      <w:proofErr w:type="spellStart"/>
      <w:r w:rsidRPr="00726B68">
        <w:t>dekarboniseret</w:t>
      </w:r>
      <w:proofErr w:type="spellEnd"/>
      <w:r w:rsidRPr="00726B68">
        <w:t xml:space="preserve"> industrigrundlag kan give betydelige muligheder, men at </w:t>
      </w:r>
      <w:proofErr w:type="spellStart"/>
      <w:r w:rsidRPr="00726B68">
        <w:t>dekarboniseringsprojekter</w:t>
      </w:r>
      <w:proofErr w:type="spellEnd"/>
      <w:r w:rsidRPr="00726B68">
        <w:t xml:space="preserve"> risikerer at blive lagt på hylden, fordi deres forretningsscenarie i Europa ikke længere hænger sammen;</w:t>
      </w:r>
    </w:p>
    <w:p w:rsidR="00D9319E" w:rsidRPr="00726B68" w:rsidRDefault="00D9319E" w:rsidP="00D9319E">
      <w:pPr>
        <w:pStyle w:val="NormalHanging12a"/>
        <w:rPr>
          <w:rFonts w:eastAsia="Calibri"/>
          <w:szCs w:val="24"/>
        </w:rPr>
      </w:pPr>
      <w:r w:rsidRPr="00726B68">
        <w:t>1.</w:t>
      </w:r>
      <w:r w:rsidRPr="00726B68">
        <w:tab/>
        <w:t xml:space="preserve">glæder sig over aftalen om ren industri som et længe ventet første skridt i retning af at styrke Europas industrielle konkurrenceevne og innovation, strategiske autonomi, </w:t>
      </w:r>
      <w:proofErr w:type="spellStart"/>
      <w:r w:rsidRPr="00726B68">
        <w:t>dekarbonisering</w:t>
      </w:r>
      <w:proofErr w:type="spellEnd"/>
      <w:r w:rsidRPr="00726B68">
        <w:t xml:space="preserve">, velstand og rene vækst; opfordrer indtrængende Kommissionen til hurtigt at gå fra strategi til handling og gennemførelse; anerkender, at de foreslåede foranstaltninger skal udvides med yderligere foranstaltninger; understreger, at en robust og målrettet industripolitik er afgørende for at sikre et stærkt og bæredygtigt industrigrundlag i Europa og for at skabe og bevare arbejdspladser af høj kvalitet og samtidig </w:t>
      </w:r>
      <w:proofErr w:type="spellStart"/>
      <w:r w:rsidRPr="00726B68">
        <w:t>dekarbonisere</w:t>
      </w:r>
      <w:proofErr w:type="spellEnd"/>
      <w:r w:rsidRPr="00726B68">
        <w:t xml:space="preserve"> vores økonomi, reducere forureningen og styrke Europas modstandsdygtighed;</w:t>
      </w:r>
    </w:p>
    <w:p w:rsidR="00D9319E" w:rsidRPr="00726B68" w:rsidRDefault="00D9319E" w:rsidP="00D9319E">
      <w:pPr>
        <w:pStyle w:val="NormalHanging12a"/>
        <w:rPr>
          <w:rFonts w:eastAsia="Calibri"/>
          <w:szCs w:val="24"/>
        </w:rPr>
      </w:pPr>
      <w:r w:rsidRPr="00726B68">
        <w:t>2.</w:t>
      </w:r>
      <w:r w:rsidRPr="00726B68">
        <w:tab/>
        <w:t xml:space="preserve">glæder sig over oprettelsen af den industrielle </w:t>
      </w:r>
      <w:proofErr w:type="spellStart"/>
      <w:r w:rsidRPr="00726B68">
        <w:t>dekarboniseringsbank</w:t>
      </w:r>
      <w:proofErr w:type="spellEnd"/>
      <w:r w:rsidRPr="00726B68">
        <w:t xml:space="preserve"> med det formål at mobilisere 100 mia. EUR i finansiering samt over det bebudede pilotprojekt med en auktion på 1 mia. EUR om </w:t>
      </w:r>
      <w:proofErr w:type="spellStart"/>
      <w:r w:rsidRPr="00726B68">
        <w:t>dekarbonisering</w:t>
      </w:r>
      <w:proofErr w:type="spellEnd"/>
      <w:r w:rsidRPr="00726B68">
        <w:t xml:space="preserve"> af centrale industriprocesser på tværs af forskellige sektorer til støtte for industriel </w:t>
      </w:r>
      <w:proofErr w:type="spellStart"/>
      <w:r w:rsidRPr="00726B68">
        <w:t>dekarbonisering</w:t>
      </w:r>
      <w:proofErr w:type="spellEnd"/>
      <w:r w:rsidRPr="00726B68">
        <w:t xml:space="preserve"> og elektrificering; understreger betydningen af at øge investeringerne i og adgangen til kapital til fremstilling af ren teknologi, herunder via yderligere finansiering gennem </w:t>
      </w:r>
      <w:r w:rsidRPr="00726B68">
        <w:lastRenderedPageBreak/>
        <w:t>Innovationsfonden; opfordrer til, at medlemsstaterne i højere grad deltager i "auktioner som en tjeneste"-ordninger; opfordrer til, at der vedtages investeringskriterier baseret på CO</w:t>
      </w:r>
      <w:r w:rsidRPr="00726B68">
        <w:rPr>
          <w:vertAlign w:val="subscript"/>
        </w:rPr>
        <w:t>2</w:t>
      </w:r>
      <w:r w:rsidRPr="00726B68">
        <w:t>-effekt, skalerbarhed og forsyningssikkerhed; støtter CO</w:t>
      </w:r>
      <w:r w:rsidRPr="00726B68">
        <w:rPr>
          <w:vertAlign w:val="subscript"/>
        </w:rPr>
        <w:t>2</w:t>
      </w:r>
      <w:r w:rsidRPr="00726B68">
        <w:t>-differencekontrakter med henblik på at lukke kløften mellem CO</w:t>
      </w:r>
      <w:r w:rsidRPr="00726B68">
        <w:rPr>
          <w:vertAlign w:val="subscript"/>
        </w:rPr>
        <w:t>2</w:t>
      </w:r>
      <w:r w:rsidRPr="00726B68">
        <w:t>-prisen og omkostningerne ved industrielle CO</w:t>
      </w:r>
      <w:r w:rsidRPr="00726B68">
        <w:rPr>
          <w:vertAlign w:val="subscript"/>
        </w:rPr>
        <w:t>2</w:t>
      </w:r>
      <w:r w:rsidRPr="00726B68">
        <w:t xml:space="preserve">-forvaltningsprojekter for sektorer, hvor det er vanskeligt at nedbringe emissionerne; betragter oprettelsen heraf som en budgetpost for anvendelse af industrielle teknologier til </w:t>
      </w:r>
      <w:proofErr w:type="spellStart"/>
      <w:r w:rsidRPr="00726B68">
        <w:t>dekarbonisering</w:t>
      </w:r>
      <w:proofErr w:type="spellEnd"/>
      <w:r w:rsidRPr="00726B68">
        <w:t xml:space="preserve"> inden for forvaltningen af fonden for konkurrenceevne;</w:t>
      </w:r>
    </w:p>
    <w:p w:rsidR="00D9319E" w:rsidRPr="00726B68" w:rsidRDefault="00D9319E" w:rsidP="00D9319E">
      <w:pPr>
        <w:pStyle w:val="NormalHanging12a"/>
        <w:rPr>
          <w:rFonts w:eastAsia="Calibri"/>
          <w:szCs w:val="24"/>
        </w:rPr>
      </w:pPr>
      <w:r w:rsidRPr="00726B68">
        <w:t>3.</w:t>
      </w:r>
      <w:r w:rsidRPr="00726B68">
        <w:tab/>
        <w:t xml:space="preserve">støtter handlingsplanen for energi til overkommelige priser og dennes fokus på at gennemføre udformningen af elmarkedet med styrkede værktøjer såsom </w:t>
      </w:r>
      <w:proofErr w:type="spellStart"/>
      <w:r w:rsidRPr="00726B68">
        <w:t>elkøbsaftaler</w:t>
      </w:r>
      <w:proofErr w:type="spellEnd"/>
      <w:r w:rsidRPr="00726B68">
        <w:t xml:space="preserve"> og tovejsdifferencekontrakter for at mindske indvirkningen af priserne på fossile brændstoffer på elpriserne; glæder sig over pilotprogrammet for virksomheders </w:t>
      </w:r>
      <w:proofErr w:type="spellStart"/>
      <w:r w:rsidRPr="00726B68">
        <w:t>elkøbsaftaler</w:t>
      </w:r>
      <w:proofErr w:type="spellEnd"/>
      <w:r w:rsidRPr="00726B68">
        <w:t xml:space="preserve"> via Den Europæiske Investeringsbank og understreger behovet for at udnytte </w:t>
      </w:r>
      <w:proofErr w:type="spellStart"/>
      <w:r w:rsidRPr="00726B68">
        <w:t>elkøbsaftalerne</w:t>
      </w:r>
      <w:proofErr w:type="spellEnd"/>
      <w:r w:rsidRPr="00726B68">
        <w:t xml:space="preserve"> til at udvide kapaciteten og opnå reel </w:t>
      </w:r>
      <w:proofErr w:type="spellStart"/>
      <w:r w:rsidRPr="00726B68">
        <w:t>dekarbonisering</w:t>
      </w:r>
      <w:proofErr w:type="spellEnd"/>
      <w:r w:rsidRPr="00726B68">
        <w:t xml:space="preserve">; opfordrer Kommissionen til at indføre risikobegrænsende værktøjer til at tackle de største hindringer, som energiintensive industrier står over for i forbindelse med undertegnelsen af </w:t>
      </w:r>
      <w:proofErr w:type="spellStart"/>
      <w:r w:rsidRPr="00726B68">
        <w:t>elkøbsaftaler</w:t>
      </w:r>
      <w:proofErr w:type="spellEnd"/>
      <w:r w:rsidRPr="00726B68">
        <w:t xml:space="preserve">, navnlig </w:t>
      </w:r>
      <w:proofErr w:type="spellStart"/>
      <w:r w:rsidRPr="00726B68">
        <w:t>elkøbsaftaler</w:t>
      </w:r>
      <w:proofErr w:type="spellEnd"/>
      <w:r w:rsidRPr="00726B68">
        <w:t xml:space="preserve"> om vedvarende energi, samt differencekontrakter med henblik på risikoreduktion på efterspørgselssiden for energiforbrugere, og til at undersøge, hvordan man kan stimulere udviklingen af hybride </w:t>
      </w:r>
      <w:proofErr w:type="spellStart"/>
      <w:r w:rsidRPr="00726B68">
        <w:t>elkøbsaftaler</w:t>
      </w:r>
      <w:proofErr w:type="spellEnd"/>
      <w:r w:rsidRPr="00726B68">
        <w:t xml:space="preserve"> med matchende fleksibilitetsprodukter;</w:t>
      </w:r>
    </w:p>
    <w:p w:rsidR="00D9319E" w:rsidRPr="00726B68" w:rsidRDefault="00D9319E" w:rsidP="00D9319E">
      <w:pPr>
        <w:pStyle w:val="NormalHanging12a"/>
        <w:rPr>
          <w:rFonts w:eastAsia="Calibri"/>
          <w:szCs w:val="24"/>
        </w:rPr>
      </w:pPr>
      <w:r w:rsidRPr="00726B68">
        <w:t>4.</w:t>
      </w:r>
      <w:r w:rsidRPr="00726B68">
        <w:tab/>
        <w:t>understreger behovet for at styrke energiinfrastrukturen, navnlig på tværs af grænserne, herunder sammenkoblinger, og for at fuldføre energiunionen; opfordrer til, at der tilstræbes et ambitiøst resultat af den fremtidige dialog om en dybere integration af elmarkedet, da den nuværende fragmentering af myndighedstilsynet og investeringsplanlægningen i alle medlemsstater hæmmer integrationen og elektrificeringen; opfordrer medlemsstaterne, transmissionssystemoperatørerne og Kommissionen til at fremme den grænseoverskridende handel med elektricitet for at frigøre fordelene ved markedsintegration og forbedre forsyningernes pålidelighed for alle sammenkoblede parter; opfordrer indtrængende medlemsstaterne til at bestræbe sig på at nå det nuværende sammenkoblingsmål på 15 % som fastsat i forordning (EU) 2018/1999</w:t>
      </w:r>
      <w:r w:rsidRPr="00726B68">
        <w:rPr>
          <w:rStyle w:val="FootnoteReference"/>
          <w:bCs/>
          <w:iCs/>
          <w:szCs w:val="24"/>
          <w:lang w:eastAsia="en-US"/>
        </w:rPr>
        <w:footnoteReference w:id="3"/>
      </w:r>
      <w:r w:rsidRPr="00726B68">
        <w:t>;</w:t>
      </w:r>
    </w:p>
    <w:p w:rsidR="00D9319E" w:rsidRPr="00726B68" w:rsidRDefault="00D9319E" w:rsidP="00D9319E">
      <w:pPr>
        <w:pStyle w:val="NormalHanging12a"/>
        <w:rPr>
          <w:rFonts w:eastAsia="Calibri"/>
          <w:szCs w:val="24"/>
        </w:rPr>
      </w:pPr>
      <w:r w:rsidRPr="00726B68">
        <w:t>5.</w:t>
      </w:r>
      <w:r w:rsidRPr="00726B68">
        <w:tab/>
        <w:t>fremhæver behovet for at afslutte arbejdet med revisionen af energibeskatningsdirektivet</w:t>
      </w:r>
      <w:r w:rsidRPr="00726B68">
        <w:rPr>
          <w:rStyle w:val="FootnoteReference"/>
          <w:rFonts w:eastAsia="Calibri"/>
          <w:szCs w:val="24"/>
          <w:lang w:eastAsia="en-US"/>
        </w:rPr>
        <w:footnoteReference w:id="4"/>
      </w:r>
      <w:r w:rsidRPr="00726B68">
        <w:t xml:space="preserve">, som har til formål at tilpasse beskatningen af energiprodukter til EU's energi- og klimapolitiske mål og harmonisere udformningen af takstmetoder for </w:t>
      </w:r>
      <w:proofErr w:type="spellStart"/>
      <w:r w:rsidRPr="00726B68">
        <w:t>netafgifter</w:t>
      </w:r>
      <w:proofErr w:type="spellEnd"/>
      <w:r w:rsidRPr="00726B68">
        <w:t>, forudsat at sådanne foranstaltninger ikke sker på bekostning af de endelige forbrugere; opfordrer medlemsstaterne til hurtigst muligt at yde kortsigtet støtte til industrien og husholdningerne, f.eks. ved at sænke elafgifterne og afstå fra at pålægge uberettigede yderligere krav (overdreven gennemførelse af EU-</w:t>
      </w:r>
      <w:r w:rsidRPr="00726B68">
        <w:lastRenderedPageBreak/>
        <w:t>lovgivningen), hvor dette forvrider de lige konkurrencevilkår;</w:t>
      </w:r>
    </w:p>
    <w:p w:rsidR="00D9319E" w:rsidRPr="00726B68" w:rsidRDefault="00D9319E" w:rsidP="00D9319E">
      <w:pPr>
        <w:pStyle w:val="NormalHanging12a"/>
        <w:rPr>
          <w:rFonts w:eastAsia="Calibri"/>
          <w:szCs w:val="24"/>
        </w:rPr>
      </w:pPr>
      <w:r w:rsidRPr="00726B68">
        <w:t>6.</w:t>
      </w:r>
      <w:r w:rsidRPr="00726B68">
        <w:tab/>
        <w:t>opfordrer Kommissionen og medlemsstaterne til at forbedre koordineringen af statsstøtteudgifterne til fælles europæiske industrielle prioriteter og opfordrer medlemsstaterne til at gøre brug af dette til at støtte industrien på vejen mod en omstilling til ren energi, samtidig med at der tages hensyn til forskelle i finanspolitisk kapacitet; gentager, at der er behov for lige konkurrencevilkår; understreger, at der er behov for en bedre koordinering af industripolitikken i hele Unionen, både mellem medlemsstaterne og mellem medlemsstaterne og Kommissionen; støtter anvendelsen af værktøjet til koordinering af konkurrenceevnen med henblik på at styre og harmonisere de nationale bestræbelser; mener, at offentlig støtte bør bidrage til at beskytte arbejdspladser og industrielle aktiviteter i Europa, og at modtagerne af en sådan støtte bør forpligte sig til at sikre anstændige beskæftigelses- og arbejdsvilkår og indgå i den sociale dialog;</w:t>
      </w:r>
    </w:p>
    <w:p w:rsidR="00D9319E" w:rsidRPr="00726B68" w:rsidRDefault="00D9319E" w:rsidP="00D9319E">
      <w:pPr>
        <w:pStyle w:val="NormalHanging12a"/>
        <w:rPr>
          <w:rFonts w:eastAsia="Calibri"/>
          <w:szCs w:val="24"/>
        </w:rPr>
      </w:pPr>
      <w:r w:rsidRPr="00726B68">
        <w:t>7.</w:t>
      </w:r>
      <w:r w:rsidRPr="00726B68">
        <w:tab/>
        <w:t xml:space="preserve">støtter forenkling og digitalisering med henblik på at fremskynde tilladelsesprocedurerne, samtidig med at miljøbeskyttelsesforanstaltninger respekteres, og menneskers sundhed beskyttes; opfordrer Kommissionen til yderligere at afhjælpe flaskehalse i forbindelse med udstedelse af tilladelser vedrørende industriel adgang til energi og industriel </w:t>
      </w:r>
      <w:proofErr w:type="spellStart"/>
      <w:r w:rsidRPr="00726B68">
        <w:t>dekarbonisering</w:t>
      </w:r>
      <w:proofErr w:type="spellEnd"/>
      <w:r w:rsidRPr="00726B68">
        <w:t xml:space="preserve"> i forordningen om fremskyndelse af industriel </w:t>
      </w:r>
      <w:proofErr w:type="spellStart"/>
      <w:r w:rsidRPr="00726B68">
        <w:t>dekarbonisering</w:t>
      </w:r>
      <w:proofErr w:type="spellEnd"/>
      <w:r w:rsidRPr="00726B68">
        <w:t xml:space="preserve">, herunder gennem vedtagelse af foranstaltninger til at fremskynde de retslige og administrative procedurer, samt til at vurdere kriterier for målrettede undtagelser for emissioner og </w:t>
      </w:r>
      <w:proofErr w:type="spellStart"/>
      <w:r w:rsidRPr="00726B68">
        <w:t>depositioner</w:t>
      </w:r>
      <w:proofErr w:type="spellEnd"/>
      <w:r w:rsidRPr="00726B68">
        <w:t xml:space="preserve"> fra bygge</w:t>
      </w:r>
      <w:bookmarkStart w:id="6" w:name="_GoBack"/>
      <w:bookmarkEnd w:id="6"/>
      <w:r w:rsidR="006E5CC1">
        <w:t xml:space="preserve">riet </w:t>
      </w:r>
      <w:r w:rsidRPr="00726B68">
        <w:t xml:space="preserve">for </w:t>
      </w:r>
      <w:r w:rsidR="006E5CC1">
        <w:t xml:space="preserve">så vidt angår </w:t>
      </w:r>
      <w:r w:rsidRPr="00726B68">
        <w:t>rene projekter</w:t>
      </w:r>
      <w:r w:rsidR="006E5CC1">
        <w:t>,</w:t>
      </w:r>
      <w:r w:rsidRPr="00726B68">
        <w:t xml:space="preserve"> </w:t>
      </w:r>
      <w:proofErr w:type="spellStart"/>
      <w:r w:rsidRPr="00726B68">
        <w:t>nettonulprojekter</w:t>
      </w:r>
      <w:proofErr w:type="spellEnd"/>
      <w:r w:rsidRPr="00726B68">
        <w:t xml:space="preserve"> samt lagrings- og </w:t>
      </w:r>
      <w:proofErr w:type="spellStart"/>
      <w:r w:rsidRPr="00726B68">
        <w:t>netprojekter</w:t>
      </w:r>
      <w:proofErr w:type="spellEnd"/>
      <w:r w:rsidRPr="00726B68">
        <w:t>; opfordrer indtrængende medlemsstaterne til at forbedre deres administrative kapacitet til at sikre rettidig behandling af tilladelser og til fuldt ud at gennemføre direktivet om vedvarende energi</w:t>
      </w:r>
      <w:r w:rsidRPr="00726B68">
        <w:rPr>
          <w:rStyle w:val="FootnoteReference"/>
          <w:rFonts w:eastAsia="Calibri"/>
          <w:bCs/>
          <w:iCs/>
          <w:szCs w:val="24"/>
          <w:lang w:eastAsia="en-US"/>
        </w:rPr>
        <w:footnoteReference w:id="5"/>
      </w:r>
      <w:r w:rsidRPr="00726B68">
        <w:t xml:space="preserve">, herunder princippet om tungtvejende offentlig interesse, og forordningen om </w:t>
      </w:r>
      <w:proofErr w:type="spellStart"/>
      <w:r w:rsidRPr="00726B68">
        <w:t>nettonulindustri</w:t>
      </w:r>
      <w:proofErr w:type="spellEnd"/>
      <w:r w:rsidRPr="00726B68">
        <w:rPr>
          <w:rStyle w:val="FootnoteReference"/>
          <w:rFonts w:eastAsia="Calibri"/>
          <w:bCs/>
          <w:iCs/>
          <w:szCs w:val="24"/>
          <w:lang w:eastAsia="en-US"/>
        </w:rPr>
        <w:footnoteReference w:id="6"/>
      </w:r>
      <w:r w:rsidRPr="00726B68">
        <w:t>;</w:t>
      </w:r>
    </w:p>
    <w:p w:rsidR="00D9319E" w:rsidRPr="00726B68" w:rsidRDefault="00D9319E" w:rsidP="00D9319E">
      <w:pPr>
        <w:pStyle w:val="NormalHanging12a"/>
        <w:rPr>
          <w:rFonts w:eastAsia="Calibri"/>
          <w:szCs w:val="24"/>
        </w:rPr>
      </w:pPr>
      <w:r w:rsidRPr="00726B68">
        <w:t>8.</w:t>
      </w:r>
      <w:r w:rsidRPr="00726B68">
        <w:tab/>
        <w:t>opfordrer Kommissionen til i forbindelse med beskyttelsen af både forsyningssikkerhed og prisoverkommelighed at tage hensyn til alle tilgængelige teknologier, der bidrager til at nå EU's mål om klimaneutralitet senest i 2050 på en omkostningseffektiv måde i bestræbelserne på at opnå et renere, stabilt, sikkert og mere uafhængigt energimiks; anerkender, at vedvarende energi sammen med kerneenergi for de medlemsstater, der beslutter at anvende den, er afgørende for et rent og sikkert energimiks; opfordrer Kommissionen til at styrke samarbejdet om sikker udvikling og produktion af små modulære reaktorer i Europa og til at fremme forskning i kernefusion som en fremtidig energiteknologi; glæder sig over den bebudede vurdering af muligheden for at strømline licenspraksis for nye kerneenergiteknologier;</w:t>
      </w:r>
    </w:p>
    <w:p w:rsidR="00D9319E" w:rsidRPr="00726B68" w:rsidRDefault="00D9319E" w:rsidP="00D9319E">
      <w:pPr>
        <w:pStyle w:val="NormalHanging12a"/>
        <w:rPr>
          <w:rFonts w:eastAsia="Calibri"/>
          <w:szCs w:val="24"/>
        </w:rPr>
      </w:pPr>
      <w:r w:rsidRPr="00726B68">
        <w:lastRenderedPageBreak/>
        <w:t>9.</w:t>
      </w:r>
      <w:r w:rsidRPr="00726B68">
        <w:tab/>
        <w:t xml:space="preserve">understreger den rolle, som elektrificering spiller, men bemærker, at det er nødvendigt med en betydelig udvidelse og modernisering af nettene; opfordrer til en "EU-strategi for energifleksibilitet" med fokus på efterspørgselsreaktion og energilagring; glæder sig over hensigten om at ajourføre strategien for opvarmning og køling og handlingsplanen for elektrificering; opfordrer Kommissionen til at anerkende sektoren for energieffektivitet som en strategisk nøglesektor for industriel </w:t>
      </w:r>
      <w:proofErr w:type="spellStart"/>
      <w:r w:rsidRPr="00726B68">
        <w:t>dekarbonisering</w:t>
      </w:r>
      <w:proofErr w:type="spellEnd"/>
      <w:r w:rsidRPr="00726B68">
        <w:t xml:space="preserve"> og europæisk konkurrenceevne;</w:t>
      </w:r>
    </w:p>
    <w:p w:rsidR="00D9319E" w:rsidRPr="00726B68" w:rsidRDefault="00D9319E" w:rsidP="00D9319E">
      <w:pPr>
        <w:pStyle w:val="NormalHanging12a"/>
        <w:rPr>
          <w:rFonts w:eastAsia="Calibri"/>
          <w:szCs w:val="24"/>
        </w:rPr>
      </w:pPr>
      <w:r w:rsidRPr="00726B68">
        <w:t>10.</w:t>
      </w:r>
      <w:r w:rsidRPr="00726B68">
        <w:tab/>
        <w:t xml:space="preserve">understreger den vigtige rolle, som vedvarende og kulstoffattig brint kan spille i </w:t>
      </w:r>
      <w:proofErr w:type="spellStart"/>
      <w:r w:rsidRPr="00726B68">
        <w:t>dekarboniseringen</w:t>
      </w:r>
      <w:proofErr w:type="spellEnd"/>
      <w:r w:rsidRPr="00726B68">
        <w:t xml:space="preserve"> af industrien; opfordrer til hurtig vedtagelse og gennemførelse af en enkel, teknologineutral og investeringsvenlig definition af kulstoffattig brint i den kommende delegerede forordning om supplerende regler til direktiv (EU) 2024/1788</w:t>
      </w:r>
      <w:r w:rsidRPr="00726B68">
        <w:rPr>
          <w:rStyle w:val="FootnoteReference"/>
          <w:rFonts w:eastAsia="Calibri"/>
          <w:szCs w:val="24"/>
          <w:lang w:eastAsia="en-US"/>
        </w:rPr>
        <w:footnoteReference w:id="7"/>
      </w:r>
      <w:r w:rsidRPr="00726B68">
        <w:t xml:space="preserve"> ved at præcisere en metode til vurdering af drivhusgasemissionsbesparelser fra kulstoffattige brændstoffer, samtidig med at det sikres, at en sådan definition er robust, videnskabeligt baseret og tilskynder til produktion og anvendelse af brint for at sikre emissionsreduktioner; støtter meddelelsen om en undersøgelse vedrørende reglerne for vedvarende brændstoffer, der ikke er af biologisk oprindelse; opfordrer indtrængende Kommissionen til at tage hensyn til resultaterne af denne undersøgelse og interessenternes bekymringer og, hvor det er relevant, foreslå ændringer af den delegerede retsakt om vedvarende brændstoffer, der ikke er af biologisk oprindelse</w:t>
      </w:r>
      <w:r w:rsidRPr="00726B68">
        <w:rPr>
          <w:rStyle w:val="FootnoteReference"/>
          <w:rFonts w:eastAsia="Calibri"/>
          <w:szCs w:val="24"/>
          <w:lang w:eastAsia="en-US"/>
        </w:rPr>
        <w:footnoteReference w:id="8"/>
      </w:r>
      <w:r w:rsidRPr="00726B68">
        <w:t>, med henblik på at øge produktionen af vedvarende brint og sænke priserne for forbrugerne;</w:t>
      </w:r>
    </w:p>
    <w:p w:rsidR="00D9319E" w:rsidRPr="00726B68" w:rsidRDefault="00D9319E" w:rsidP="00D9319E">
      <w:pPr>
        <w:pStyle w:val="NormalHanging12a"/>
        <w:rPr>
          <w:rFonts w:eastAsia="Calibri"/>
          <w:szCs w:val="24"/>
        </w:rPr>
      </w:pPr>
      <w:r w:rsidRPr="00726B68">
        <w:t>11.</w:t>
      </w:r>
      <w:r w:rsidRPr="00726B68">
        <w:tab/>
        <w:t xml:space="preserve">gentager, at det er nødvendigt at udvikle foranstaltninger til at sikre gasforsyningen til en reduceret pris for de sektorer, der ikke i væsentlig grad kan forlade sig på elektrificering på kort til mellemlangt sigt; opfordrer til diversificerede og pålidelige partnerskaber i overensstemmelse med Unionens sikkerhed, interesser og </w:t>
      </w:r>
      <w:proofErr w:type="spellStart"/>
      <w:r w:rsidRPr="00726B68">
        <w:t>RePowerEU</w:t>
      </w:r>
      <w:proofErr w:type="spellEnd"/>
      <w:r w:rsidRPr="00726B68">
        <w:t>-køreplanen;</w:t>
      </w:r>
    </w:p>
    <w:p w:rsidR="00D9319E" w:rsidRPr="00726B68" w:rsidRDefault="00D9319E" w:rsidP="00D9319E">
      <w:pPr>
        <w:pStyle w:val="NormalHanging12a"/>
        <w:rPr>
          <w:rFonts w:eastAsia="Calibri"/>
          <w:szCs w:val="24"/>
        </w:rPr>
      </w:pPr>
      <w:r w:rsidRPr="00726B68">
        <w:t>12.</w:t>
      </w:r>
      <w:r w:rsidRPr="00726B68">
        <w:tab/>
        <w:t>opfordrer indtrængende Kommissionen til at indgå i sektordialoger med industrien, den akademiske verden, arbejdsmarkedets parter og relevante interessenter fra industrierne inden for ren teknologi og energiintensive industrier og (grænseoverskridende) regionale industriklynger for at styrke deres konkurrenceevne og lette deres omstillingsforløb; understreger, at industrielle økosystemer i høj grad er indbyrdes forbundne og effektive, og at lukning af et anlæg påvirker hele klyngen; opfordrer til årlig overvågning og rapportering om konkurrenceevnen og modstandsdygtigheden i vores industrielle økosystemer og om de fremskridt, der er gjort med hensyn til omstillingsforløb, således at instrumenterne hurtigt kan tilpasses med skræddersyet støtte, når det er nødvendigt;</w:t>
      </w:r>
    </w:p>
    <w:p w:rsidR="00D9319E" w:rsidRPr="00726B68" w:rsidRDefault="00D9319E" w:rsidP="00D9319E">
      <w:pPr>
        <w:pStyle w:val="NormalHanging12a"/>
        <w:rPr>
          <w:bCs/>
          <w:iCs/>
          <w:szCs w:val="24"/>
        </w:rPr>
      </w:pPr>
      <w:r w:rsidRPr="00726B68">
        <w:t>13.</w:t>
      </w:r>
      <w:r w:rsidRPr="00726B68">
        <w:tab/>
        <w:t xml:space="preserve">understreger, at en vellykket omstilling til ren industri afhænger af en kvalificeret </w:t>
      </w:r>
      <w:r w:rsidRPr="00726B68">
        <w:lastRenderedPageBreak/>
        <w:t xml:space="preserve">arbejdsstyrke; opfordrer Kommissionen og medlemsstaterne til at udvikle en koordineret strategi for færdigheder i industrien, som er i overensstemmelse med forordningen om </w:t>
      </w:r>
      <w:proofErr w:type="spellStart"/>
      <w:r w:rsidRPr="00726B68">
        <w:t>nettonulindustri</w:t>
      </w:r>
      <w:proofErr w:type="spellEnd"/>
      <w:r w:rsidRPr="00726B68">
        <w:t xml:space="preserve"> og prioriteterne for ren teknologi; støtter en hurtig udrulning og udvidelse af akademierne for </w:t>
      </w:r>
      <w:proofErr w:type="spellStart"/>
      <w:r w:rsidRPr="00726B68">
        <w:t>nettonulindustrien</w:t>
      </w:r>
      <w:proofErr w:type="spellEnd"/>
      <w:r w:rsidRPr="00726B68">
        <w:t xml:space="preserve"> og erhvervsekspertisecentrene; tilskynder til anvendelse af EU-instrumenter såsom ESF+, Erasmus+ og Fonden for Retfærdig Omstilling til at støtte målrettet opkvalificering og omskoling i industriregioner, der er under omstilling, herunder landdistrikter;</w:t>
      </w:r>
    </w:p>
    <w:p w:rsidR="00D9319E" w:rsidRPr="00726B68" w:rsidRDefault="00D9319E" w:rsidP="00D9319E">
      <w:pPr>
        <w:pStyle w:val="NormalHanging12a"/>
        <w:rPr>
          <w:rFonts w:eastAsia="Calibri"/>
          <w:szCs w:val="24"/>
        </w:rPr>
      </w:pPr>
      <w:r w:rsidRPr="00726B68">
        <w:t>14.</w:t>
      </w:r>
      <w:r w:rsidRPr="00726B68">
        <w:tab/>
        <w:t>glæder sig over førende markeder for europæisk fremstillede rene, cirkulære og kulstoffattige produkter; understreger behovet for at stimulere efterspørgslen gennem offentlige og private indkøb og ved at indføre kriterier og standarder for bæredygtighed og modstandsdygtighed, hvor det er relevant; støtter oprettelsen af frivillige mærker for industriprodukters kulstofintensitet (f.eks. for stål og cement), som bør afspejle CO</w:t>
      </w:r>
      <w:r w:rsidRPr="00726B68">
        <w:rPr>
          <w:vertAlign w:val="subscript"/>
        </w:rPr>
        <w:t>2</w:t>
      </w:r>
      <w:r w:rsidRPr="00726B68">
        <w:t>-præstation frem for procesbaserede skævheder, og tilpasningen til eksisterende EU-lovgivning, herunder forordningen om miljøvenligt design for bæredygtige produkter</w:t>
      </w:r>
      <w:r w:rsidRPr="00726B68">
        <w:rPr>
          <w:rStyle w:val="FootnoteReference"/>
          <w:rFonts w:eastAsia="Calibri"/>
          <w:bCs/>
          <w:iCs/>
          <w:szCs w:val="24"/>
          <w:lang w:eastAsia="en-US"/>
        </w:rPr>
        <w:footnoteReference w:id="9"/>
      </w:r>
      <w:r w:rsidRPr="00726B68">
        <w:t xml:space="preserve"> og byggevareforordningen</w:t>
      </w:r>
      <w:r w:rsidRPr="00726B68">
        <w:rPr>
          <w:rStyle w:val="FootnoteReference"/>
          <w:rFonts w:eastAsia="Calibri"/>
          <w:bCs/>
          <w:iCs/>
          <w:szCs w:val="24"/>
          <w:lang w:eastAsia="en-US"/>
        </w:rPr>
        <w:footnoteReference w:id="10"/>
      </w:r>
      <w:r w:rsidRPr="00726B68">
        <w:t>; opfordrer Kommissionen til at undersøge andre krav for at sikre efterspørgslen efter rene produkter fremstillet i EU;</w:t>
      </w:r>
    </w:p>
    <w:p w:rsidR="00D9319E" w:rsidRPr="00726B68" w:rsidRDefault="00D9319E" w:rsidP="00D9319E">
      <w:pPr>
        <w:pStyle w:val="NormalHanging12a"/>
        <w:rPr>
          <w:rFonts w:eastAsia="Calibri"/>
          <w:szCs w:val="24"/>
        </w:rPr>
      </w:pPr>
      <w:r w:rsidRPr="00726B68">
        <w:t>15.</w:t>
      </w:r>
      <w:r w:rsidRPr="00726B68">
        <w:tab/>
        <w:t>glæder sig over de foreslåede foranstaltninger til at styrke den cirkulære økonomi og bioøkonomien ved at sikre adgang til materialer og ressourcer; opfordrer til, at der i forordningen om cirkulær økonomi medtages foranstaltninger til at øge anvendelsen og prisoverkommeligheden af strategiske sekundære råstoffer i EU under hensyntagen til målene i forordningen om kritiske råstoffer</w:t>
      </w:r>
      <w:r w:rsidRPr="00726B68">
        <w:rPr>
          <w:rStyle w:val="FootnoteReference"/>
          <w:rFonts w:eastAsia="Calibri"/>
          <w:szCs w:val="24"/>
          <w:lang w:eastAsia="en-US"/>
        </w:rPr>
        <w:footnoteReference w:id="11"/>
      </w:r>
      <w:r w:rsidRPr="00726B68">
        <w:t>; understreger behovet for at definere, hvilke sekundære råstoffer der er strategiske og bør være omfattet af eksportovervågning, f.eks. stål og metalskrot, og for at tackle eventuelle ubalancer i udbuddet af og efterspørgslen efter disse, herunder ved at undersøge eksportrestriktioner; insisterer på en effektiv håndhævelse af forordningen om overførsel af affald</w:t>
      </w:r>
      <w:r w:rsidRPr="00726B68">
        <w:rPr>
          <w:rStyle w:val="FootnoteReference"/>
          <w:rFonts w:eastAsia="Calibri"/>
          <w:szCs w:val="24"/>
          <w:lang w:eastAsia="en-US"/>
        </w:rPr>
        <w:footnoteReference w:id="12"/>
      </w:r>
      <w:r w:rsidRPr="00726B68">
        <w:t>; opfordrer til en forudsigelig lovgivningsmæssig ramme, der åbner op for cirkulære forretningsmodeller, navnlig dem, der er baseret på affaldsforebyggelse, genbrug og genanvendelse af høj kvalitet;</w:t>
      </w:r>
    </w:p>
    <w:p w:rsidR="00D9319E" w:rsidRPr="00726B68" w:rsidRDefault="00D9319E" w:rsidP="00D9319E">
      <w:pPr>
        <w:pStyle w:val="NormalHanging12a"/>
        <w:rPr>
          <w:rFonts w:eastAsia="Calibri"/>
          <w:szCs w:val="24"/>
        </w:rPr>
      </w:pPr>
      <w:r w:rsidRPr="00726B68">
        <w:t>16.</w:t>
      </w:r>
      <w:r w:rsidRPr="00726B68">
        <w:tab/>
        <w:t xml:space="preserve">understreger behovet for at beskytte det europæiske marked mod illoyal konkurrence og dumping af industriel overkapacitet fra lande uden for EU ved at gøre fuld brug af </w:t>
      </w:r>
      <w:r w:rsidRPr="00726B68">
        <w:lastRenderedPageBreak/>
        <w:t xml:space="preserve">handelsbeskyttelsesmekanismerne; opfordrer Kommissionen til at vedtage en systematisk, proaktiv og forholdsmæssig anvendelse af handelsbeskyttelsesinstrumenter, herunder antidumping- og </w:t>
      </w:r>
      <w:proofErr w:type="spellStart"/>
      <w:r w:rsidRPr="00726B68">
        <w:t>antisubsidieundersøgelser</w:t>
      </w:r>
      <w:proofErr w:type="spellEnd"/>
      <w:r w:rsidRPr="00726B68">
        <w:t>; kræver, at håndhævelseskapaciteten i forordningen om udenlandske subsidier</w:t>
      </w:r>
      <w:r w:rsidRPr="00726B68">
        <w:rPr>
          <w:rStyle w:val="FootnoteReference"/>
          <w:rFonts w:eastAsia="Calibri"/>
          <w:bCs/>
          <w:iCs/>
          <w:szCs w:val="24"/>
          <w:lang w:eastAsia="en-US"/>
        </w:rPr>
        <w:footnoteReference w:id="13"/>
      </w:r>
      <w:r w:rsidRPr="00726B68">
        <w:t xml:space="preserve"> styrkes, og beklager, at dette værktøj endnu ikke er blevet aktiveret systematisk i nøglesektorer; opfordrer Kommissionen til at behandle industriel overkapacitet og strategisk afhængighed som centrale konkurrencemæssige risici, der kræver en koordineret reaktion på EU-plan og passende værktøjer; opfordrer Kommissionen til at sikre, at aktører, der bidrager til strukturelle markedsforvridninger eller illoyal konkurrence, ikke gives adgang til EU's indre marked eller til europæiske industriprojekter;</w:t>
      </w:r>
    </w:p>
    <w:p w:rsidR="00D9319E" w:rsidRPr="00726B68" w:rsidRDefault="00D9319E" w:rsidP="00D9319E">
      <w:pPr>
        <w:pStyle w:val="NormalHanging12a"/>
        <w:rPr>
          <w:rFonts w:eastAsia="Calibri"/>
          <w:szCs w:val="24"/>
        </w:rPr>
      </w:pPr>
      <w:r w:rsidRPr="00726B68">
        <w:t>17.</w:t>
      </w:r>
      <w:r w:rsidRPr="00726B68">
        <w:tab/>
        <w:t xml:space="preserve">glæder sig over den foreslåede forenkling af kulstofgrænsetilpasningsmekanismen (CBAM) i den første omnibuspakke som et vigtigt skridt i retning af yderligere at øge effektiviteten af kulstofgrænsetilpasningsmekanismen til håndtering af kulstoflækage; gentager sin opfordring til en brugbar eksportløsning for at imødegå risikoen for kulstoflækage for CBAM-varer, der eksporteres fra EU til lande uden for EU; anmoder Kommissionen om nøje at analysere de risici, der er forbundet med </w:t>
      </w:r>
      <w:proofErr w:type="spellStart"/>
      <w:r w:rsidRPr="00726B68">
        <w:t>uverificerede</w:t>
      </w:r>
      <w:proofErr w:type="spellEnd"/>
      <w:r w:rsidRPr="00726B68">
        <w:t xml:space="preserve"> certifikater fra lande uden for EU, som kan være til skade for retfærdigheden og konkurrenceevnen; glæder sig over, at Kommissionen har til hensigt at fremlægge en strategi til modvirkning af omgåelse inden årets udgang og overveje at udvide kulstofgrænsetilpasningsmekanismen til yderligere sektorer som led i den kommende revision; understreger betydningen af en effektiv kulstofgrænsetilpasningsmekanisme i forbindelse med udfasningen af de gratis kvoter under EU's emissionshandelssystem;</w:t>
      </w:r>
    </w:p>
    <w:p w:rsidR="00D9319E" w:rsidRPr="00726B68" w:rsidRDefault="00D9319E" w:rsidP="00D9319E">
      <w:pPr>
        <w:pStyle w:val="NormalHanging12a"/>
        <w:rPr>
          <w:rFonts w:eastAsia="Calibri"/>
          <w:szCs w:val="24"/>
        </w:rPr>
      </w:pPr>
      <w:r w:rsidRPr="00726B68">
        <w:t>18.</w:t>
      </w:r>
      <w:r w:rsidRPr="00726B68">
        <w:tab/>
        <w:t>glæder sig i forbindelse med gennemførelsen af strategien for industriel CO</w:t>
      </w:r>
      <w:r w:rsidRPr="00726B68">
        <w:rPr>
          <w:vertAlign w:val="subscript"/>
        </w:rPr>
        <w:t>2</w:t>
      </w:r>
      <w:r w:rsidRPr="00726B68">
        <w:t>-forvaltning over opbygningen af forretningsgrundlaget for permanent kulstoffjernelse i kommende (revisioner af) lovgivning; Anerkender, at CO</w:t>
      </w:r>
      <w:r w:rsidRPr="00726B68">
        <w:rPr>
          <w:vertAlign w:val="subscript"/>
        </w:rPr>
        <w:t>2</w:t>
      </w:r>
      <w:r w:rsidRPr="00726B68">
        <w:t>-forvaltning, herunder opsamling, lagring, transport og anvendelse, kan være nødvendig for sektorer, hvor det er vanskeligt at nedbringe emissionerne; understreger behovet for at foreslå en pakke om en CO</w:t>
      </w:r>
      <w:r w:rsidRPr="00726B68">
        <w:rPr>
          <w:vertAlign w:val="subscript"/>
        </w:rPr>
        <w:t>2</w:t>
      </w:r>
      <w:r w:rsidRPr="00726B68">
        <w:t>-markedsramme for CO</w:t>
      </w:r>
      <w:r w:rsidRPr="00726B68">
        <w:rPr>
          <w:vertAlign w:val="subscript"/>
        </w:rPr>
        <w:t>2</w:t>
      </w:r>
      <w:r w:rsidRPr="00726B68">
        <w:t xml:space="preserve">-transport og </w:t>
      </w:r>
      <w:r w:rsidRPr="00726B68">
        <w:noBreakHyphen/>
        <w:t>infrastruktur;</w:t>
      </w:r>
    </w:p>
    <w:p w:rsidR="00D9319E" w:rsidRPr="00726B68" w:rsidRDefault="00D9319E" w:rsidP="00D9319E">
      <w:pPr>
        <w:pStyle w:val="NormalHanging12a"/>
        <w:rPr>
          <w:rFonts w:eastAsia="Calibri"/>
          <w:szCs w:val="24"/>
        </w:rPr>
      </w:pPr>
      <w:r w:rsidRPr="00726B68">
        <w:t>19.</w:t>
      </w:r>
      <w:r w:rsidRPr="00726B68">
        <w:tab/>
        <w:t xml:space="preserve">opfordrer indtrængende til tilgængelig finansiering for </w:t>
      </w:r>
      <w:proofErr w:type="spellStart"/>
      <w:r w:rsidRPr="00726B68">
        <w:t>SMV'er</w:t>
      </w:r>
      <w:proofErr w:type="spellEnd"/>
      <w:r w:rsidRPr="00726B68">
        <w:t xml:space="preserve">; glæder sig over den fremskyndede godkendelse og udbetaling inden for instrumenter såsom Innovationsfonden og forordningen om </w:t>
      </w:r>
      <w:proofErr w:type="spellStart"/>
      <w:r w:rsidRPr="00726B68">
        <w:t>nettonulindustri</w:t>
      </w:r>
      <w:proofErr w:type="spellEnd"/>
      <w:r w:rsidRPr="00726B68">
        <w:t xml:space="preserve"> og understreger, at initiativet om vigtige projekter af fælleseuropæisk interesse skal være tilgængeligt for </w:t>
      </w:r>
      <w:proofErr w:type="spellStart"/>
      <w:r w:rsidRPr="00726B68">
        <w:t>SMV'er</w:t>
      </w:r>
      <w:proofErr w:type="spellEnd"/>
      <w:r w:rsidRPr="00726B68">
        <w:t>; opfordrer indtrængende til yderligere forbedringer og harmonisering for at forenkle finansieringsansøgninger, reducere rapporteringsforpligtelserne og fremskynde små projekter;</w:t>
      </w:r>
    </w:p>
    <w:p w:rsidR="00D9319E" w:rsidRPr="00726B68" w:rsidRDefault="00D9319E" w:rsidP="00D9319E">
      <w:pPr>
        <w:pStyle w:val="NormalHanging12a"/>
        <w:rPr>
          <w:rFonts w:eastAsia="Calibri"/>
          <w:szCs w:val="24"/>
        </w:rPr>
      </w:pPr>
      <w:r w:rsidRPr="00726B68">
        <w:t>20.</w:t>
      </w:r>
      <w:r w:rsidRPr="00726B68">
        <w:tab/>
        <w:t xml:space="preserve">understreger betydningen af sektorspecifikke tilgange til effektiv gennemførelse af aftalen om ren industri på tværs af hele spektret af industrielle økosystemer; glæder sig over industrihandlingsplanen for bilindustrien, handlingsplanen for stål og metalsektoren, meddelelsen om kemikalieindustripakken, investeringsplanen for bæredygtig transport og den bioøkonomiske strategi som centrale byggesten i en sammenhængende industriel omstilling; opfordrer til, at der i investeringsplanen for bæredygtig transport medtages detaljerede </w:t>
      </w:r>
      <w:proofErr w:type="spellStart"/>
      <w:r w:rsidRPr="00726B68">
        <w:t>dekarboniseringsstrategier</w:t>
      </w:r>
      <w:proofErr w:type="spellEnd"/>
      <w:r w:rsidRPr="00726B68">
        <w:t xml:space="preserve">, der afspejler de specifikke teknologiske behov og investeringsbehov for de forskellige transportformer; </w:t>
      </w:r>
      <w:r w:rsidRPr="00726B68">
        <w:lastRenderedPageBreak/>
        <w:t>opfordrer til, at andre sektorer såsom den europæiske luft- og rumfartssektor og sektoren for alternative brændstoffer medtages inden for rammerne af aftalen om ren industri; o</w:t>
      </w:r>
      <w:r w:rsidRPr="00726B68">
        <w:rPr>
          <w:shd w:val="clear" w:color="auto" w:fill="FFFFFF"/>
        </w:rPr>
        <w:t>pfordrer til en specifik handlingsplan for ren teknologi;</w:t>
      </w:r>
    </w:p>
    <w:p w:rsidR="00E365E1" w:rsidRPr="00726B68" w:rsidRDefault="00D9319E" w:rsidP="00300EA0">
      <w:pPr>
        <w:ind w:left="567" w:hanging="567"/>
      </w:pPr>
      <w:r w:rsidRPr="00726B68">
        <w:t>21.</w:t>
      </w:r>
      <w:r w:rsidRPr="00726B68">
        <w:tab/>
        <w:t>pålægger sin formand at sende denne beslutning til Kommissionen og Rådet samt til medlemsstaternes regeringer og parlamenter.</w:t>
      </w:r>
    </w:p>
    <w:sectPr w:rsidR="00E365E1" w:rsidRPr="00726B68" w:rsidSect="00726B6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FE9" w:rsidRPr="00726B68" w:rsidRDefault="006A3FE9">
      <w:r w:rsidRPr="00726B68">
        <w:separator/>
      </w:r>
    </w:p>
  </w:endnote>
  <w:endnote w:type="continuationSeparator" w:id="0">
    <w:p w:rsidR="006A3FE9" w:rsidRPr="00726B68" w:rsidRDefault="006A3FE9">
      <w:r w:rsidRPr="00726B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B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B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B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FE9" w:rsidRPr="00726B68" w:rsidRDefault="006A3FE9">
      <w:r w:rsidRPr="00726B68">
        <w:separator/>
      </w:r>
    </w:p>
  </w:footnote>
  <w:footnote w:type="continuationSeparator" w:id="0">
    <w:p w:rsidR="006A3FE9" w:rsidRPr="00726B68" w:rsidRDefault="006A3FE9">
      <w:r w:rsidRPr="00726B68">
        <w:continuationSeparator/>
      </w:r>
    </w:p>
  </w:footnote>
  <w:footnote w:id="1">
    <w:p w:rsidR="00D9319E" w:rsidRPr="00726B68" w:rsidRDefault="00D9319E" w:rsidP="00726B68">
      <w:pPr>
        <w:pStyle w:val="FootnoteText"/>
        <w:ind w:left="567" w:hanging="567"/>
        <w:rPr>
          <w:i/>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hyperlink r:id="rId1" w:history="1">
        <w:r w:rsidRPr="00850570">
          <w:rPr>
            <w:rStyle w:val="Hyperlink"/>
            <w:color w:val="000000" w:themeColor="text1"/>
            <w:sz w:val="24"/>
            <w:u w:val="none"/>
            <w:lang w:val="da-DK"/>
          </w:rPr>
          <w:t>EUT C 125 af 5.4.2023, s. 124</w:t>
        </w:r>
      </w:hyperlink>
      <w:r w:rsidRPr="00850570">
        <w:rPr>
          <w:color w:val="000000" w:themeColor="text1"/>
          <w:sz w:val="24"/>
          <w:lang w:val="da-DK"/>
        </w:rPr>
        <w:t>.</w:t>
      </w:r>
    </w:p>
  </w:footnote>
  <w:footnote w:id="2">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Vedtagne tekster, P10_</w:t>
      </w:r>
      <w:proofErr w:type="gramStart"/>
      <w:r w:rsidRPr="00726B68">
        <w:rPr>
          <w:sz w:val="24"/>
          <w:lang w:val="da-DK"/>
        </w:rPr>
        <w:t>TA(</w:t>
      </w:r>
      <w:proofErr w:type="gramEnd"/>
      <w:r w:rsidRPr="00726B68">
        <w:rPr>
          <w:sz w:val="24"/>
          <w:lang w:val="da-DK"/>
        </w:rPr>
        <w:t>2025)0065.</w:t>
      </w:r>
    </w:p>
  </w:footnote>
  <w:footnote w:id="3">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 ELI: </w:t>
      </w:r>
      <w:hyperlink r:id="rId2" w:history="1">
        <w:r w:rsidRPr="00726B68">
          <w:rPr>
            <w:rStyle w:val="Hyperlink"/>
            <w:sz w:val="24"/>
            <w:lang w:val="da-DK"/>
          </w:rPr>
          <w:t>http://data.europa.eu/eli/reg/2018/1999/oj</w:t>
        </w:r>
      </w:hyperlink>
      <w:r w:rsidRPr="00726B68">
        <w:rPr>
          <w:sz w:val="24"/>
          <w:lang w:val="da-DK"/>
        </w:rPr>
        <w:t>).</w:t>
      </w:r>
    </w:p>
  </w:footnote>
  <w:footnote w:id="4">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Rådets direktiv 2003/96/EF af 27. oktober 2003 om omstrukturering af EF-bestemmelserne for beskatning af energiprodukter og elektricitet (EUT L 283 af 31.10.2003, s. 51, ELI: </w:t>
      </w:r>
      <w:hyperlink r:id="rId3" w:history="1">
        <w:r w:rsidRPr="00726B68">
          <w:rPr>
            <w:rStyle w:val="Hyperlink"/>
            <w:sz w:val="24"/>
            <w:lang w:val="da-DK"/>
          </w:rPr>
          <w:t>http://data.europa.eu/eli/dir/2003/96/oj</w:t>
        </w:r>
      </w:hyperlink>
      <w:r w:rsidRPr="00726B68">
        <w:rPr>
          <w:sz w:val="24"/>
          <w:lang w:val="da-DK"/>
        </w:rPr>
        <w:t>).</w:t>
      </w:r>
    </w:p>
  </w:footnote>
  <w:footnote w:id="5">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Europa-Parlamentets og Rådets direktiv (EU) 2023/2413 af 18. oktober 2023 om ændring af direktiv (EU) 2018/2001, forordning (EU) 2018/1999 og direktiv 98/70/EF for så vidt angår fremme af energi fra vedvarende energikilder og om ophævelse af Rådets direktiv (EU) 2015/652 (EUT L, 2023/2413, 31.10.2023, ELI: </w:t>
      </w:r>
      <w:hyperlink r:id="rId4" w:history="1">
        <w:r w:rsidRPr="00726B68">
          <w:rPr>
            <w:rStyle w:val="Hyperlink"/>
            <w:sz w:val="24"/>
            <w:lang w:val="da-DK"/>
          </w:rPr>
          <w:t>http://data.europa.eu/eli/dir/2023/2413/oj</w:t>
        </w:r>
      </w:hyperlink>
      <w:r w:rsidRPr="00726B68">
        <w:rPr>
          <w:sz w:val="24"/>
          <w:lang w:val="da-DK"/>
        </w:rPr>
        <w:t>).</w:t>
      </w:r>
    </w:p>
  </w:footnote>
  <w:footnote w:id="6">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 xml:space="preserve">Europa-Parlamentets og Rådets forordning (EU) 2024/1735 af 13. juni 2024 om fastlæggelse af en ramme for foranstaltninger til styrkelse af Europas økosystem for fremstilling af </w:t>
      </w:r>
      <w:proofErr w:type="spellStart"/>
      <w:r w:rsidRPr="00726B68">
        <w:rPr>
          <w:sz w:val="24"/>
          <w:lang w:val="da-DK"/>
        </w:rPr>
        <w:t>nettonulteknologiprodukter</w:t>
      </w:r>
      <w:proofErr w:type="spellEnd"/>
      <w:r w:rsidRPr="00726B68">
        <w:rPr>
          <w:sz w:val="24"/>
          <w:lang w:val="da-DK"/>
        </w:rPr>
        <w:t xml:space="preserve"> og om ændring af forordning (EU) 2018/1724 (EUT L, 2024/1735, 28.6.2024, ELI: </w:t>
      </w:r>
      <w:hyperlink r:id="rId5" w:history="1">
        <w:r w:rsidRPr="00726B68">
          <w:rPr>
            <w:rStyle w:val="Hyperlink"/>
            <w:sz w:val="24"/>
            <w:lang w:val="da-DK"/>
          </w:rPr>
          <w:t>http://data.europa.eu/eli/reg/2024/1735/oj</w:t>
        </w:r>
      </w:hyperlink>
      <w:r w:rsidRPr="00726B68">
        <w:rPr>
          <w:sz w:val="24"/>
          <w:lang w:val="da-DK"/>
        </w:rPr>
        <w:t>). </w:t>
      </w:r>
    </w:p>
  </w:footnote>
  <w:footnote w:id="7">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 xml:space="preserve">Europa-Parlamentets og Rådets direktiv (EU) 2024/1788 af 13. juni 2024 om fælles regler for de indre markeder for vedvarende gas, naturgas og brint, om ændring af direktiv (EU) 2023/1791 og om ophævelse af direktiv 2009/73/EF (omarbejdning) (EUT L, 2024/1788, 15.7.2024, ELI: </w:t>
      </w:r>
      <w:hyperlink r:id="rId6" w:history="1">
        <w:r w:rsidRPr="00726B68">
          <w:rPr>
            <w:rStyle w:val="Hyperlink"/>
            <w:sz w:val="24"/>
            <w:lang w:val="da-DK"/>
          </w:rPr>
          <w:t>http://data.europa.eu/eli/dir/2024/1788/oj</w:t>
        </w:r>
      </w:hyperlink>
      <w:r w:rsidRPr="00726B68">
        <w:rPr>
          <w:sz w:val="24"/>
          <w:lang w:val="da-DK"/>
        </w:rPr>
        <w:t>).</w:t>
      </w:r>
    </w:p>
  </w:footnote>
  <w:footnote w:id="8">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 xml:space="preserve">Kommissionens delegerede forordning (EU) 2023/1184 af 10. februar 2023 om supplerende regler til Europa-Parlamentets og Rådets direktiv (EU) 2018/2001 om fastlæggelse af en EU-metode med detaljerede regler for produktion af vedvarende flydende eller </w:t>
      </w:r>
      <w:proofErr w:type="spellStart"/>
      <w:r w:rsidRPr="00726B68">
        <w:rPr>
          <w:sz w:val="24"/>
          <w:lang w:val="da-DK"/>
        </w:rPr>
        <w:t>gasformige</w:t>
      </w:r>
      <w:proofErr w:type="spellEnd"/>
      <w:r w:rsidRPr="00726B68">
        <w:rPr>
          <w:sz w:val="24"/>
          <w:lang w:val="da-DK"/>
        </w:rPr>
        <w:t xml:space="preserve"> transportbrændstoffer, der ikke er af biologisk oprindelse (EUT L 157 af 20.6.2023, s. 11., ELI: </w:t>
      </w:r>
      <w:hyperlink r:id="rId7" w:history="1">
        <w:r w:rsidRPr="00726B68">
          <w:rPr>
            <w:rStyle w:val="Hyperlink"/>
            <w:sz w:val="24"/>
            <w:lang w:val="da-DK"/>
          </w:rPr>
          <w:t>http://data.europa.eu/eli/reg_del/2023/1184/oj</w:t>
        </w:r>
      </w:hyperlink>
      <w:r w:rsidRPr="00726B68">
        <w:rPr>
          <w:sz w:val="24"/>
          <w:lang w:val="da-DK"/>
        </w:rPr>
        <w:t>).</w:t>
      </w:r>
    </w:p>
  </w:footnote>
  <w:footnote w:id="9">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Europa-Parlamentets og Rådets forordning (EU) 2024/1781 af 13. juni 2024 om fastlæggelse af en ramme for fastsættelse af krav til miljøvenligt design for bæredygtige produkter, om ændring af direktiv (EU) 2020/1828 og forordning (EU) 2023/1542 og om ophævelse af direktiv 2009/125/EF (EUT L, 2024/1781, 28.6.2024, ELI: </w:t>
      </w:r>
      <w:hyperlink r:id="rId8" w:history="1">
        <w:r w:rsidRPr="00726B68">
          <w:rPr>
            <w:rStyle w:val="Hyperlink"/>
            <w:sz w:val="24"/>
            <w:lang w:val="da-DK"/>
          </w:rPr>
          <w:t>http://data.europa.eu/eli/reg/2024/1781/oj</w:t>
        </w:r>
      </w:hyperlink>
      <w:r w:rsidRPr="00726B68">
        <w:rPr>
          <w:sz w:val="24"/>
          <w:lang w:val="da-DK"/>
        </w:rPr>
        <w:t>).</w:t>
      </w:r>
    </w:p>
  </w:footnote>
  <w:footnote w:id="10">
    <w:p w:rsidR="00D9319E" w:rsidRPr="00726B68" w:rsidRDefault="00D9319E" w:rsidP="00726B68">
      <w:pPr>
        <w:pStyle w:val="FootnoteText"/>
        <w:ind w:left="567" w:hanging="567"/>
        <w:rPr>
          <w:sz w:val="24"/>
          <w:lang w:val="da-DK"/>
        </w:rPr>
      </w:pPr>
      <w:r w:rsidRPr="00726B68">
        <w:rPr>
          <w:sz w:val="24"/>
          <w:vertAlign w:val="superscript"/>
          <w:lang w:val="da-DK"/>
        </w:rPr>
        <w:footnoteRef/>
      </w:r>
      <w:r w:rsidR="00726B68" w:rsidRPr="00726B68">
        <w:rPr>
          <w:sz w:val="24"/>
          <w:lang w:val="da-DK"/>
        </w:rPr>
        <w:t xml:space="preserve"> </w:t>
      </w:r>
      <w:r w:rsidR="00726B68" w:rsidRPr="00726B68">
        <w:rPr>
          <w:sz w:val="24"/>
          <w:lang w:val="da-DK"/>
        </w:rPr>
        <w:tab/>
      </w:r>
      <w:r w:rsidRPr="00726B68">
        <w:rPr>
          <w:sz w:val="24"/>
          <w:lang w:val="da-DK"/>
        </w:rPr>
        <w:t>Europa-Parlamentets og Rådets forordning (EU) 2024/3110 af 27. november 2024 om fastlæggelse af harmoniserede regler for markedsføring af byggevarer og om ophævelse af forordning (EU) nr. 305/2011 (EUT L, 2024/3110, 18.12.2024, ELI: </w:t>
      </w:r>
      <w:hyperlink r:id="rId9" w:history="1">
        <w:r w:rsidRPr="00726B68">
          <w:rPr>
            <w:rStyle w:val="Hyperlink"/>
            <w:sz w:val="24"/>
            <w:lang w:val="da-DK"/>
          </w:rPr>
          <w:t>http://data.europa.eu/eli/reg/2024/3110/oj</w:t>
        </w:r>
      </w:hyperlink>
      <w:r w:rsidRPr="00726B68">
        <w:rPr>
          <w:sz w:val="24"/>
          <w:lang w:val="da-DK"/>
        </w:rPr>
        <w:t>).</w:t>
      </w:r>
    </w:p>
  </w:footnote>
  <w:footnote w:id="11">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Europa-Parlamentets og Rådets forordning (EU) 2024/1252 af 11. april 2024 om fastlæggelse af en ramme for at sikre en sikker og bæredygtig forsyning med kritiske råstoffer og om ændring af forordning (EU) nr. 168/2013, (EU) 2018/858, (EU) 2018/1724 og (EU) 2019/1020 (EUT L, 2024/1252, 3.5.2024, ELI: </w:t>
      </w:r>
      <w:hyperlink r:id="rId10" w:history="1">
        <w:r w:rsidRPr="00726B68">
          <w:rPr>
            <w:rStyle w:val="Hyperlink"/>
            <w:sz w:val="24"/>
            <w:lang w:val="da-DK"/>
          </w:rPr>
          <w:t>http://data.europa.eu/eli/reg/2024/1252/oj</w:t>
        </w:r>
      </w:hyperlink>
      <w:r w:rsidRPr="00726B68">
        <w:rPr>
          <w:sz w:val="24"/>
          <w:lang w:val="da-DK"/>
        </w:rPr>
        <w:t>).</w:t>
      </w:r>
    </w:p>
  </w:footnote>
  <w:footnote w:id="12">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Europa-Parlamentets og Rådets forordning (EU) 2024/1157 af 11. april 2024 om overførsel af affald og om ændring af forordning (EU) nr. 1257/2013 og (EU) 2020/1056 og om ophævelse af forordning (EF) nr. 1013/2006 (EUT L, 2024/1157, 30.4.2024, ELI: </w:t>
      </w:r>
      <w:hyperlink r:id="rId11" w:history="1">
        <w:r w:rsidRPr="00726B68">
          <w:rPr>
            <w:rStyle w:val="Hyperlink"/>
            <w:sz w:val="24"/>
            <w:lang w:val="da-DK"/>
          </w:rPr>
          <w:t>http://data.europa.eu/eli/reg/2024/1157/oj</w:t>
        </w:r>
      </w:hyperlink>
      <w:r w:rsidRPr="00726B68">
        <w:rPr>
          <w:sz w:val="24"/>
          <w:lang w:val="da-DK"/>
        </w:rPr>
        <w:t>).</w:t>
      </w:r>
    </w:p>
  </w:footnote>
  <w:footnote w:id="13">
    <w:p w:rsidR="00D9319E" w:rsidRPr="00726B68" w:rsidRDefault="00D9319E" w:rsidP="00726B68">
      <w:pPr>
        <w:pStyle w:val="FootnoteText"/>
        <w:ind w:left="567" w:hanging="567"/>
        <w:rPr>
          <w:sz w:val="24"/>
          <w:lang w:val="da-DK"/>
        </w:rPr>
      </w:pPr>
      <w:r w:rsidRPr="00726B68">
        <w:rPr>
          <w:rStyle w:val="FootnoteReference"/>
          <w:sz w:val="24"/>
          <w:lang w:val="da-DK"/>
        </w:rPr>
        <w:footnoteRef/>
      </w:r>
      <w:r w:rsidR="00726B68" w:rsidRPr="00726B68">
        <w:rPr>
          <w:sz w:val="24"/>
          <w:lang w:val="da-DK"/>
        </w:rPr>
        <w:t xml:space="preserve"> </w:t>
      </w:r>
      <w:r w:rsidR="00726B68" w:rsidRPr="00726B68">
        <w:rPr>
          <w:sz w:val="24"/>
          <w:lang w:val="da-DK"/>
        </w:rPr>
        <w:tab/>
      </w:r>
      <w:r w:rsidRPr="00726B68">
        <w:rPr>
          <w:sz w:val="24"/>
          <w:lang w:val="da-DK"/>
        </w:rPr>
        <w:t>Europa-Parlamentets og Rådets forordning (EU) 2022/2560 af 14. december 2022 om udenlandske subsidier, der fordrejer det indre marked (EUT L 330 af 23.12.2022, s. 1, ELI: </w:t>
      </w:r>
      <w:hyperlink r:id="rId12" w:history="1">
        <w:r w:rsidRPr="00726B68">
          <w:rPr>
            <w:rStyle w:val="Hyperlink"/>
            <w:sz w:val="24"/>
            <w:lang w:val="da-DK"/>
          </w:rPr>
          <w:t>http://data.europa.eu/eli/reg/2022/2560/oj</w:t>
        </w:r>
      </w:hyperlink>
      <w:r w:rsidRPr="00726B6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B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B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B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2025"/>
    <w:docVar w:name="dvlangue" w:val="DA"/>
    <w:docVar w:name="dvnumam" w:val="0"/>
    <w:docVar w:name="dvpe" w:val="773.358"/>
    <w:docVar w:name="dvtitre" w:val="Europa-Parlamentets beslutning af xx.xx 2025 om aftalen om ren industri(2025/2656(RSP))"/>
  </w:docVars>
  <w:rsids>
    <w:rsidRoot w:val="006A3FE9"/>
    <w:rsid w:val="00002272"/>
    <w:rsid w:val="00064002"/>
    <w:rsid w:val="000677B9"/>
    <w:rsid w:val="000831BA"/>
    <w:rsid w:val="000A42CC"/>
    <w:rsid w:val="000B3462"/>
    <w:rsid w:val="000E7DD9"/>
    <w:rsid w:val="0010095E"/>
    <w:rsid w:val="00125B37"/>
    <w:rsid w:val="00187494"/>
    <w:rsid w:val="001F32AE"/>
    <w:rsid w:val="002767FF"/>
    <w:rsid w:val="002B18FE"/>
    <w:rsid w:val="002B5493"/>
    <w:rsid w:val="00300EA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FE9"/>
    <w:rsid w:val="006E5CC1"/>
    <w:rsid w:val="006F74FA"/>
    <w:rsid w:val="00726B68"/>
    <w:rsid w:val="00731ADD"/>
    <w:rsid w:val="00734777"/>
    <w:rsid w:val="00734D6E"/>
    <w:rsid w:val="00747932"/>
    <w:rsid w:val="00751A4A"/>
    <w:rsid w:val="00756632"/>
    <w:rsid w:val="00762C74"/>
    <w:rsid w:val="00786EC0"/>
    <w:rsid w:val="007D1690"/>
    <w:rsid w:val="007E22AD"/>
    <w:rsid w:val="00817416"/>
    <w:rsid w:val="008303B8"/>
    <w:rsid w:val="00842779"/>
    <w:rsid w:val="0085057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AB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19E"/>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707267-4162-46AE-B945-C027EC7BA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9319E"/>
    <w:pPr>
      <w:spacing w:after="240"/>
      <w:ind w:left="567" w:hanging="567"/>
    </w:pPr>
  </w:style>
  <w:style w:type="character" w:styleId="Hyperlink">
    <w:name w:val="Hyperlink"/>
    <w:basedOn w:val="DefaultParagraphFont"/>
    <w:uiPriority w:val="99"/>
    <w:unhideWhenUsed/>
    <w:rsid w:val="00D9319E"/>
    <w:rPr>
      <w:color w:val="0000FF"/>
      <w:u w:val="single"/>
    </w:rPr>
  </w:style>
  <w:style w:type="paragraph" w:styleId="BalloonText">
    <w:name w:val="Balloon Text"/>
    <w:basedOn w:val="Normal"/>
    <w:link w:val="BalloonTextChar"/>
    <w:rsid w:val="00300EA0"/>
    <w:rPr>
      <w:rFonts w:ascii="Segoe UI" w:hAnsi="Segoe UI" w:cs="Segoe UI"/>
      <w:sz w:val="18"/>
      <w:szCs w:val="18"/>
    </w:rPr>
  </w:style>
  <w:style w:type="character" w:customStyle="1" w:styleId="BalloonTextChar">
    <w:name w:val="Balloon Text Char"/>
    <w:basedOn w:val="DefaultParagraphFont"/>
    <w:link w:val="BalloonText"/>
    <w:rsid w:val="00300EA0"/>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81/oj" TargetMode="External"/><Relationship Id="rId3" Type="http://schemas.openxmlformats.org/officeDocument/2006/relationships/hyperlink" Target="http://data.europa.eu/eli/dir/2003/96/oj" TargetMode="External"/><Relationship Id="rId7" Type="http://schemas.openxmlformats.org/officeDocument/2006/relationships/hyperlink" Target="http://data.europa.eu/eli/reg_del/2023/1184/oj" TargetMode="External"/><Relationship Id="rId12" Type="http://schemas.openxmlformats.org/officeDocument/2006/relationships/hyperlink" Target="http://data.europa.eu/eli/reg/2022/2560/oj" TargetMode="External"/><Relationship Id="rId2" Type="http://schemas.openxmlformats.org/officeDocument/2006/relationships/hyperlink" Target="http://data.europa.eu/eli/reg/2018/1999/oj" TargetMode="External"/><Relationship Id="rId1" Type="http://schemas.openxmlformats.org/officeDocument/2006/relationships/hyperlink" Target="https://eur-lex.europa.eu/legal-content/DA/TXT/?uri=CELEX:52022IP0329" TargetMode="External"/><Relationship Id="rId6" Type="http://schemas.openxmlformats.org/officeDocument/2006/relationships/hyperlink" Target="http://data.europa.eu/eli/dir/2024/1788/oj" TargetMode="External"/><Relationship Id="rId11" Type="http://schemas.openxmlformats.org/officeDocument/2006/relationships/hyperlink" Target="http://data.europa.eu/eli/reg/2024/1157/oj" TargetMode="External"/><Relationship Id="rId5" Type="http://schemas.openxmlformats.org/officeDocument/2006/relationships/hyperlink" Target="http://data.europa.eu/eli/reg/2024/1735/oj" TargetMode="External"/><Relationship Id="rId10" Type="http://schemas.openxmlformats.org/officeDocument/2006/relationships/hyperlink" Target="http://data.europa.eu/eli/reg/2024/1252/oj" TargetMode="External"/><Relationship Id="rId4" Type="http://schemas.openxmlformats.org/officeDocument/2006/relationships/hyperlink" Target="http://data.europa.eu/eli/dir/2023/2413/oj" TargetMode="External"/><Relationship Id="rId9" Type="http://schemas.openxmlformats.org/officeDocument/2006/relationships/hyperlink" Target="http://data.europa.eu/eli/reg/2024/31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AAE28-7458-45CE-B796-F3A806251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2555</Words>
  <Characters>17095</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2025-07-11T07:27:00Z</dcterms:created>
  <dcterms:modified xsi:type="dcterms:W3CDTF">2025-07-11T07:27:00Z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P10_TA(2025)0137_</vt:lpwstr>
  </property>
  <property fmtid="{D5CDD505-2E9C-101B-9397-08002B2CF9AE}" pid="4" name="&lt;Type&gt;">
    <vt:lpwstr>RR</vt:lpwstr>
  </property>
</Properties>
</file>