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3B0E" w14:paraId="07DC9FA3" w14:textId="77777777" w:rsidTr="0010095E">
        <w:trPr>
          <w:trHeight w:hRule="exact" w:val="1418"/>
        </w:trPr>
        <w:tc>
          <w:tcPr>
            <w:tcW w:w="6804" w:type="dxa"/>
            <w:shd w:val="clear" w:color="auto" w:fill="auto"/>
            <w:vAlign w:val="center"/>
          </w:tcPr>
          <w:p w14:paraId="152D445F" w14:textId="77777777" w:rsidR="00751A4A" w:rsidRPr="00693B0E" w:rsidRDefault="00D462A7" w:rsidP="0010095E">
            <w:pPr>
              <w:pStyle w:val="EPName"/>
            </w:pPr>
            <w:r w:rsidRPr="00693B0E">
              <w:t>Ευρωπαϊκό Κοινοβούλιο</w:t>
            </w:r>
          </w:p>
          <w:p w14:paraId="04A4AD82" w14:textId="77777777" w:rsidR="00751A4A" w:rsidRPr="00693B0E" w:rsidRDefault="005F1B17" w:rsidP="005F1B17">
            <w:pPr>
              <w:pStyle w:val="EPTerm"/>
              <w:rPr>
                <w:rStyle w:val="HideTWBExt"/>
                <w:noProof w:val="0"/>
                <w:vanish w:val="0"/>
                <w:color w:val="auto"/>
              </w:rPr>
            </w:pPr>
            <w:r w:rsidRPr="00693B0E">
              <w:t>2024</w:t>
            </w:r>
            <w:r w:rsidR="00817416" w:rsidRPr="00693B0E">
              <w:t>-202</w:t>
            </w:r>
            <w:r w:rsidRPr="00693B0E">
              <w:t>9</w:t>
            </w:r>
          </w:p>
        </w:tc>
        <w:tc>
          <w:tcPr>
            <w:tcW w:w="2268" w:type="dxa"/>
            <w:shd w:val="clear" w:color="auto" w:fill="auto"/>
          </w:tcPr>
          <w:p w14:paraId="3CA10228" w14:textId="77777777" w:rsidR="00751A4A" w:rsidRPr="00693B0E" w:rsidRDefault="00187494" w:rsidP="0010095E">
            <w:pPr>
              <w:pStyle w:val="EPLogo"/>
            </w:pPr>
            <w:r w:rsidRPr="00693B0E">
              <w:rPr>
                <w:noProof/>
                <w:lang w:val="en-GB"/>
              </w:rPr>
              <w:drawing>
                <wp:inline distT="0" distB="0" distL="0" distR="0" wp14:anchorId="28FA85F8" wp14:editId="2DF242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E4E14B" w14:textId="77777777" w:rsidR="00D058B8" w:rsidRPr="00693B0E" w:rsidRDefault="00D058B8" w:rsidP="004C5D52">
      <w:pPr>
        <w:pStyle w:val="LineTop"/>
      </w:pPr>
    </w:p>
    <w:p w14:paraId="28A3D31D" w14:textId="77777777" w:rsidR="00680577" w:rsidRPr="00693B0E" w:rsidRDefault="00D462A7" w:rsidP="00680577">
      <w:pPr>
        <w:pStyle w:val="EPBodyTA1"/>
      </w:pPr>
      <w:r w:rsidRPr="00693B0E">
        <w:t>ΚΕΙΜΕΝΑ ΠΟΥ ΕΓΚΡΙΘΗΚΑΝ</w:t>
      </w:r>
    </w:p>
    <w:p w14:paraId="2FE6C359" w14:textId="77777777" w:rsidR="00D058B8" w:rsidRPr="00693B0E" w:rsidRDefault="00D058B8" w:rsidP="00D058B8">
      <w:pPr>
        <w:pStyle w:val="LineBottom"/>
      </w:pPr>
    </w:p>
    <w:p w14:paraId="42E0EF92" w14:textId="77777777" w:rsidR="00D462A7" w:rsidRPr="00693B0E" w:rsidRDefault="00D462A7" w:rsidP="00D462A7">
      <w:pPr>
        <w:pStyle w:val="ATHeading1"/>
      </w:pPr>
      <w:bookmarkStart w:id="0" w:name="TANumber"/>
      <w:r w:rsidRPr="00693B0E">
        <w:t>P10_TA(2025)0</w:t>
      </w:r>
      <w:r w:rsidR="000C795F" w:rsidRPr="008C2D4D">
        <w:t>137</w:t>
      </w:r>
      <w:bookmarkEnd w:id="0"/>
    </w:p>
    <w:p w14:paraId="4A537D65" w14:textId="77777777" w:rsidR="00D462A7" w:rsidRPr="00693B0E" w:rsidRDefault="00D462A7" w:rsidP="00D462A7">
      <w:pPr>
        <w:pStyle w:val="ATHeading2"/>
      </w:pPr>
      <w:bookmarkStart w:id="1" w:name="title"/>
      <w:r w:rsidRPr="00693B0E">
        <w:t>Συμφωνία για καθαρή βιομηχανία</w:t>
      </w:r>
      <w:bookmarkEnd w:id="1"/>
    </w:p>
    <w:p w14:paraId="7FFE5EDC" w14:textId="77777777" w:rsidR="00D462A7" w:rsidRPr="00693B0E" w:rsidRDefault="00D462A7" w:rsidP="00D462A7">
      <w:pPr>
        <w:rPr>
          <w:i/>
          <w:vanish/>
        </w:rPr>
      </w:pPr>
      <w:r w:rsidRPr="00693B0E">
        <w:rPr>
          <w:i/>
        </w:rPr>
        <w:fldChar w:fldCharType="begin"/>
      </w:r>
      <w:r w:rsidRPr="00693B0E">
        <w:rPr>
          <w:i/>
        </w:rPr>
        <w:instrText xml:space="preserve"> TC"(</w:instrText>
      </w:r>
      <w:bookmarkStart w:id="2" w:name="DocNumber"/>
      <w:r w:rsidRPr="00693B0E">
        <w:rPr>
          <w:i/>
        </w:rPr>
        <w:instrText>B10-0277/2025</w:instrText>
      </w:r>
      <w:bookmarkEnd w:id="2"/>
      <w:r w:rsidRPr="00693B0E">
        <w:rPr>
          <w:i/>
        </w:rPr>
        <w:instrText xml:space="preserve">)"\l3 \n&gt; \* MERGEFORMAT </w:instrText>
      </w:r>
      <w:r w:rsidRPr="00693B0E">
        <w:rPr>
          <w:i/>
        </w:rPr>
        <w:fldChar w:fldCharType="end"/>
      </w:r>
    </w:p>
    <w:p w14:paraId="5C8A0F96" w14:textId="77777777" w:rsidR="00D462A7" w:rsidRPr="00693B0E" w:rsidRDefault="00D462A7" w:rsidP="00D462A7">
      <w:pPr>
        <w:rPr>
          <w:vanish/>
        </w:rPr>
      </w:pPr>
      <w:bookmarkStart w:id="3" w:name="PE"/>
      <w:r w:rsidRPr="00693B0E">
        <w:rPr>
          <w:vanish/>
        </w:rPr>
        <w:t>PE773.358</w:t>
      </w:r>
      <w:bookmarkEnd w:id="3"/>
    </w:p>
    <w:p w14:paraId="3784DC76" w14:textId="77777777" w:rsidR="00D462A7" w:rsidRPr="00693B0E" w:rsidRDefault="00D462A7" w:rsidP="00D462A7">
      <w:pPr>
        <w:pStyle w:val="ATHeading3"/>
      </w:pPr>
      <w:bookmarkStart w:id="4" w:name="Sujet"/>
      <w:r w:rsidRPr="00693B0E">
        <w:t xml:space="preserve">Ψήφισμα του Ευρωπαϊκού Κοινοβουλίου </w:t>
      </w:r>
      <w:r w:rsidR="007236B5">
        <w:t xml:space="preserve">της 19ης Ιουνίου 2025 </w:t>
      </w:r>
      <w:r w:rsidRPr="00693B0E">
        <w:t>σχετικά με τη συμφωνία για καθαρή βιομηχανία</w:t>
      </w:r>
      <w:bookmarkEnd w:id="4"/>
      <w:r w:rsidRPr="00693B0E">
        <w:t xml:space="preserve"> </w:t>
      </w:r>
      <w:bookmarkStart w:id="5" w:name="References"/>
      <w:r w:rsidRPr="00693B0E">
        <w:t>(2025/2656(RSP))</w:t>
      </w:r>
      <w:bookmarkEnd w:id="5"/>
    </w:p>
    <w:p w14:paraId="7F0A7514" w14:textId="77777777" w:rsidR="00D03804" w:rsidRDefault="00D03804" w:rsidP="00AF157A">
      <w:pPr>
        <w:widowControl/>
        <w:suppressAutoHyphens/>
        <w:autoSpaceDN w:val="0"/>
        <w:spacing w:after="240"/>
        <w:jc w:val="both"/>
        <w:textAlignment w:val="baseline"/>
        <w:rPr>
          <w:i/>
          <w:iCs/>
        </w:rPr>
      </w:pPr>
      <w:bookmarkStart w:id="6" w:name="TextBodyBegin"/>
      <w:bookmarkEnd w:id="6"/>
    </w:p>
    <w:p w14:paraId="4F3A74C7" w14:textId="77777777" w:rsidR="00AF157A" w:rsidRPr="00693B0E" w:rsidRDefault="00AF157A" w:rsidP="00AF157A">
      <w:pPr>
        <w:widowControl/>
        <w:suppressAutoHyphens/>
        <w:autoSpaceDN w:val="0"/>
        <w:spacing w:after="240"/>
        <w:jc w:val="both"/>
        <w:textAlignment w:val="baseline"/>
        <w:rPr>
          <w:szCs w:val="24"/>
        </w:rPr>
      </w:pPr>
      <w:r w:rsidRPr="00693B0E">
        <w:rPr>
          <w:i/>
          <w:iCs/>
        </w:rPr>
        <w:t>Το Ευρωπαϊκό Κοινοβούλιο</w:t>
      </w:r>
      <w:r w:rsidRPr="00693B0E">
        <w:t>, </w:t>
      </w:r>
    </w:p>
    <w:p w14:paraId="109EE185" w14:textId="77777777" w:rsidR="00AF157A" w:rsidRPr="00693B0E" w:rsidRDefault="00AF157A" w:rsidP="00AF157A">
      <w:pPr>
        <w:pStyle w:val="NormalHanging12a"/>
      </w:pPr>
      <w:r w:rsidRPr="00693B0E">
        <w:t>–</w:t>
      </w:r>
      <w:r w:rsidRPr="00693B0E">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14:paraId="3A3E5C05" w14:textId="77777777" w:rsidR="00AF157A" w:rsidRPr="00693B0E" w:rsidRDefault="00AF157A" w:rsidP="00AF157A">
      <w:pPr>
        <w:pStyle w:val="NormalHanging12a"/>
      </w:pPr>
      <w:r w:rsidRPr="00693B0E">
        <w:t>–</w:t>
      </w:r>
      <w:r w:rsidRPr="00693B0E">
        <w:tab/>
        <w:t>έχοντας υπόψη την ανακοίνωση της Επιτροπής, της 26ης Φεβρουαρίου 2025, με τίτλο «Σχέδιο δράσης για οικονομικά προσιτή ενέργεια – Απελευθέρωση της πραγματικής αξίας της Ενεργειακής μας Ένωσης με σκοπό τη διασφάλιση οικονομικά προσιτής, αποδοτικής και καθαρής ενέργειας για όλους τους Ευρωπαίους» (COM(2025)0079),</w:t>
      </w:r>
    </w:p>
    <w:p w14:paraId="055D0835" w14:textId="77777777" w:rsidR="00AF157A" w:rsidRPr="00693B0E" w:rsidRDefault="00AF157A" w:rsidP="00AF157A">
      <w:pPr>
        <w:pStyle w:val="NormalHanging12a"/>
        <w:rPr>
          <w:szCs w:val="24"/>
        </w:rPr>
      </w:pPr>
      <w:r w:rsidRPr="00693B0E">
        <w:t>–</w:t>
      </w:r>
      <w:r w:rsidRPr="00693B0E">
        <w:tab/>
        <w:t xml:space="preserve">έχοντας υπόψη την έκθεση του </w:t>
      </w:r>
      <w:proofErr w:type="spellStart"/>
      <w:r w:rsidRPr="00693B0E">
        <w:t>Mario</w:t>
      </w:r>
      <w:proofErr w:type="spellEnd"/>
      <w:r w:rsidRPr="00693B0E">
        <w:t xml:space="preserve"> </w:t>
      </w:r>
      <w:proofErr w:type="spellStart"/>
      <w:r w:rsidRPr="00693B0E">
        <w:t>Draghi</w:t>
      </w:r>
      <w:proofErr w:type="spellEnd"/>
      <w:r w:rsidRPr="00693B0E">
        <w:t xml:space="preserve">, της 9ης Σεπτεμβρίου 2024, με τίτλο ««The </w:t>
      </w:r>
      <w:proofErr w:type="spellStart"/>
      <w:r w:rsidRPr="00693B0E">
        <w:t>future</w:t>
      </w:r>
      <w:proofErr w:type="spellEnd"/>
      <w:r w:rsidRPr="00693B0E">
        <w:t xml:space="preserve"> of European </w:t>
      </w:r>
      <w:proofErr w:type="spellStart"/>
      <w:r w:rsidRPr="00693B0E">
        <w:t>competitiveness</w:t>
      </w:r>
      <w:proofErr w:type="spellEnd"/>
      <w:r w:rsidRPr="00693B0E">
        <w:t>» (Το μέλλον της ευρωπαϊκής ανταγωνιστικότητας),</w:t>
      </w:r>
    </w:p>
    <w:p w14:paraId="5D108B4E" w14:textId="77777777" w:rsidR="00AF157A" w:rsidRPr="00693B0E" w:rsidRDefault="00AF157A" w:rsidP="00AF157A">
      <w:pPr>
        <w:pStyle w:val="NormalHanging12a"/>
        <w:rPr>
          <w:szCs w:val="24"/>
        </w:rPr>
      </w:pPr>
      <w:r w:rsidRPr="00693B0E">
        <w:t>–</w:t>
      </w:r>
      <w:r w:rsidRPr="00693B0E">
        <w:tab/>
        <w:t xml:space="preserve">έχοντας υπόψη την έκθεση του </w:t>
      </w:r>
      <w:proofErr w:type="spellStart"/>
      <w:r w:rsidRPr="00693B0E">
        <w:t>Enrico</w:t>
      </w:r>
      <w:proofErr w:type="spellEnd"/>
      <w:r w:rsidRPr="00693B0E">
        <w:t xml:space="preserve"> </w:t>
      </w:r>
      <w:proofErr w:type="spellStart"/>
      <w:r w:rsidRPr="00693B0E">
        <w:t>Letta</w:t>
      </w:r>
      <w:proofErr w:type="spellEnd"/>
      <w:r w:rsidRPr="00693B0E">
        <w:t>, του Απριλίου 2024, με τίτλο «</w:t>
      </w:r>
      <w:proofErr w:type="spellStart"/>
      <w:r w:rsidRPr="00693B0E">
        <w:t>Much</w:t>
      </w:r>
      <w:proofErr w:type="spellEnd"/>
      <w:r w:rsidRPr="00693B0E">
        <w:t xml:space="preserve"> </w:t>
      </w:r>
      <w:proofErr w:type="spellStart"/>
      <w:r w:rsidRPr="00693B0E">
        <w:t>more</w:t>
      </w:r>
      <w:proofErr w:type="spellEnd"/>
      <w:r w:rsidRPr="00693B0E">
        <w:t xml:space="preserve"> </w:t>
      </w:r>
      <w:proofErr w:type="spellStart"/>
      <w:r w:rsidRPr="00693B0E">
        <w:t>than</w:t>
      </w:r>
      <w:proofErr w:type="spellEnd"/>
      <w:r w:rsidRPr="00693B0E">
        <w:t xml:space="preserve"> a </w:t>
      </w:r>
      <w:proofErr w:type="spellStart"/>
      <w:r w:rsidRPr="00693B0E">
        <w:t>market</w:t>
      </w:r>
      <w:proofErr w:type="spellEnd"/>
      <w:r w:rsidRPr="00693B0E">
        <w:t>» (Πολύ περισσότερο από μια απλή αγορά),</w:t>
      </w:r>
    </w:p>
    <w:p w14:paraId="5EBD1610" w14:textId="77777777" w:rsidR="00AF157A" w:rsidRPr="00693B0E" w:rsidRDefault="00AF157A" w:rsidP="00AF157A">
      <w:pPr>
        <w:pStyle w:val="NormalHanging12a"/>
        <w:rPr>
          <w:szCs w:val="24"/>
        </w:rPr>
      </w:pPr>
      <w:r w:rsidRPr="00693B0E">
        <w:t>–</w:t>
      </w:r>
      <w:r w:rsidRPr="00693B0E">
        <w:tab/>
        <w:t>έχοντας υπόψη την ανακοίνωση της Επιτροπής, της 29ης Ιανουαρίου 2025, με τίτλο «Πυξίδα ανταγωνιστικότητας για την ΕΕ» (COM(2025)0030),</w:t>
      </w:r>
    </w:p>
    <w:p w14:paraId="17043EC7" w14:textId="77777777" w:rsidR="00AF157A" w:rsidRPr="00693B0E" w:rsidRDefault="00AF157A" w:rsidP="00AF157A">
      <w:pPr>
        <w:pStyle w:val="NormalHanging12a"/>
        <w:rPr>
          <w:szCs w:val="24"/>
        </w:rPr>
      </w:pPr>
      <w:r w:rsidRPr="00693B0E">
        <w:t>–</w:t>
      </w:r>
      <w:r w:rsidRPr="00693B0E">
        <w:tab/>
        <w:t>έχοντας υπόψη την ανακοίνωση της Επιτροπής, της 19ης Μαρτίου 2025, με τίτλο «Ευρωπαϊκό σχέδιο δράσης για τον χάλυβα και τα μέταλλα» (COM(2025)0125),</w:t>
      </w:r>
    </w:p>
    <w:p w14:paraId="18E91F67" w14:textId="77777777" w:rsidR="00AF157A" w:rsidRPr="00693B0E" w:rsidRDefault="00AF157A" w:rsidP="00AF157A">
      <w:pPr>
        <w:pStyle w:val="NormalHanging12a"/>
        <w:rPr>
          <w:szCs w:val="24"/>
        </w:rPr>
      </w:pPr>
      <w:r w:rsidRPr="00693B0E">
        <w:t>–</w:t>
      </w:r>
      <w:r w:rsidRPr="00693B0E">
        <w:tab/>
        <w:t>έχοντας υπόψη το ψήφισμά του της 15ης Σεπτεμβρίου 2022 σχετικά με την εφαρμογή της επικαιροποιημένης νέας βιομηχανικής στρατηγικής για την Ευρώπη: ευθυγράμμιση των δαπανών με την πολιτική</w:t>
      </w:r>
      <w:r w:rsidRPr="00693B0E">
        <w:rPr>
          <w:rStyle w:val="FootnoteReference"/>
          <w:szCs w:val="24"/>
        </w:rPr>
        <w:footnoteReference w:id="1"/>
      </w:r>
      <w:r w:rsidRPr="00693B0E">
        <w:t>,</w:t>
      </w:r>
    </w:p>
    <w:p w14:paraId="4266745B" w14:textId="77777777" w:rsidR="00AF157A" w:rsidRPr="00693B0E" w:rsidRDefault="00AF157A" w:rsidP="00AF157A">
      <w:pPr>
        <w:pStyle w:val="NormalHanging12a"/>
        <w:rPr>
          <w:szCs w:val="24"/>
        </w:rPr>
      </w:pPr>
      <w:r w:rsidRPr="00693B0E">
        <w:t>–</w:t>
      </w:r>
      <w:r w:rsidRPr="00693B0E">
        <w:tab/>
        <w:t>έχοντας υπόψη το ψήφισμά του της 3ης Απριλίου 2025 σχετικά με τις ενεργοβόρες βιομηχανίες</w:t>
      </w:r>
      <w:r w:rsidRPr="00693B0E">
        <w:rPr>
          <w:rStyle w:val="FootnoteReference"/>
          <w:szCs w:val="24"/>
        </w:rPr>
        <w:footnoteReference w:id="2"/>
      </w:r>
      <w:r w:rsidRPr="00693B0E">
        <w:t xml:space="preserve"> και τη σχετική προφορική ερώτηση O-00010/2025,</w:t>
      </w:r>
    </w:p>
    <w:p w14:paraId="6F8A9AE7" w14:textId="77777777" w:rsidR="00AF157A" w:rsidRPr="00693B0E" w:rsidRDefault="00AF157A" w:rsidP="00AF157A">
      <w:pPr>
        <w:pStyle w:val="NormalHanging12a"/>
        <w:rPr>
          <w:bCs/>
          <w:iCs/>
          <w:szCs w:val="24"/>
        </w:rPr>
      </w:pPr>
      <w:r w:rsidRPr="00693B0E">
        <w:t>–</w:t>
      </w:r>
      <w:r w:rsidRPr="00693B0E">
        <w:tab/>
        <w:t xml:space="preserve">έχοντας υπόψη την ανακοίνωση της Επιτροπής, της 11ης Δεκεμβρίου 2019, σχετικά με </w:t>
      </w:r>
      <w:r w:rsidRPr="00693B0E">
        <w:lastRenderedPageBreak/>
        <w:t>την Ευρωπαϊκή Πράσινη Συμφωνία (COM(2019)0640),</w:t>
      </w:r>
    </w:p>
    <w:p w14:paraId="33657393" w14:textId="77777777" w:rsidR="00AF157A" w:rsidRPr="00693B0E" w:rsidRDefault="00AF157A" w:rsidP="00AF157A">
      <w:pPr>
        <w:pStyle w:val="NormalHanging12a"/>
      </w:pPr>
      <w:r w:rsidRPr="00693B0E">
        <w:t>–</w:t>
      </w:r>
      <w:r w:rsidRPr="00693B0E">
        <w:tab/>
        <w:t>έχοντας υπόψη την έκθεση της Επιτροπής του Βιομηχανίας, Έρευνας και Ενέργειας της 13ης Μαΐου 2025 σχετικά με τα δίκτυα ηλεκτρικής ενέργειας: η ραχοκοκαλιά του ενεργειακού συστήματος της ΕΕ,</w:t>
      </w:r>
    </w:p>
    <w:p w14:paraId="560F985B" w14:textId="77777777" w:rsidR="00AF157A" w:rsidRPr="00693B0E" w:rsidRDefault="00AF157A" w:rsidP="00AF157A">
      <w:pPr>
        <w:pStyle w:val="NormalHanging12a"/>
        <w:rPr>
          <w:szCs w:val="24"/>
        </w:rPr>
      </w:pPr>
      <w:r w:rsidRPr="00693B0E">
        <w:t>–</w:t>
      </w:r>
      <w:r w:rsidRPr="00693B0E">
        <w:tab/>
        <w:t>έχοντας υπόψη την ερώτηση προς την Επιτροπή O-000020/2025,</w:t>
      </w:r>
    </w:p>
    <w:p w14:paraId="2F54BF9D" w14:textId="77777777" w:rsidR="00AF157A" w:rsidRPr="00693B0E" w:rsidRDefault="00AF157A" w:rsidP="00AF157A">
      <w:pPr>
        <w:pStyle w:val="NormalHanging12a"/>
        <w:rPr>
          <w:szCs w:val="24"/>
        </w:rPr>
      </w:pPr>
      <w:r w:rsidRPr="00693B0E">
        <w:t>–</w:t>
      </w:r>
      <w:r w:rsidRPr="00693B0E">
        <w:tab/>
        <w:t>έχοντας υπόψη το άρθρο 142 παράγραφος 5 και το άρθρο 136 παράγραφος 2 του Κανονισμού του,</w:t>
      </w:r>
    </w:p>
    <w:p w14:paraId="6147BABB" w14:textId="77777777" w:rsidR="00AF157A" w:rsidRPr="00693B0E" w:rsidRDefault="00AF157A" w:rsidP="00AF157A">
      <w:pPr>
        <w:pStyle w:val="NormalHanging12a"/>
      </w:pPr>
      <w:r w:rsidRPr="00693B0E">
        <w:t>–</w:t>
      </w:r>
      <w:r w:rsidRPr="00693B0E">
        <w:tab/>
        <w:t>έχοντας υπόψη την πρόταση ψηφίσματος της Επιτροπής Βιομηχανίας, Έρευνας και Ενέργειας,</w:t>
      </w:r>
    </w:p>
    <w:p w14:paraId="17D389D4" w14:textId="77777777" w:rsidR="00AF157A" w:rsidRPr="00693B0E" w:rsidRDefault="00AF157A" w:rsidP="00AF157A">
      <w:pPr>
        <w:pStyle w:val="NormalHanging12a"/>
        <w:rPr>
          <w:szCs w:val="24"/>
        </w:rPr>
      </w:pPr>
      <w:r w:rsidRPr="00693B0E">
        <w:t>Α.</w:t>
      </w:r>
      <w:r w:rsidRPr="00693B0E">
        <w:tab/>
        <w:t>λαμβάνοντας υπόψη ότι η συμφωνία για καθαρή βιομηχανία έχει ως στόχο να συνενώσει τη δράση για το κλίμα και την ανταγωνιστικότητα στο πλαίσιο μιας συνολικής αναπτυξιακής στρατηγικής που θα εστιάζει στη στήριξη των ενεργοβόρων βιομηχανιών και του τομέα της καθαρής τεχνολογίας· λαμβάνοντας υπόψη ότι αυτό είναι απολύτως αναγκαίο, καθώς η μετάβαση σε μια απανθρακοποιημένη και κυκλική οικονομία μπορεί να είναι επιτυχής μόνο όταν διατηρείται η ανταγωνιστικότητα·</w:t>
      </w:r>
    </w:p>
    <w:p w14:paraId="295B4117" w14:textId="77777777" w:rsidR="00AF157A" w:rsidRPr="00693B0E" w:rsidRDefault="00AF157A" w:rsidP="00AF157A">
      <w:pPr>
        <w:pStyle w:val="NormalHanging12a"/>
        <w:rPr>
          <w:szCs w:val="24"/>
        </w:rPr>
      </w:pPr>
      <w:r w:rsidRPr="00693B0E">
        <w:t>Β.</w:t>
      </w:r>
      <w:r w:rsidRPr="00693B0E">
        <w:tab/>
        <w:t>λαμβάνοντας υπόψη ότι το σχέδιο δράσης για οικονομικά προσιτή ενέργεια αποσκοπεί στην παροχή οικονομικά προσιτής καθαρής ενέργειας και βραχυπρόθεσμης ελάφρυνσης μέσω της μείωσης των λογαριασμών ενέργειας, με παράλληλη επιτάχυνση της εφαρμογής των διαρθρωτικών μεταρρυθμίσεων και ενίσχυση των ενεργειακών μας συστημάτων με σκοπό τον μετριασμό των μελλοντικών κλυδωνισμών των τιμών·</w:t>
      </w:r>
    </w:p>
    <w:p w14:paraId="2CDCD63D" w14:textId="77777777" w:rsidR="00AF157A" w:rsidRPr="00693B0E" w:rsidRDefault="00AF157A" w:rsidP="00AF157A">
      <w:pPr>
        <w:pStyle w:val="NormalHanging12a"/>
        <w:rPr>
          <w:szCs w:val="24"/>
        </w:rPr>
      </w:pPr>
      <w:r w:rsidRPr="00693B0E">
        <w:t>Γ.</w:t>
      </w:r>
      <w:r w:rsidRPr="00693B0E">
        <w:tab/>
        <w:t>λαμβάνοντας υπόψη ότι η ευρωπαϊκή βιομηχανία αντιμετωπίζει επί του παρόντος τεράστιες προκλήσεις με υψηλές τιμές της ενέργειας ορυκτής προέλευσης, αθέμιτο διεθνή ανταγωνισμό, απώλεια θέσεων εργασίας και ελλείψεις δεξιοτήτων, με αποτέλεσμα τη μείωση της παραγωγής, τη μετεγκατάσταση και το κλείσιμο εγκαταστάσεων, και ότι το γεγονός αυτό αυξάνει την εξάρτησή μας από εξωτερικούς προμηθευτές και υπονομεύει τη στρατηγική μας αυτονομία, ενώ η καινοτομία, η μεταποίηση και οι εκπομπές που συνδέονται με αυτές κινδυνεύουν να μετεγκατασταθούν αντί να αντιμετωπιστούν στην πηγή·</w:t>
      </w:r>
    </w:p>
    <w:p w14:paraId="2F13B58F" w14:textId="77777777" w:rsidR="00AF157A" w:rsidRPr="00693B0E" w:rsidRDefault="00AF157A" w:rsidP="00AF157A">
      <w:pPr>
        <w:pStyle w:val="NormalHanging12a"/>
        <w:rPr>
          <w:szCs w:val="24"/>
        </w:rPr>
      </w:pPr>
      <w:r w:rsidRPr="00693B0E">
        <w:t>Δ.</w:t>
      </w:r>
      <w:r w:rsidRPr="00693B0E">
        <w:tab/>
        <w:t>λαμβάνοντας υπόψη ότι η ευρωπαϊκή βιομηχανία είναι έτοιμη να κινηθεί προς την κατεύθυνση της βιωσιμότητας, συμβάλλοντας στην επίτευξη κλιματικής ουδετερότητας έως το 2050, και ότι μια ανθεκτική στις μελλοντικές εξελίξεις και απανθρακοποιημένη βιομηχανική βάση μπορεί να προσφέρει σημαντικές ευκαιρίες, αλλά τα έργα απανθρακοποίησης κινδυνεύουν να εγκαταλειφθούν, διότι η επιχειρηματική τους απόδοση εντός της Ευρώπης δεν διασφαλίζεται πλέον·</w:t>
      </w:r>
    </w:p>
    <w:p w14:paraId="2228E8CC" w14:textId="77777777" w:rsidR="00AF157A" w:rsidRPr="00693B0E" w:rsidRDefault="000C795F" w:rsidP="000C795F">
      <w:pPr>
        <w:pStyle w:val="NormalHanging12a"/>
        <w:ind w:hanging="570"/>
        <w:rPr>
          <w:rFonts w:eastAsia="Calibri"/>
          <w:szCs w:val="24"/>
        </w:rPr>
      </w:pPr>
      <w:r w:rsidRPr="00693B0E">
        <w:rPr>
          <w:szCs w:val="24"/>
        </w:rPr>
        <w:t>1.</w:t>
      </w:r>
      <w:r w:rsidRPr="00693B0E">
        <w:rPr>
          <w:szCs w:val="24"/>
        </w:rPr>
        <w:tab/>
      </w:r>
      <w:r w:rsidR="00AF157A" w:rsidRPr="00693B0E">
        <w:t xml:space="preserve">εκφράζει την ικανοποίησή του για τη συμφωνία για καθαρή βιομηχανία ως ένα </w:t>
      </w:r>
      <w:proofErr w:type="spellStart"/>
      <w:r w:rsidR="00AF157A" w:rsidRPr="00693B0E">
        <w:t>πολυαναμενόμενο</w:t>
      </w:r>
      <w:proofErr w:type="spellEnd"/>
      <w:r w:rsidR="00AF157A" w:rsidRPr="00693B0E">
        <w:t xml:space="preserve"> πρώτο βήμα προς την ενίσχυση της βιομηχανικής ανταγωνιστικότητας και καινοτομίας της Ευρώπης, της στρατηγικής της αυτονομίας, της </w:t>
      </w:r>
      <w:proofErr w:type="spellStart"/>
      <w:r w:rsidR="00AF157A" w:rsidRPr="00693B0E">
        <w:t>απανθρακοποίησής</w:t>
      </w:r>
      <w:proofErr w:type="spellEnd"/>
      <w:r w:rsidR="00AF157A" w:rsidRPr="00693B0E">
        <w:t xml:space="preserve"> της, της ευημερίας της και της καθαρής της ανάπτυξης· καλεί επιτακτικά την Επιτροπή να μεταβεί ταχέως από τη στρατηγική στη δράση και την εφαρμογή· αναγνωρίζει ότι οι προτεινόμενες δράσεις πρέπει να επεκταθούν με περαιτέρω μέτρα· τονίζει ότι μια ισχυρή και καλά στοχευμένη βιομηχανική πολιτική είναι ζωτικής σημασίας για τη διασφάλιση μιας ισχυρής και βιώσιμης βιομηχανικής βάσης στην Ευρώπη καθώς και για τη δημιουργία και διατήρηση θέσεων εργασίας </w:t>
      </w:r>
      <w:r w:rsidR="00AF157A" w:rsidRPr="00693B0E">
        <w:lastRenderedPageBreak/>
        <w:t>υψηλής ποιότητας, με παράλληλη απανθρακοποίηση της οικονομίας μας, μείωση της ρύπανσης και ενίσχυση της ανθεκτικότητας της Ευρώπης·</w:t>
      </w:r>
    </w:p>
    <w:p w14:paraId="16779648" w14:textId="77777777" w:rsidR="00AF157A" w:rsidRPr="00693B0E" w:rsidRDefault="000C795F" w:rsidP="000C795F">
      <w:pPr>
        <w:pStyle w:val="NormalHanging12a"/>
        <w:ind w:hanging="570"/>
        <w:rPr>
          <w:rFonts w:eastAsia="Calibri"/>
          <w:szCs w:val="24"/>
        </w:rPr>
      </w:pPr>
      <w:r w:rsidRPr="00693B0E">
        <w:rPr>
          <w:szCs w:val="24"/>
        </w:rPr>
        <w:t>2.</w:t>
      </w:r>
      <w:r w:rsidRPr="00693B0E">
        <w:rPr>
          <w:szCs w:val="24"/>
        </w:rPr>
        <w:tab/>
      </w:r>
      <w:r w:rsidR="00AF157A" w:rsidRPr="00693B0E">
        <w:t>εκφράζει την ικανοποίησή του για τη σύσταση της Τράπεζας για την απανθρακοποίηση της βιομηχανίας με στόχο την κινητοποίηση χρηματοδότησης ύψους 100 δισεκατομμυρίων EUR, καθώς και για το ανακοινωθέν πιλοτικό έργο με δημοπρασία ύψους 1 δισεκατομμυρίου EUR για την απανθρακοποίηση βασικών βιομηχανικών διαδικασιών σε διάφορους τομείς που στηρίζουν την απανθρακοποίηση της βιομηχανίας και τον εξηλεκτρισμό· τονίζει τη σημασία της αύξησης των επενδύσεων και της πρόσβασης σε κεφάλαια για την παραγωγή καθαρής τεχνολογίας, μεταξύ άλλων μέσω πρόσθετης χρηματοδότησης μέσω του Ταμείου Καινοτομίας· ζητεί ευρύτερη συμμετοχή των κρατών μελών στα συστήματα διεξαγωγής δημοπρασιών ως υπηρεσίας· ζητεί την έγκριση επενδυτικών κριτηρίων με βάση τον αντίκτυπο του άνθρακα, τη δυνατότητα επέκτασης και την ασφάλεια του εφοδιασμού· υποστηρίζει τις συμβάσεις επί διαφοράς για τον άνθρακα για τη γεφύρωση του χάσματος μεταξύ της τιμής του άνθρακα και του κόστους των έργων βιομηχανικής διαχείρισης του άνθρακα για τομείς στους οποίους είναι δύσκολο να μειωθούν οι εκπομπές· εξετάζει τη δημιουργία σχετικής γραμμής του προϋπολογισμού για την ανάπτυξη τεχνολογιών βιομηχανικής απανθρακοποίησης στο πλαίσιο της διακυβέρνησης του Ταμείου Ανταγωνιστικότητας·</w:t>
      </w:r>
    </w:p>
    <w:p w14:paraId="04CCF62B" w14:textId="77777777" w:rsidR="00AF157A" w:rsidRPr="00693B0E" w:rsidRDefault="000C795F" w:rsidP="000C795F">
      <w:pPr>
        <w:pStyle w:val="NormalHanging12a"/>
        <w:ind w:hanging="570"/>
        <w:rPr>
          <w:rFonts w:eastAsia="Calibri"/>
          <w:szCs w:val="24"/>
        </w:rPr>
      </w:pPr>
      <w:r w:rsidRPr="00693B0E">
        <w:rPr>
          <w:szCs w:val="24"/>
        </w:rPr>
        <w:t>3.</w:t>
      </w:r>
      <w:r w:rsidRPr="00693B0E">
        <w:rPr>
          <w:szCs w:val="24"/>
        </w:rPr>
        <w:tab/>
      </w:r>
      <w:r w:rsidR="00AF157A" w:rsidRPr="00693B0E">
        <w:t>υποστηρίζει το σχέδιο δράσης για οικονομικά προσιτή ενέργεια και την εστίασή του στην εφαρμογή του σχεδιασμού της αγοράς ηλεκτρικής ενέργειας, μέσω της ενίσχυσης εργαλείων όπως οι συμβάσεις αγοράς ηλεκτρικής ενέργειας (ΣΑΗΕ) και οι αμφίδρομες συμβάσεις επί διαφοράς (</w:t>
      </w:r>
      <w:proofErr w:type="spellStart"/>
      <w:r w:rsidR="00AF157A" w:rsidRPr="00693B0E">
        <w:t>CfD</w:t>
      </w:r>
      <w:proofErr w:type="spellEnd"/>
      <w:r w:rsidR="00AF157A" w:rsidRPr="00693B0E">
        <w:t>) για τη μείωση της επίδρασης των τιμών των ορυκτών καυσίμων στις τιμές της ηλεκτρικής ενέργειας· χαιρετίζει το πιλοτικό πρόγραμμα για εταιρικές ΣΑΗΕ μέσω της Ευρωπαϊκής Τράπεζας Επενδύσεων και τονίζει την ανάγκη μόχλευσης των ΣΑΗΕ για την επέκταση της ικανότητας και την επίτευξη πραγματικής απανθρακοποίησης· καλεί την Επιτροπή να θεσπίσει εργαλεία ελαχιστοποίησης των κινδύνων για την αντιμετώπιση των κύριων εμποδίων που αντιμετωπίζουν οι ενεργοβόρες βιομηχανίες κατά την υπογραφή των ΣΑΗΕ, ιδίως των ΣΑΗΕ από ανανεώσιμες πηγές, καθώς και των συμβάσεων επί διαφοράς για τη μείωση του κινδύνου σε επίπεδο ζήτησης για τους χρήστες ενέργειας, και να διερευνήσει τρόπους για την τόνωση της ανάπτυξης υβριδικών ΣΑΗΕ με αντίστοιχα προϊόντα ευελιξίας·</w:t>
      </w:r>
    </w:p>
    <w:p w14:paraId="460C70F7" w14:textId="77777777" w:rsidR="00AF157A" w:rsidRPr="00693B0E" w:rsidRDefault="000C795F" w:rsidP="000C795F">
      <w:pPr>
        <w:pStyle w:val="NormalHanging12a"/>
        <w:ind w:hanging="570"/>
        <w:rPr>
          <w:rFonts w:eastAsia="Calibri"/>
          <w:szCs w:val="24"/>
        </w:rPr>
      </w:pPr>
      <w:r w:rsidRPr="00693B0E">
        <w:rPr>
          <w:szCs w:val="24"/>
        </w:rPr>
        <w:t>4.</w:t>
      </w:r>
      <w:r w:rsidRPr="00693B0E">
        <w:rPr>
          <w:szCs w:val="24"/>
        </w:rPr>
        <w:tab/>
      </w:r>
      <w:r w:rsidR="00AF157A" w:rsidRPr="00693B0E">
        <w:t xml:space="preserve">υπογραμμίζει την ανάγκη να ενισχυθούν οι ενεργειακές υποδομές, ιδίως οι διασυνοριακές, συμπεριλαμβανομένων των διασυνδέσεων, και να ολοκληρωθεί η Ενεργειακή Ένωση· ζητεί να επιδιωχθεί ένα φιλόδοξο αποτέλεσμα στο πλαίσιο του μελλοντικού διαλόγου για τη βαθύτερη ενοποίηση της αγοράς ηλεκτρικής ενέργειας, καθώς ο υφιστάμενος κατακερματισμός της ρυθμιστικής εποπτείας και του επενδυτικού σχεδιασμού σε όλα τα κράτη μέλη παρεμποδίζει την ενοποίηση και τον εξηλεκτρισμό· καλεί τα κράτη μέλη, τους διαχειριστές συστημάτων μεταφοράς και την Επιτροπή να ενισχύσουν το διασυνοριακό εμπόριο ηλεκτρικής ενέργειας, ώστε να αξιοποιηθούν τα οφέλη από την ενοποίηση της αγοράς και να βελτιωθεί η αξιοπιστία του εφοδιασμού για όλα τα διασυνδεδεμένα μέρη· παροτρύνει τα κράτη μέλη να επιδιώξουν την επίτευξη του τρέχοντος στόχου διασύνδεσης του 15 %, όπως ορίζεται στον κανονισμό </w:t>
      </w:r>
      <w:r w:rsidR="00AF157A" w:rsidRPr="00693B0E">
        <w:lastRenderedPageBreak/>
        <w:t>(ΕΕ) 2018/1999</w:t>
      </w:r>
      <w:r w:rsidR="00AF157A" w:rsidRPr="00693B0E">
        <w:rPr>
          <w:rStyle w:val="FootnoteReference"/>
          <w:bCs/>
          <w:iCs/>
          <w:szCs w:val="24"/>
          <w:lang w:eastAsia="en-US"/>
        </w:rPr>
        <w:footnoteReference w:id="3"/>
      </w:r>
      <w:r w:rsidR="00AF157A" w:rsidRPr="00693B0E">
        <w:t>·</w:t>
      </w:r>
    </w:p>
    <w:p w14:paraId="6656870C" w14:textId="77777777" w:rsidR="00AF157A" w:rsidRPr="00693B0E" w:rsidRDefault="000C795F" w:rsidP="000C795F">
      <w:pPr>
        <w:pStyle w:val="NormalHanging12a"/>
        <w:ind w:hanging="570"/>
        <w:rPr>
          <w:rFonts w:eastAsia="Calibri"/>
          <w:szCs w:val="24"/>
        </w:rPr>
      </w:pPr>
      <w:r w:rsidRPr="00693B0E">
        <w:rPr>
          <w:szCs w:val="24"/>
        </w:rPr>
        <w:t>5.</w:t>
      </w:r>
      <w:r w:rsidRPr="00693B0E">
        <w:rPr>
          <w:szCs w:val="24"/>
        </w:rPr>
        <w:tab/>
      </w:r>
      <w:r w:rsidR="00AF157A" w:rsidRPr="00693B0E">
        <w:t>τονίζει την ανάγκη να ολοκληρωθούν οι εργασίες για την αναθεώρηση της οδηγίας φορολόγησης της ενέργειας</w:t>
      </w:r>
      <w:r w:rsidR="00AF157A" w:rsidRPr="00693B0E">
        <w:rPr>
          <w:rStyle w:val="FootnoteReference"/>
          <w:rFonts w:eastAsia="Calibri"/>
          <w:szCs w:val="24"/>
          <w:lang w:eastAsia="en-US"/>
        </w:rPr>
        <w:footnoteReference w:id="4"/>
      </w:r>
      <w:r w:rsidR="00AF157A" w:rsidRPr="00693B0E">
        <w:t>, η οποία αποσκοπεί στην ευθυγράμμιση της φορολογίας των ενεργειακών προϊόντων με τους στόχους της πολιτικής της ΕΕ για την ενέργεια και το κλίμα, και στην εναρμόνιση του σχεδιασμού μεθοδολογιών τιμολόγησης για τα τέλη δικτύου, υπό την προϋπόθεση ότι τα μέτρα αυτά δεν αποβαίνουν εις βάρος των τελικών καταναλωτών· καλεί τα κράτη μέλη να παράσχουν επειγόντως βραχυπρόθεσμη ανακούφιση στη βιομηχανία και τα νοικοκυριά, για παράδειγμα μέσω της μείωσης των φόρων και των τελών ηλεκτρικής ενέργειας και της αποφυγής αδικαιολόγητων πρόσθετων απαιτήσεων (κανονιστικός υπερθεματισμός όσον αφορά τη νομοθεσία της ΕΕ), όπου αυτό στρεβλώνει τους ισότιμους όρους ανταγωνισμού·</w:t>
      </w:r>
    </w:p>
    <w:p w14:paraId="2087D6F7" w14:textId="77777777" w:rsidR="00AF157A" w:rsidRPr="00693B0E" w:rsidRDefault="000C795F" w:rsidP="000C795F">
      <w:pPr>
        <w:pStyle w:val="NormalHanging12a"/>
        <w:ind w:hanging="570"/>
        <w:rPr>
          <w:rFonts w:eastAsia="Calibri"/>
          <w:szCs w:val="24"/>
        </w:rPr>
      </w:pPr>
      <w:r w:rsidRPr="00693B0E">
        <w:rPr>
          <w:szCs w:val="24"/>
        </w:rPr>
        <w:t>6.</w:t>
      </w:r>
      <w:r w:rsidRPr="00693B0E">
        <w:rPr>
          <w:szCs w:val="24"/>
        </w:rPr>
        <w:tab/>
      </w:r>
      <w:r w:rsidR="00AF157A" w:rsidRPr="00693B0E">
        <w:t>ενθαρρύνει την Επιτροπή και τα κράτη μέλη να βελτιώσουν τον συντονισμό των δαπανών για κρατικές ενισχύσεις όσον αφορά τις κοινές ευρωπαϊκές βιομηχανικές προτεραιότητες και καλεί τα κράτη μέλη να τις χρησιμοποιήσουν για να στηρίξουν τη βιομηχανία στην πορεία προς μια καθαρή μετάβαση, λαμβάνοντας παράλληλα υπόψη τις διαφορετικές δημοσιονομικές ικανότητες· επαναλαμβάνει την ανάγκη για ισότιμους όρους ανταγωνισμού· τονίζει την ανάγκη βελτίωσης του συντονισμού της βιομηχανικής πολιτικής σε ολόκληρη την Ένωση, τόσο μεταξύ των ίδιων των κρατών μελών όσο και μεταξύ των κρατών μελών και της Επιτροπής· υποστηρίζει την ανάπτυξη του εργαλείου συντονισμού της ανταγωνιστικότητας για την καθοδήγηση και την ευθυγράμμιση των εθνικών προσπαθειών· θεωρεί ότι η δημόσια στήριξη θα πρέπει να συμβάλλει στη διασφάλιση των θέσεων εργασίας και της βιομηχανικής δραστηριότητας στην Ευρώπη και ότι οι δικαιούχοι της εν λόγω στήριξης θα πρέπει να δεσμεύονται για τη διασφάλιση αξιοπρεπών συνθηκών απασχόλησης και όρων εργασίας και να συμμετέχουν στον κοινωνικό διάλογο·</w:t>
      </w:r>
    </w:p>
    <w:p w14:paraId="164E8206" w14:textId="77777777" w:rsidR="00AF157A" w:rsidRPr="00693B0E" w:rsidRDefault="000C795F" w:rsidP="000C795F">
      <w:pPr>
        <w:pStyle w:val="NormalHanging12a"/>
        <w:ind w:hanging="570"/>
        <w:rPr>
          <w:rFonts w:eastAsia="Calibri"/>
          <w:szCs w:val="24"/>
        </w:rPr>
      </w:pPr>
      <w:r w:rsidRPr="00693B0E">
        <w:rPr>
          <w:szCs w:val="24"/>
        </w:rPr>
        <w:t>7.</w:t>
      </w:r>
      <w:r w:rsidRPr="00693B0E">
        <w:rPr>
          <w:szCs w:val="24"/>
        </w:rPr>
        <w:tab/>
      </w:r>
      <w:r w:rsidR="00AF157A" w:rsidRPr="00693B0E">
        <w:t xml:space="preserve">υποστηρίζει την απλούστευση και την ψηφιοποίηση ώστε να επιταχυνθούν οι διαδικασίες αδειοδότησης, με παράλληλο σεβασμό των περιβαλλοντικών διασφαλίσεων και προστασία της ανθρώπινης υγείας· καλεί την Επιτροπή να αντιμετωπίσει περαιτέρω τα εμπόδια ως προς την αδειοδότηση για πρόσβαση της βιομηχανίας σε ενέργεια και την απανθρακοποίηση της βιομηχανίας στο πλαίσιο της πράξης για την επιτάχυνση της απανθρακοποίησης της βιομηχανίας, μεταξύ άλλων μέσω της έγκρισης μέτρων για την επίσπευση των δικαστικών και διοικητικών διαδικασιών, και να αξιολογήσει κριτήρια για στοχευμένες εξαιρέσεις όσον αφορά τις εκπομπές και εναποθέσεις από κατασκευές για καθαρά έργα και έργα μηδενικού ισοζυγίου εκπομπών, έργα αποθήκευσης και έργα δικτύου· παροτρύνει τα κράτη μέλη να βελτιώσουν τις διοικητικές τους ικανότητες για </w:t>
      </w:r>
      <w:r w:rsidR="00AF157A" w:rsidRPr="00693B0E">
        <w:lastRenderedPageBreak/>
        <w:t>να διασφαλίσουν την έγκαιρη διεκπεραίωση των αδειών και να εφαρμόσουν πλήρως την οδηγία για τις ανανεώσιμες πηγές ενέργειας</w:t>
      </w:r>
      <w:r w:rsidR="00AF157A" w:rsidRPr="00693B0E">
        <w:rPr>
          <w:rStyle w:val="FootnoteReference"/>
          <w:rFonts w:eastAsia="Calibri"/>
          <w:bCs/>
          <w:iCs/>
          <w:szCs w:val="24"/>
          <w:lang w:eastAsia="en-US"/>
        </w:rPr>
        <w:footnoteReference w:id="5"/>
      </w:r>
      <w:r w:rsidR="00AF157A" w:rsidRPr="00693B0E">
        <w:t>, συμπεριλαμβανομένης της αρχής του υπέρτερου δημόσιου συμφέροντος, και την πράξη για τη βιομηχανία των μηδενικών καθαρών εκπομπών (NZIA)</w:t>
      </w:r>
      <w:r w:rsidR="00AF157A" w:rsidRPr="00693B0E">
        <w:rPr>
          <w:rStyle w:val="FootnoteReference"/>
          <w:rFonts w:eastAsia="Calibri"/>
          <w:bCs/>
          <w:iCs/>
          <w:szCs w:val="24"/>
          <w:lang w:eastAsia="en-US"/>
        </w:rPr>
        <w:footnoteReference w:id="6"/>
      </w:r>
      <w:r w:rsidR="00AF157A" w:rsidRPr="00693B0E">
        <w:t>·</w:t>
      </w:r>
    </w:p>
    <w:p w14:paraId="5CDECDCF" w14:textId="77777777" w:rsidR="00AF157A" w:rsidRPr="00693B0E" w:rsidRDefault="000C795F" w:rsidP="000C795F">
      <w:pPr>
        <w:pStyle w:val="NormalHanging12a"/>
        <w:ind w:hanging="570"/>
        <w:rPr>
          <w:rFonts w:eastAsia="Calibri"/>
          <w:szCs w:val="24"/>
        </w:rPr>
      </w:pPr>
      <w:r w:rsidRPr="00693B0E">
        <w:rPr>
          <w:szCs w:val="24"/>
        </w:rPr>
        <w:t>8.</w:t>
      </w:r>
      <w:r w:rsidRPr="00693B0E">
        <w:rPr>
          <w:szCs w:val="24"/>
        </w:rPr>
        <w:tab/>
      </w:r>
      <w:r w:rsidR="00AF157A" w:rsidRPr="00693B0E">
        <w:t xml:space="preserve">καλεί την Επιτροπή να λάβει υπόψη, για τη διασφάλιση τόσο της ασφάλειας του εφοδιασμού όσο και της οικονομικής του προσιτότητας, όλες τις διαθέσιμες τεχνολογίες που συμβάλλουν στην επίτευξη του στόχου της ΕΕ για κλιματική ουδετερότητα έως το 2050 με οικονομικά αποδοτικό τρόπο, επιδιώκοντας ένα καθαρότερο, σταθερό, ασφαλές και πιο ανεξάρτητο ενεργειακό μείγμα· αναγνωρίζει ότι οι ανανεώσιμες πηγές ενέργειας, παράλληλα με την πυρηνική ενέργεια για τα κράτη μέλη που αποφασίζουν να τη χρησιμοποιήσουν, είναι απαραίτητες για ένα καθαρό και ασφαλές ενεργειακό μείγμα· καλεί την Επιτροπή να ενισχύσει τη συνεργασία σχετικά με την ασφαλή ανάπτυξη και παραγωγή μικρών </w:t>
      </w:r>
      <w:proofErr w:type="spellStart"/>
      <w:r w:rsidR="00AF157A" w:rsidRPr="00693B0E">
        <w:t>δομοστοιχειωτών</w:t>
      </w:r>
      <w:proofErr w:type="spellEnd"/>
      <w:r w:rsidR="00AF157A" w:rsidRPr="00693B0E">
        <w:t xml:space="preserve"> αντιδραστήρων στην Ευρώπη και να προωθήσει την έρευνα στον τομέα της πυρηνικής σύντηξης ως μελλοντικής ενεργειακής τεχνολογίας· εκφράζει την ικανοποίησή του για την εξαγγελθείσα αξιολόγηση της δυνατότητας εξορθολογισμού των πρακτικών αδειοδότησης για νέες τεχνολογίες πυρηνικής ενέργειας·</w:t>
      </w:r>
    </w:p>
    <w:p w14:paraId="6A8A6FCA" w14:textId="77777777" w:rsidR="00AF157A" w:rsidRPr="00693B0E" w:rsidRDefault="000C795F" w:rsidP="000C795F">
      <w:pPr>
        <w:pStyle w:val="NormalHanging12a"/>
        <w:ind w:hanging="570"/>
        <w:rPr>
          <w:rFonts w:eastAsia="Calibri"/>
          <w:szCs w:val="24"/>
        </w:rPr>
      </w:pPr>
      <w:r w:rsidRPr="00693B0E">
        <w:rPr>
          <w:szCs w:val="24"/>
        </w:rPr>
        <w:t>9.</w:t>
      </w:r>
      <w:r w:rsidRPr="00693B0E">
        <w:rPr>
          <w:szCs w:val="24"/>
        </w:rPr>
        <w:tab/>
      </w:r>
      <w:r w:rsidR="00AF157A" w:rsidRPr="00693B0E">
        <w:t>τονίζει τον ρόλο του εξηλεκτρισμού, αλλά σημειώνει ότι απαιτείται η σημαντική επέκταση και ο εκσυγχρονισμός των δικτύων· ζητεί μια «στρατηγική της ΕΕ για την ενεργειακή ευελιξία» με έμφαση στην απόκριση από την πλευρά της ζήτησης και στην αποθήκευση ενέργειας· χαιρετίζει την πρόθεση επικαιροποίησης της στρατηγικής για τη θέρμανση και την ψύξη και του σχεδίου δράσης για τον εξηλεκτρισμό· καλεί την Επιτροπή να αναγνωρίσει τον τομέα της ενεργειακής απόδοσης ως βασικό στρατηγικό τομέα για την απανθρακοποίηση της βιομηχανίας και την ευρωπαϊκή ανταγωνιστικότητα·</w:t>
      </w:r>
    </w:p>
    <w:p w14:paraId="5BEF804F" w14:textId="77777777" w:rsidR="00AF157A" w:rsidRPr="00693B0E" w:rsidRDefault="000C795F" w:rsidP="000C795F">
      <w:pPr>
        <w:pStyle w:val="NormalHanging12a"/>
        <w:ind w:hanging="570"/>
        <w:rPr>
          <w:rFonts w:eastAsia="Calibri"/>
          <w:szCs w:val="24"/>
        </w:rPr>
      </w:pPr>
      <w:r w:rsidRPr="00693B0E">
        <w:rPr>
          <w:szCs w:val="24"/>
        </w:rPr>
        <w:t>10.</w:t>
      </w:r>
      <w:r w:rsidRPr="00693B0E">
        <w:rPr>
          <w:szCs w:val="24"/>
        </w:rPr>
        <w:tab/>
      </w:r>
      <w:r w:rsidR="00AF157A" w:rsidRPr="00693B0E">
        <w:t>τονίζει τον σημαντικό ρόλο που μπορεί να διαδραματίσει το ανανεώσιμο υδρογόνο και το υδρογόνο χαμηλών ανθρακούχων εκπομπών στην απανθρακοποίηση της βιομηχανίας· ζητεί την ταχεία έγκριση και εφαρμογή ενός απλού, τεχνολογικά ουδέτερου και φιλικού προς τις επενδύσεις ορισμού του υδρογόνου χαμηλών ανθρακούχων εκπομπών στον επικείμενο κατ’ εξουσιοδότηση κανονισμό για τη συμπλήρωση της οδηγίας (ΕΕ) 2024/1788</w:t>
      </w:r>
      <w:r w:rsidR="00AF157A" w:rsidRPr="00693B0E">
        <w:rPr>
          <w:rStyle w:val="FootnoteReference"/>
          <w:rFonts w:eastAsia="Calibri"/>
          <w:szCs w:val="24"/>
          <w:lang w:eastAsia="en-US"/>
        </w:rPr>
        <w:footnoteReference w:id="7"/>
      </w:r>
      <w:r w:rsidR="00AF157A" w:rsidRPr="00693B0E">
        <w:t xml:space="preserve"> με τον καθορισμό μεθοδολογίας για την αξιολόγηση της μείωσης των εκπομπών αερίων του θερμοκηπίου με τη χρήση καυσίμων χαμηλών ανθρακούχων εκπομπών, διασφαλίζοντας παράλληλα ότι ο εν λόγω </w:t>
      </w:r>
      <w:r w:rsidR="00AF157A" w:rsidRPr="00693B0E">
        <w:lastRenderedPageBreak/>
        <w:t>ορισμός είναι άρτιος, επιστημονικά τεκμηριωμένος και παρέχει κίνητρα για την παραγωγή και τη χρήση υδρογόνου για τη διασφάλιση της μείωσης των εκπομπών· υποστηρίζει την ανακοίνωση μελέτης σχετικά με τους κανόνες για τα ανανεώσιμα καύσιμα μη βιολογικής προέλευσης· παροτρύνει την Επιτροπή να λάβει υπόψη τα αποτελέσματα της εν λόγω μελέτης και τις ανησυχίες των ενδιαφερόμενων μερών και να προτείνει, κατά περίπτωση, αλλαγές στην κατ’ εξουσιοδότηση πράξη για τα ανανεώσιμα καύσιμα μη βιολογικής προέλευσης</w:t>
      </w:r>
      <w:r w:rsidR="00AF157A" w:rsidRPr="00693B0E">
        <w:rPr>
          <w:rStyle w:val="FootnoteReference"/>
          <w:rFonts w:eastAsia="Calibri"/>
          <w:szCs w:val="24"/>
          <w:lang w:eastAsia="en-US"/>
        </w:rPr>
        <w:footnoteReference w:id="8"/>
      </w:r>
      <w:r w:rsidR="00AF157A" w:rsidRPr="00693B0E">
        <w:t>, προκειμένου να αυξηθεί η παραγωγή ανανεώσιμου υδρογόνου και να μειωθούν οι τιμές του για τους καταναλωτές·</w:t>
      </w:r>
    </w:p>
    <w:p w14:paraId="0E1A2E12" w14:textId="77777777" w:rsidR="00AF157A" w:rsidRPr="00693B0E" w:rsidRDefault="000C795F" w:rsidP="000C795F">
      <w:pPr>
        <w:pStyle w:val="NormalHanging12a"/>
        <w:ind w:hanging="570"/>
        <w:rPr>
          <w:rFonts w:eastAsia="Calibri"/>
          <w:szCs w:val="24"/>
        </w:rPr>
      </w:pPr>
      <w:r w:rsidRPr="00693B0E">
        <w:rPr>
          <w:szCs w:val="24"/>
        </w:rPr>
        <w:t>11.</w:t>
      </w:r>
      <w:r w:rsidRPr="00693B0E">
        <w:rPr>
          <w:szCs w:val="24"/>
        </w:rPr>
        <w:tab/>
      </w:r>
      <w:r w:rsidR="00AF157A" w:rsidRPr="00693B0E">
        <w:t xml:space="preserve">επαναλαμβάνει την ανάγκη να αναπτυχθούν μέτρα για να διασφαλιστεί ο εφοδιασμός με αέριο με μειωμένο κόστος για τους τομείς που δεν μπορούν να βασίζονται ουσιαστικά στον εξηλεκτρισμό βραχυπρόθεσμα και μεσοπρόθεσμα· ζητεί διαφοροποιημένες και αξιόπιστες εταιρικές σχέσεις με γνώμονα την ασφάλεια και τα συμφέροντα της Ένωσης και τον χάρτη πορείας </w:t>
      </w:r>
      <w:proofErr w:type="spellStart"/>
      <w:r w:rsidR="00AF157A" w:rsidRPr="00693B0E">
        <w:t>REPowerEU</w:t>
      </w:r>
      <w:proofErr w:type="spellEnd"/>
      <w:r w:rsidR="00AF157A" w:rsidRPr="00693B0E">
        <w:t>·</w:t>
      </w:r>
    </w:p>
    <w:p w14:paraId="1D661413" w14:textId="77777777" w:rsidR="00AF157A" w:rsidRPr="00693B0E" w:rsidRDefault="000C795F" w:rsidP="000C795F">
      <w:pPr>
        <w:pStyle w:val="NormalHanging12a"/>
        <w:ind w:hanging="570"/>
        <w:rPr>
          <w:rFonts w:eastAsia="Calibri"/>
          <w:szCs w:val="24"/>
        </w:rPr>
      </w:pPr>
      <w:r w:rsidRPr="00693B0E">
        <w:rPr>
          <w:szCs w:val="24"/>
        </w:rPr>
        <w:t>12.</w:t>
      </w:r>
      <w:r w:rsidRPr="00693B0E">
        <w:rPr>
          <w:szCs w:val="24"/>
        </w:rPr>
        <w:tab/>
      </w:r>
      <w:r w:rsidR="00AF157A" w:rsidRPr="00693B0E">
        <w:t>παροτρύνει την Επιτροπή να συμμετάσχει σε τομεακούς διαλόγους με τις βιομηχανίες, την ακαδημαϊκή κοινότητα, τους κοινωνικούς εταίρους και τα σχετικά ενδιαφερόμενα μέρη από τον τομέα των καθαρών τεχνολογιών και τις ενεργοβόρες βιομηχανίες και τους (διασυνοριακούς) περιφερειακούς βιομηχανικούς συνεργατικούς σχηματισμούς για την ενίσχυση της ανταγωνιστικότητάς τους και τη διευκόλυνση των οδών μετάβασής τους· τονίζει ότι τα βιομηχανικά οικοσυστήματα είναι σε μεγάλο βαθμό διασυνδεδεμένα και αποδοτικά, ενώ το κλείσιμο μιας εγκατάστασης επηρεάζει ολόκληρο τον συνεργατικό σχηματισμό· ζητεί παρακολούθηση και υποβολή εκθέσεων σε ετήσια βάση σχετικά με την ανταγωνιστικότητα και την ανθεκτικότητα των βιομηχανικών οικοσυστημάτων μας και σχετικά με την πρόοδο που σημειώνεται όσον αφορά τις οδούς μετάβασης, προκειμένου να είναι δυνατή η ταχεία προσαρμογή των μέσων με εξατομικευμένη υποστήριξη οποτεδήποτε χρειάζεται·</w:t>
      </w:r>
    </w:p>
    <w:p w14:paraId="701CE4D5" w14:textId="77777777" w:rsidR="00AF157A" w:rsidRPr="00693B0E" w:rsidRDefault="000C795F" w:rsidP="000C795F">
      <w:pPr>
        <w:pStyle w:val="NormalHanging12a"/>
        <w:ind w:hanging="570"/>
        <w:rPr>
          <w:bCs/>
          <w:iCs/>
          <w:szCs w:val="24"/>
        </w:rPr>
      </w:pPr>
      <w:r w:rsidRPr="00693B0E">
        <w:rPr>
          <w:bCs/>
          <w:iCs/>
          <w:szCs w:val="24"/>
        </w:rPr>
        <w:t>13.</w:t>
      </w:r>
      <w:r w:rsidRPr="00693B0E">
        <w:rPr>
          <w:bCs/>
          <w:iCs/>
          <w:szCs w:val="24"/>
        </w:rPr>
        <w:tab/>
      </w:r>
      <w:r w:rsidR="00AF157A" w:rsidRPr="00693B0E">
        <w:t xml:space="preserve">υπογραμμίζει ότι η επιτυχία της μετάβασης προς μία καθαρή βιομηχανία εξαρτάται από την εξειδίκευση του εργατικού δυναμικού· καλεί την Επιτροπή και τα κράτη μέλη να αναπτύξουν μια συντονισμένη στρατηγική για τις βιομηχανικές δεξιότητες, ευθυγραμμισμένη με την πράξη για τη βιομηχανία των μηδενικών καθαρών εκπομπών και τις προτεραιότητες για τις καθαρές τεχνολογίες· υποστηρίζει την ταχεία ανάπτυξη και επέκταση των ακαδημιών της βιομηχανίας των μηδενικών καθαρών εκπομπών και των κέντρων επαγγελματικής αριστείας· ενθαρρύνει τη χρήση μέσων της ΕΕ, όπως το ΕΚΤ+, το </w:t>
      </w:r>
      <w:proofErr w:type="spellStart"/>
      <w:r w:rsidR="00AF157A" w:rsidRPr="00693B0E">
        <w:t>Erasmus</w:t>
      </w:r>
      <w:proofErr w:type="spellEnd"/>
      <w:r w:rsidR="00AF157A" w:rsidRPr="00693B0E">
        <w:t>+ και το Ταμείο Δίκαιης Μετάβασης, για τη στήριξη της στοχευμένης αναβάθμισης των δεξιοτήτων και της επανειδίκευσης σε βιομηχανικές περιφέρειες που βρίσκονται σε στάδιο μετασχηματισμού, συμπεριλαμβανομένων των αγροτικών περιοχών·</w:t>
      </w:r>
    </w:p>
    <w:p w14:paraId="1F83A79B" w14:textId="77777777" w:rsidR="00AF157A" w:rsidRPr="00693B0E" w:rsidRDefault="000C795F" w:rsidP="000C795F">
      <w:pPr>
        <w:pStyle w:val="NormalHanging12a"/>
        <w:ind w:hanging="570"/>
        <w:rPr>
          <w:rFonts w:eastAsia="Calibri"/>
          <w:szCs w:val="24"/>
        </w:rPr>
      </w:pPr>
      <w:r w:rsidRPr="00693B0E">
        <w:rPr>
          <w:szCs w:val="24"/>
        </w:rPr>
        <w:t>14.</w:t>
      </w:r>
      <w:r w:rsidRPr="00693B0E">
        <w:rPr>
          <w:szCs w:val="24"/>
        </w:rPr>
        <w:tab/>
      </w:r>
      <w:r w:rsidR="00AF157A" w:rsidRPr="00693B0E">
        <w:t xml:space="preserve">εκφράζει την ικανοποίησή του για τις πρωτοπόρες αγορές καθαρών και κυκλικών προϊόντων με χαμηλές ανθρακούχες εκπομπές που κατασκευάζονται στην Ευρώπη· υπογραμμίζει την ανάγκη να τονωθεί η ζήτηση μέσω δημόσιων και ιδιωτικών προμηθειών και με τη θέσπιση κριτηρίων και προτύπων βιωσιμότητας και ανθεκτικότητας, κατά περίπτωση· υποστηρίζει τη δημιουργία προαιρετικών ετικετών </w:t>
      </w:r>
      <w:r w:rsidR="00AF157A" w:rsidRPr="00693B0E">
        <w:lastRenderedPageBreak/>
        <w:t>έντασης άνθρακα για τα βιομηχανικά προϊόντα (π.χ. για τον χάλυβα και το τσιμέντο), οι οποίες θα πρέπει να αντικατοπτρίζουν τις επιδόσεις ως προς τον άνθρακα και όχι τις στρεβλώσεις που συνδέονται με τις διεργασίες, καθώς και την ευθυγράμμιση με την ισχύουσα νομοθεσία της ΕΕ, συμπεριλαμβανομένου του κανονισμού για τον οικολογικό σχεδιασμό για βιώσιμα προϊόντα</w:t>
      </w:r>
      <w:r w:rsidR="00AF157A" w:rsidRPr="00693B0E">
        <w:rPr>
          <w:rStyle w:val="FootnoteReference"/>
          <w:rFonts w:eastAsia="Calibri"/>
          <w:bCs/>
          <w:iCs/>
          <w:szCs w:val="24"/>
          <w:lang w:eastAsia="en-US"/>
        </w:rPr>
        <w:footnoteReference w:id="9"/>
      </w:r>
      <w:r w:rsidR="00AF157A" w:rsidRPr="00693B0E">
        <w:t xml:space="preserve"> και του κανονισμού για τα δομικά προϊόντα</w:t>
      </w:r>
      <w:r w:rsidR="00AF157A" w:rsidRPr="00693B0E">
        <w:rPr>
          <w:rStyle w:val="FootnoteReference"/>
          <w:rFonts w:eastAsia="Calibri"/>
          <w:bCs/>
          <w:iCs/>
          <w:szCs w:val="24"/>
          <w:lang w:eastAsia="en-US"/>
        </w:rPr>
        <w:footnoteReference w:id="10"/>
      </w:r>
      <w:r w:rsidR="00AF157A" w:rsidRPr="00693B0E">
        <w:t>· καλεί την Επιτροπή να διερευνήσει άλλες απαιτήσεις ώστε να εγγυηθεί τη ζήτηση για καθαρά προϊόντα που κατασκευάζονται στην ΕΕ·</w:t>
      </w:r>
    </w:p>
    <w:p w14:paraId="18C1B243" w14:textId="77777777" w:rsidR="00AF157A" w:rsidRPr="00693B0E" w:rsidRDefault="000C795F" w:rsidP="000C795F">
      <w:pPr>
        <w:pStyle w:val="NormalHanging12a"/>
        <w:ind w:hanging="570"/>
        <w:rPr>
          <w:rFonts w:eastAsia="Calibri"/>
          <w:szCs w:val="24"/>
        </w:rPr>
      </w:pPr>
      <w:r w:rsidRPr="00693B0E">
        <w:rPr>
          <w:szCs w:val="24"/>
        </w:rPr>
        <w:t>15.</w:t>
      </w:r>
      <w:r w:rsidRPr="00693B0E">
        <w:rPr>
          <w:szCs w:val="24"/>
        </w:rPr>
        <w:tab/>
      </w:r>
      <w:r w:rsidR="00AF157A" w:rsidRPr="00693B0E">
        <w:t>εκφράζει την ικανοποίησή του για τις προτεινόμενες δράσεις που τροφοδοτούν την κυκλική οικονομία και τη βιοοικονομία μέσω της εξασφάλισης πρόσβασης σε υλικά και πόρους· ενθαρρύνει τη συμπερίληψη στην πράξη για την κυκλική οικονομία μέτρων για την αύξηση της χρήσης και της οικονομικής προσιτότητας των δευτερογενών υλικών στρατηγικής σημασίας εντός της ΕΕ, λαμβάνοντας υπόψη τους στόχους της πράξης για τις κρίσιμες πρώτες ύλες</w:t>
      </w:r>
      <w:r w:rsidR="00AF157A" w:rsidRPr="00693B0E">
        <w:rPr>
          <w:rStyle w:val="FootnoteReference"/>
          <w:rFonts w:eastAsia="Calibri"/>
          <w:szCs w:val="24"/>
          <w:lang w:eastAsia="en-US"/>
        </w:rPr>
        <w:footnoteReference w:id="11"/>
      </w:r>
      <w:r w:rsidR="00AF157A" w:rsidRPr="00693B0E">
        <w:t>· τονίζει την ανάγκη να καθοριστεί ποιες δευτερογενείς πρώτες ύλες – για παράδειγμα ο χάλυβας και τα απορρίμματα μετάλλων – είναι στρατηγικής σημασίας και θα πρέπει να υπόκεινται σε παρακολούθηση των εξαγωγών, και να αντιμετωπιστεί κάθε ανισορροπία στην προσφορά και τη ζήτηση, μεταξύ άλλων μέσω της εξέτασης πιθανών εξαγωγικών περιορισμών· επιμένει στην αποτελεσματική επιβολή του κανονισμού για τις μεταφορές αποβλήτων</w:t>
      </w:r>
      <w:r w:rsidR="00AF157A" w:rsidRPr="00693B0E">
        <w:rPr>
          <w:rStyle w:val="FootnoteReference"/>
          <w:rFonts w:eastAsia="Calibri"/>
          <w:szCs w:val="24"/>
          <w:lang w:eastAsia="en-US"/>
        </w:rPr>
        <w:footnoteReference w:id="12"/>
      </w:r>
      <w:r w:rsidR="00AF157A" w:rsidRPr="00693B0E">
        <w:t>· ζητεί ένα προβλέψιμο ρυθμιστικό πλαίσιο που θα προάγει κυκλικά επιχειρηματικά μοντέλα, ιδίως εκείνα που βασίζονται στην πρόληψη της δημιουργίας αποβλήτων, την επαναχρησιμοποίηση και την υψηλής ποιότητας ανακύκλωση·</w:t>
      </w:r>
    </w:p>
    <w:p w14:paraId="59E07CB8" w14:textId="77777777" w:rsidR="00AF157A" w:rsidRPr="00693B0E" w:rsidRDefault="000C795F" w:rsidP="000C795F">
      <w:pPr>
        <w:pStyle w:val="NormalHanging12a"/>
        <w:ind w:hanging="570"/>
        <w:rPr>
          <w:rFonts w:eastAsia="Calibri"/>
          <w:szCs w:val="24"/>
        </w:rPr>
      </w:pPr>
      <w:r w:rsidRPr="00693B0E">
        <w:rPr>
          <w:szCs w:val="24"/>
        </w:rPr>
        <w:t>16.</w:t>
      </w:r>
      <w:r w:rsidRPr="00693B0E">
        <w:rPr>
          <w:szCs w:val="24"/>
        </w:rPr>
        <w:tab/>
      </w:r>
      <w:r w:rsidR="00AF157A" w:rsidRPr="00693B0E">
        <w:t xml:space="preserve">τονίζει την ανάγκη προστασίας της ευρωπαϊκής αγοράς από τον αθέμιτο ανταγωνισμό και το ντάμπινγκ της βιομηχανικής πλεονάζουσας παραγωγικής ικανότητας από τρίτες χώρες, με την πλήρη χρήση των μέσων εμπορικής άμυνας· καλεί την Επιτροπή να εγκρίνει συστηματική, προορατική και αναλογική χρήση των μέσων εμπορικής άμυνας, συμπεριλαμβανομένων των ερευνών </w:t>
      </w:r>
      <w:proofErr w:type="spellStart"/>
      <w:r w:rsidR="00AF157A" w:rsidRPr="00693B0E">
        <w:t>αντιντάμπινγκ</w:t>
      </w:r>
      <w:proofErr w:type="spellEnd"/>
      <w:r w:rsidR="00AF157A" w:rsidRPr="00693B0E">
        <w:t xml:space="preserve"> και των ερευνών κατά των επιδοτήσεων· ζητεί να ενισχυθεί η ικανότητα επιβολής του κανονισμού για τις ξένες </w:t>
      </w:r>
      <w:r w:rsidR="00AF157A" w:rsidRPr="00693B0E">
        <w:lastRenderedPageBreak/>
        <w:t>επιδοτήσεις</w:t>
      </w:r>
      <w:r w:rsidR="00AF157A" w:rsidRPr="00693B0E">
        <w:rPr>
          <w:rStyle w:val="FootnoteReference"/>
          <w:rFonts w:eastAsia="Calibri"/>
          <w:bCs/>
          <w:iCs/>
          <w:szCs w:val="24"/>
          <w:lang w:eastAsia="en-US"/>
        </w:rPr>
        <w:footnoteReference w:id="13"/>
      </w:r>
      <w:r w:rsidR="00AF157A" w:rsidRPr="00693B0E">
        <w:t xml:space="preserve"> και εκφράζει τη λύπη του για το γεγονός ότι το εργαλείο αυτό δεν έχει ακόμη ενεργοποιηθεί συστηματικά σε βασικούς τομείς· καλεί την Επιτροπή να αντιμετωπίσει τη βιομηχανική πλεονάζουσα παραγωγική ικανότητα και τις στρατηγικές εξαρτήσεις ως βασικούς κινδύνους για τον ανταγωνισμό που απαιτούν συντονισμένη αντίδραση σε επίπεδο ΕΕ και κατάλληλα εργαλεία· καλεί την Επιτροπή να διασφαλίσει ότι η πρόσβαση στην εσωτερική αγορά της ΕΕ ή σε ευρωπαϊκά βιομηχανικά έργα δεν παρέχεται σε φορείς που συμβάλλουν σε διαρθρωτικές στρεβλώσεις της αγοράς ή σε αθέμιτο ανταγωνισμό·</w:t>
      </w:r>
    </w:p>
    <w:p w14:paraId="141D8A85" w14:textId="77777777" w:rsidR="00AF157A" w:rsidRPr="00693B0E" w:rsidRDefault="000C795F" w:rsidP="000C795F">
      <w:pPr>
        <w:pStyle w:val="NormalHanging12a"/>
        <w:ind w:hanging="570"/>
        <w:rPr>
          <w:rFonts w:eastAsia="Calibri"/>
          <w:szCs w:val="24"/>
        </w:rPr>
      </w:pPr>
      <w:r w:rsidRPr="00693B0E">
        <w:rPr>
          <w:szCs w:val="24"/>
        </w:rPr>
        <w:t>17.</w:t>
      </w:r>
      <w:r w:rsidRPr="00693B0E">
        <w:rPr>
          <w:szCs w:val="24"/>
        </w:rPr>
        <w:tab/>
      </w:r>
      <w:r w:rsidR="00AF157A" w:rsidRPr="00693B0E">
        <w:t>εκφράζει την ικανοποίησή του για την προτεινόμενη απλούστευση του μηχανισμού συνοριακής προσαρμογής άνθρακα (ΜΣΠΑ) στην πρώτη δέσμη μέτρων «</w:t>
      </w:r>
      <w:proofErr w:type="spellStart"/>
      <w:r w:rsidR="00AF157A" w:rsidRPr="00693B0E">
        <w:t>Omnibus</w:t>
      </w:r>
      <w:proofErr w:type="spellEnd"/>
      <w:r w:rsidR="00AF157A" w:rsidRPr="00693B0E">
        <w:t>» ως σημαντικό βήμα για την περαιτέρω ενίσχυση της αποτελεσματικότητας του ΜΣΠΑ στην αντιμετώπιση της διαρροής άνθρακα· επαναλαμβάνει την έκκλησή του για μια λειτουργική λύση για τις εξαγωγές ώστε να αντιμετωπιστεί ο κίνδυνος διαρροής άνθρακα για τα εμπορεύματα του ΜΣΠΑ που εξάγονται από την ΕΕ σε τρίτες χώρες· ζητεί από την Επιτροπή να αναλύσει προσεκτικά τους κινδύνους που συνδέονται με μη επαληθευμένα πιστοποιητικά από χώρες εκτός της ΕΕ, τα οποία θα μπορούσαν να βλάψουν τους ισότιμους όρους ανταγωνισμού και την ανταγωνιστικότητα· εκφράζει την ικανοποίησή του για την πρόθεση της Επιτροπής να παρουσιάσει στρατηγική κατά της καταστρατήγησης πριν από το τέλος του έτους και να εξετάσει το ενδεχόμενο επέκτασης του ΜΣΠΑ σε πρόσθετους τομείς στο πλαίσιο της επικείμενης επανεξέτασης· υπογραμμίζει τη σημασία ενός αποτελεσματικού ΜΣΠΑ στο πλαίσιο της σταδιακής κατάργησης των δωρεάν δικαιωμάτων στο σύστημα εμπορίας εκπομπών της ΕΕ·</w:t>
      </w:r>
    </w:p>
    <w:p w14:paraId="4C57C477" w14:textId="77777777" w:rsidR="00AF157A" w:rsidRPr="00693B0E" w:rsidRDefault="000C795F" w:rsidP="000C795F">
      <w:pPr>
        <w:pStyle w:val="NormalHanging12a"/>
        <w:ind w:hanging="570"/>
        <w:rPr>
          <w:rFonts w:eastAsia="Calibri"/>
          <w:szCs w:val="24"/>
        </w:rPr>
      </w:pPr>
      <w:r w:rsidRPr="00693B0E">
        <w:rPr>
          <w:szCs w:val="24"/>
        </w:rPr>
        <w:t>18.</w:t>
      </w:r>
      <w:r w:rsidRPr="00693B0E">
        <w:rPr>
          <w:szCs w:val="24"/>
        </w:rPr>
        <w:tab/>
      </w:r>
      <w:r w:rsidR="00AF157A" w:rsidRPr="00693B0E">
        <w:t>επικροτεί, στο πλαίσιο της εφαρμογής της στρατηγικής για τη βιομηχανική διαχείριση του άνθρακα, τη δημιουργία επιχειρηματικής προοπτικής για μόνιμες απορροφήσεις άνθρακα σε επικείμενες (αναθεωρήσεις) της νομοθεσίας· αναγνωρίζει ότι η διαχείριση του άνθρακα, συμπεριλαμβανομένης της δέσμευσης, της αποθήκευσης, της μεταφοράς και της χρήσης, ενδέχεται να είναι αναγκαία για τομείς στους οποίους είναι δύσκολη η μείωση των εκπομπών· υπογραμμίζει την ανάγκη να προταθεί ένα πλαίσιο για την αγορά CO</w:t>
      </w:r>
      <w:r w:rsidR="00AF157A" w:rsidRPr="00693B0E">
        <w:rPr>
          <w:vertAlign w:val="subscript"/>
        </w:rPr>
        <w:t>2</w:t>
      </w:r>
      <w:r w:rsidR="00AF157A" w:rsidRPr="00693B0E">
        <w:t xml:space="preserve"> αναφορικά με τη μεταφορά και τις υποδομές CO</w:t>
      </w:r>
      <w:r w:rsidR="00AF157A" w:rsidRPr="00693B0E">
        <w:rPr>
          <w:vertAlign w:val="subscript"/>
        </w:rPr>
        <w:t>2</w:t>
      </w:r>
      <w:r w:rsidR="00AF157A" w:rsidRPr="00693B0E">
        <w:t>·</w:t>
      </w:r>
    </w:p>
    <w:p w14:paraId="5E18F341" w14:textId="77777777" w:rsidR="00AF157A" w:rsidRPr="00693B0E" w:rsidRDefault="000C795F" w:rsidP="000C795F">
      <w:pPr>
        <w:pStyle w:val="NormalHanging12a"/>
        <w:ind w:hanging="570"/>
        <w:rPr>
          <w:rFonts w:eastAsia="Calibri"/>
          <w:szCs w:val="24"/>
        </w:rPr>
      </w:pPr>
      <w:r w:rsidRPr="00693B0E">
        <w:rPr>
          <w:szCs w:val="24"/>
        </w:rPr>
        <w:t>19.</w:t>
      </w:r>
      <w:r w:rsidRPr="00693B0E">
        <w:rPr>
          <w:szCs w:val="24"/>
        </w:rPr>
        <w:tab/>
      </w:r>
      <w:r w:rsidR="00AF157A" w:rsidRPr="00693B0E">
        <w:t>ζητεί επιτακτικά προσβάσιμη χρηματοδότηση για τις ΜΜΕ· εκφράζει την ικανοποίησή του για την επίσπευση της έγκρισης και της εκταμίευσης σε μέσα όπως το Ταμείο Καινοτομίας και η πράξη για τη βιομηχανία των μηδενικών καθαρών εκπομπών και τονίζει ότι η πρωτοβουλία για τα σημαντικά έργα κοινού ευρωπαϊκού ενδιαφέροντος (ΣΕΚΕΕ) πρέπει να είναι προσβάσιμη στις ΜΜΕ· ζητεί επιτακτικά περαιτέρω βελτιώσεις και εναρμόνιση για την απλούστευση των αιτήσεων χρηματοδότησης, τη μείωση των υποχρεώσεων υποβολής εκθέσεων και την επιτάχυνση των μικρών έργων·</w:t>
      </w:r>
    </w:p>
    <w:p w14:paraId="7E38DF46" w14:textId="77777777" w:rsidR="00AF157A" w:rsidRPr="00693B0E" w:rsidRDefault="000C795F" w:rsidP="000C795F">
      <w:pPr>
        <w:pStyle w:val="NormalHanging12a"/>
        <w:ind w:hanging="570"/>
        <w:rPr>
          <w:rFonts w:eastAsia="Calibri"/>
          <w:szCs w:val="24"/>
        </w:rPr>
      </w:pPr>
      <w:r w:rsidRPr="00693B0E">
        <w:rPr>
          <w:szCs w:val="24"/>
        </w:rPr>
        <w:t>20.</w:t>
      </w:r>
      <w:r w:rsidRPr="00693B0E">
        <w:rPr>
          <w:szCs w:val="24"/>
        </w:rPr>
        <w:tab/>
      </w:r>
      <w:r w:rsidR="00AF157A" w:rsidRPr="00693B0E">
        <w:t xml:space="preserve">τονίζει τη σημασία των τομεακών προσεγγίσεων για την αποτελεσματική εφαρμογή της συμφωνίας για καθαρή βιομηχανία σε ολόκληρο το φάσμα των βιομηχανικών οικοσυστημάτων· επικροτεί το βιομηχανικό σχέδιο δράσης για τον τομέα της αυτοκινητοβιομηχανίας, το σχέδιο δράσης για τον χάλυβα και τα μέταλλα, την ανακοίνωση της δέσμης μέτρων για τη χημική βιομηχανία, το επενδυτικό σχέδιο για βιώσιμες μεταφορές και τη στρατηγική για τη βιοοικονομία ως βασικά δομικά στοιχεία μιας συνεκτικής βιομηχανικής μετάβασης· ζητεί το επενδυτικό σχέδιο για βιώσιμες </w:t>
      </w:r>
      <w:r w:rsidR="00AF157A" w:rsidRPr="00693B0E">
        <w:lastRenderedPageBreak/>
        <w:t>μεταφορές να περιλαμβάνει λεπτομερείς στρατηγικές απανθρακοποίησης, οι οποίες θα αντικατοπτρίζουν τις ειδικές τεχνολογικές και επενδυτικές ανάγκες για τους διάφορους τρόπους μεταφοράς· ζητεί να συμπεριληφθούν και άλλοι τομείς, όπως ο ευρωπαϊκός αεροδιαστημικός τομέας και τα εναλλακτικά καύσιμα, στο πλαίσιο της συμφωνίας για καθαρή βιομηχανία· ζητεί ειδικό σχέδιο δράσης για την καθαρή τεχνολογία·</w:t>
      </w:r>
    </w:p>
    <w:p w14:paraId="66DA7863" w14:textId="77777777" w:rsidR="00693B0E" w:rsidRPr="00693B0E" w:rsidRDefault="000C795F" w:rsidP="000C795F">
      <w:pPr>
        <w:pStyle w:val="NormalHanging12a"/>
        <w:ind w:hanging="570"/>
      </w:pPr>
      <w:r w:rsidRPr="00693B0E">
        <w:t>21.</w:t>
      </w:r>
      <w:r w:rsidRPr="00693B0E">
        <w:tab/>
      </w:r>
      <w:r w:rsidR="00AF157A" w:rsidRPr="00693B0E">
        <w:t>αναθέτει στην Πρόεδρό του να διαβιβάσει το παρόν ψήφισμα στην Επιτροπή, στο Συμβούλιο και στις κυβερνήσεις και τα κοινοβούλια των κρατών μελών.</w:t>
      </w:r>
    </w:p>
    <w:p w14:paraId="664966D2" w14:textId="77777777" w:rsidR="00E365E1" w:rsidRPr="00693B0E" w:rsidRDefault="00E365E1" w:rsidP="00D462A7"/>
    <w:sectPr w:rsidR="00E365E1" w:rsidRPr="00693B0E" w:rsidSect="00693B0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05D47" w14:textId="77777777" w:rsidR="00D462A7" w:rsidRPr="00693B0E" w:rsidRDefault="00D462A7">
      <w:r w:rsidRPr="00693B0E">
        <w:separator/>
      </w:r>
    </w:p>
  </w:endnote>
  <w:endnote w:type="continuationSeparator" w:id="0">
    <w:p w14:paraId="293438E0" w14:textId="77777777" w:rsidR="00D462A7" w:rsidRPr="00693B0E" w:rsidRDefault="00D462A7">
      <w:r w:rsidRPr="00693B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81AA5" w14:textId="77777777" w:rsidR="00D462A7" w:rsidRPr="00693B0E" w:rsidRDefault="00D462A7">
      <w:r w:rsidRPr="00693B0E">
        <w:separator/>
      </w:r>
    </w:p>
  </w:footnote>
  <w:footnote w:type="continuationSeparator" w:id="0">
    <w:p w14:paraId="34E72B4F" w14:textId="77777777" w:rsidR="00D462A7" w:rsidRPr="00693B0E" w:rsidRDefault="00D462A7">
      <w:r w:rsidRPr="00693B0E">
        <w:continuationSeparator/>
      </w:r>
    </w:p>
  </w:footnote>
  <w:footnote w:id="1">
    <w:p w14:paraId="3A4F8A1A" w14:textId="77777777" w:rsidR="00AF157A" w:rsidRPr="00693B0E" w:rsidRDefault="00AF157A" w:rsidP="00693B0E">
      <w:pPr>
        <w:pStyle w:val="FootnoteText"/>
        <w:ind w:left="567" w:hanging="567"/>
        <w:rPr>
          <w:i/>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00A9640B" w:rsidRPr="00CA0CC5">
        <w:rPr>
          <w:sz w:val="24"/>
          <w:szCs w:val="24"/>
          <w:lang w:val="el-GR"/>
        </w:rPr>
        <w:t xml:space="preserve">ΕΕ </w:t>
      </w:r>
      <w:r w:rsidR="00A9640B" w:rsidRPr="00CA0CC5">
        <w:rPr>
          <w:sz w:val="24"/>
          <w:szCs w:val="24"/>
        </w:rPr>
        <w:t>C</w:t>
      </w:r>
      <w:r w:rsidR="00A9640B" w:rsidRPr="00CA0CC5">
        <w:rPr>
          <w:sz w:val="24"/>
          <w:szCs w:val="24"/>
          <w:lang w:val="el-GR"/>
        </w:rPr>
        <w:t xml:space="preserve"> 125 της 5.4.2023, σ. 124</w:t>
      </w:r>
      <w:r w:rsidRPr="00693B0E">
        <w:rPr>
          <w:sz w:val="24"/>
          <w:lang w:val="el-GR"/>
        </w:rPr>
        <w:t>.</w:t>
      </w:r>
    </w:p>
  </w:footnote>
  <w:footnote w:id="2">
    <w:p w14:paraId="1871E329"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Κείμενα που εγκρίθηκαν, P10_TA(2025)0065.</w:t>
      </w:r>
    </w:p>
  </w:footnote>
  <w:footnote w:id="3">
    <w:p w14:paraId="64245BF5"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Κανονισμός (ΕΕ) 2018/1999 του Ευρωπαϊκού Κοινοβουλίου και του Συμβουλίου, της 11ης Δεκεμβρίου 2018, για τη διακυβέρνηση της Ενεργειακής Ένωσης και της Δράσης για το Κλίμα, για την τροποποίηση των κανονισμών (ΕΚ) αριθ. 663/2009 και (ΕΚ) αριθ. 715/2009 του Ευρωπαϊκού Κοινοβουλίου και του Συμβουλίου, των οδηγιών 94/22/ΕΚ, 98/70/ΕΚ, 2009/31/ΕΚ, 2009/73/ΕΚ, 2010/31/ΕΕ, 2012/27/ΕΕ και 2013/30/ΕΕ του Ευρωπαϊκού Κοινοβουλίου και του Συμβουλίου, των οδηγιών 2009/119/ΕΚ και (ΕΕ) 2015/652 του Συμβουλίου και για την κατάργηση του κανονισμού (ΕΕ) αριθ. 525/2013 του Ευρωπαϊκού Κοινοβουλίου και του Συμβουλίου (ΕΕ L 328 της 21.12.2018, σ. 1, ELI: </w:t>
      </w:r>
      <w:r w:rsidR="00CA0CC5" w:rsidRPr="00CA0CC5">
        <w:rPr>
          <w:rStyle w:val="Hyperlink"/>
          <w:sz w:val="24"/>
          <w:lang w:val="el-GR"/>
        </w:rPr>
        <w:t>http://data.europa.eu/eli/reg/2018/1999/oj</w:t>
      </w:r>
      <w:r w:rsidRPr="00693B0E">
        <w:rPr>
          <w:sz w:val="24"/>
          <w:lang w:val="el-GR"/>
        </w:rPr>
        <w:t>).</w:t>
      </w:r>
    </w:p>
  </w:footnote>
  <w:footnote w:id="4">
    <w:p w14:paraId="61E8AB74"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Οδηγία 2003/96/ΕΚ του Συμβουλίου, της 27ης Οκτωβρίου 2003, σχετικά με την αναδιάρθρωση του κοινοτικού πλαισίου φορολογίας των ενεργειακών προϊόντων και της ηλεκτρικής ενέργειας (ΕΕ L 283 της 31.10.2003, σ. 51, ELI: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dir</w:instrText>
      </w:r>
      <w:r w:rsidR="008C2D4D" w:rsidRPr="008C2D4D">
        <w:rPr>
          <w:lang w:val="el-GR"/>
        </w:rPr>
        <w:instrText>/2003/96/</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http://data.europa.eu/eli/dir/2003/96/oj</w:t>
      </w:r>
      <w:r w:rsidR="008C2D4D">
        <w:rPr>
          <w:rStyle w:val="Hyperlink"/>
          <w:sz w:val="24"/>
          <w:lang w:val="el-GR"/>
        </w:rPr>
        <w:fldChar w:fldCharType="end"/>
      </w:r>
      <w:r w:rsidRPr="00693B0E">
        <w:rPr>
          <w:sz w:val="24"/>
          <w:lang w:val="el-GR"/>
        </w:rPr>
        <w:t>).</w:t>
      </w:r>
    </w:p>
  </w:footnote>
  <w:footnote w:id="5">
    <w:p w14:paraId="36067F19" w14:textId="06434DAC"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Οδηγία (ΕΕ) 2023/2413 του Ευρωπαϊκού Κοινοβουλίου και του Συμβουλίου, της 18ης Οκτωβρίου 2023 για την τροποποίηση της οδηγίας (ΕΕ) 2018/2001, του κανονισμού (ΕΕ) 2018/1999 και της οδηγίας 98/70/ΕΚ όσον αφορά την προώθηση της ενέργειας από ανανεώσιμες πηγές, και την κατάργηση της οδηγίας (ΕΕ) 2015/652 του Συμβουλίου (ΕΕ </w:t>
      </w:r>
      <w:r w:rsidRPr="00693B0E">
        <w:rPr>
          <w:sz w:val="24"/>
          <w:lang w:val="el-GR"/>
        </w:rPr>
        <w:t>L</w:t>
      </w:r>
      <w:r w:rsidR="008C2D4D">
        <w:rPr>
          <w:sz w:val="24"/>
          <w:lang w:val="el-GR"/>
        </w:rPr>
        <w:t>,</w:t>
      </w:r>
      <w:r w:rsidRPr="00693B0E">
        <w:rPr>
          <w:sz w:val="24"/>
          <w:lang w:val="el-GR"/>
        </w:rPr>
        <w:t> 2023/2413, 31.10.2023, ELI: </w:t>
      </w:r>
      <w:hyperlink r:id="rId1" w:history="1">
        <w:r w:rsidRPr="00693B0E">
          <w:rPr>
            <w:rStyle w:val="Hyperlink"/>
            <w:sz w:val="24"/>
            <w:lang w:val="el-GR"/>
          </w:rPr>
          <w:t>http://data.europa.eu/eli/dir/2023/2413/oj</w:t>
        </w:r>
      </w:hyperlink>
      <w:r w:rsidRPr="00693B0E">
        <w:rPr>
          <w:sz w:val="24"/>
          <w:lang w:val="el-GR"/>
        </w:rPr>
        <w:t>).</w:t>
      </w:r>
    </w:p>
  </w:footnote>
  <w:footnote w:id="6">
    <w:p w14:paraId="3246A286"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Κανονισμός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 (ΕΕ L, 2024/1735, 28.6.2024, ELI: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reg</w:instrText>
      </w:r>
      <w:r w:rsidR="008C2D4D" w:rsidRPr="008C2D4D">
        <w:rPr>
          <w:lang w:val="el-GR"/>
        </w:rPr>
        <w:instrText>/2024/1735/</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http://data.europa.eu/eli/reg/2024/1735/oj</w:t>
      </w:r>
      <w:r w:rsidR="008C2D4D">
        <w:rPr>
          <w:rStyle w:val="Hyperlink"/>
          <w:sz w:val="24"/>
          <w:lang w:val="el-GR"/>
        </w:rPr>
        <w:fldChar w:fldCharType="end"/>
      </w:r>
      <w:r w:rsidRPr="00693B0E">
        <w:rPr>
          <w:sz w:val="24"/>
          <w:lang w:val="el-GR"/>
        </w:rPr>
        <w:t>). </w:t>
      </w:r>
    </w:p>
  </w:footnote>
  <w:footnote w:id="7">
    <w:p w14:paraId="5AD5AA3F"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 xml:space="preserve">Οδηγία (ΕΕ) 2024/1788 του Ευρωπαϊκού Κοινοβουλίου και του Συμβουλίου, της 13ης Ιουνίου 2024, σχετικά με τους κοινούς κανόνες για τις εσωτερικές αγορές ανανεώσιμου αερίου, φυσικού αερίου και υδρογόνου, και με την τροποποίηση της οδηγίας (ΕΕ) 2023/1791 και την κατάργηση της οδηγίας 2009/73/ΕΚ (ΕΕ L, 2024/1788, 15.7.2024, ELI: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dir</w:instrText>
      </w:r>
      <w:r w:rsidR="008C2D4D" w:rsidRPr="008C2D4D">
        <w:rPr>
          <w:lang w:val="el-GR"/>
        </w:rPr>
        <w:instrText>/2024/1788/</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http://data.europa.eu/eli/dir/2024/1788/oj</w:t>
      </w:r>
      <w:r w:rsidR="008C2D4D">
        <w:rPr>
          <w:rStyle w:val="Hyperlink"/>
          <w:sz w:val="24"/>
          <w:lang w:val="el-GR"/>
        </w:rPr>
        <w:fldChar w:fldCharType="end"/>
      </w:r>
      <w:r w:rsidRPr="00693B0E">
        <w:rPr>
          <w:sz w:val="24"/>
          <w:lang w:val="el-GR"/>
        </w:rPr>
        <w:t>).</w:t>
      </w:r>
    </w:p>
  </w:footnote>
  <w:footnote w:id="8">
    <w:p w14:paraId="51F11C3C"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Κατ’ εξουσιοδότηση κανονισμός (ΕΕ) 2023/1184 της Επιτροπής, της 10ης</w:t>
      </w:r>
      <w:r w:rsidR="00D03804">
        <w:rPr>
          <w:sz w:val="24"/>
          <w:lang w:val="el-GR"/>
        </w:rPr>
        <w:t> </w:t>
      </w:r>
      <w:r w:rsidRPr="00693B0E">
        <w:rPr>
          <w:sz w:val="24"/>
          <w:lang w:val="el-GR"/>
        </w:rPr>
        <w:t>Φεβρουαρίου 2023, για τη συμπλήρωση της οδηγίας (ΕΕ) 2018/2001 του Ευρωπαϊκού Κοινοβουλίου και του Συμβουλίου με τη θέσπιση ενωσιακής μεθοδολογίας για τον καθορισμό λεπτομερών κανόνων για την παραγωγή υγρών και αέριων καυσίμων μεταφορών μη βιολογικής προέλευσης από ανανεώσιμες πηγές (ΕΕ L 157 της 20.6.2023, σ. 11</w:t>
      </w:r>
      <w:r w:rsidR="00D03804">
        <w:rPr>
          <w:sz w:val="24"/>
          <w:lang w:val="el-GR"/>
        </w:rPr>
        <w:t>, ELI:</w:t>
      </w:r>
      <w:r w:rsidRPr="00693B0E">
        <w:rPr>
          <w:sz w:val="24"/>
          <w:lang w:val="el-GR"/>
        </w:rPr>
        <w:t xml:space="preserve">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reg</w:instrText>
      </w:r>
      <w:r w:rsidR="008C2D4D" w:rsidRPr="008C2D4D">
        <w:rPr>
          <w:lang w:val="el-GR"/>
        </w:rPr>
        <w:instrText>_</w:instrText>
      </w:r>
      <w:r w:rsidR="008C2D4D">
        <w:instrText>del</w:instrText>
      </w:r>
      <w:r w:rsidR="008C2D4D" w:rsidRPr="008C2D4D">
        <w:rPr>
          <w:lang w:val="el-GR"/>
        </w:rPr>
        <w:instrText>/2023/1184/</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http://data.europa.eu/eli/reg_del/2023/1184/oj</w:t>
      </w:r>
      <w:r w:rsidR="008C2D4D">
        <w:rPr>
          <w:rStyle w:val="Hyperlink"/>
          <w:sz w:val="24"/>
          <w:lang w:val="el-GR"/>
        </w:rPr>
        <w:fldChar w:fldCharType="end"/>
      </w:r>
      <w:r w:rsidRPr="00693B0E">
        <w:rPr>
          <w:sz w:val="24"/>
          <w:lang w:val="el-GR"/>
        </w:rPr>
        <w:t>).</w:t>
      </w:r>
    </w:p>
  </w:footnote>
  <w:footnote w:id="9">
    <w:p w14:paraId="29D51279"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Κανονισμός (ΕΕ) 2024/1781 του Ευρωπαϊκού Κοινοβουλίου και του Συμβουλίου, της 13ης Ιουνίου 2024, για τη θέσπιση πλαισίου για τον καθορισμό απαιτήσεων οικολογικού σχεδιασμού όσον αφορά τα βιώσιμα προϊόντα, για την τροποποίηση της οδηγίας (ΕΕ) 2020/1828 και του κανονισμού (ΕΕ) 2023/1542 και για την κατάργηση της οδηγίας 2009/125/ΕΚ (ΕΕ L, 2024/1781, 28.6.2024, ELI: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reg</w:instrText>
      </w:r>
      <w:r w:rsidR="008C2D4D" w:rsidRPr="008C2D4D">
        <w:rPr>
          <w:lang w:val="el-GR"/>
        </w:rPr>
        <w:instrText>/2024/1781/</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http://data.europa.eu/eli/reg/2024/1781/oj</w:t>
      </w:r>
      <w:r w:rsidR="008C2D4D">
        <w:rPr>
          <w:rStyle w:val="Hyperlink"/>
          <w:sz w:val="24"/>
          <w:lang w:val="el-GR"/>
        </w:rPr>
        <w:fldChar w:fldCharType="end"/>
      </w:r>
      <w:r w:rsidRPr="00693B0E">
        <w:rPr>
          <w:sz w:val="24"/>
          <w:lang w:val="el-GR"/>
        </w:rPr>
        <w:t>).</w:t>
      </w:r>
    </w:p>
  </w:footnote>
  <w:footnote w:id="10">
    <w:p w14:paraId="6E327C47" w14:textId="77777777" w:rsidR="00AF157A" w:rsidRPr="00693B0E" w:rsidRDefault="00AF157A" w:rsidP="00693B0E">
      <w:pPr>
        <w:pStyle w:val="FootnoteText"/>
        <w:ind w:left="567" w:hanging="567"/>
        <w:rPr>
          <w:sz w:val="24"/>
          <w:lang w:val="el-GR"/>
        </w:rPr>
      </w:pPr>
      <w:r w:rsidRPr="00693B0E">
        <w:rPr>
          <w:sz w:val="24"/>
          <w:vertAlign w:val="superscript"/>
          <w:lang w:val="el-GR"/>
        </w:rPr>
        <w:footnoteRef/>
      </w:r>
      <w:r w:rsidR="00693B0E" w:rsidRPr="00693B0E">
        <w:rPr>
          <w:sz w:val="24"/>
          <w:lang w:val="el-GR"/>
        </w:rPr>
        <w:t xml:space="preserve"> </w:t>
      </w:r>
      <w:r w:rsidR="00693B0E" w:rsidRPr="00693B0E">
        <w:rPr>
          <w:sz w:val="24"/>
          <w:lang w:val="el-GR"/>
        </w:rPr>
        <w:tab/>
      </w:r>
      <w:r w:rsidRPr="00693B0E">
        <w:rPr>
          <w:sz w:val="24"/>
          <w:lang w:val="el-GR"/>
        </w:rPr>
        <w:t>Κανονισμός (ΕΕ) 2024/3110 του Ευρωπαϊκού Κοινοβουλίου και του Συμβουλίου, της 27ης Νοεμβρίου 2024, για τη θέσπιση εναρμονισμένων κανόνων εμπορίας δομικών προϊόντων και την κατάργηση του κανονισμού (ΕΕ) αριθ. 305/2011 (ΕΕ L, 2024/3110, 18.12.2024, ELI: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reg</w:instrText>
      </w:r>
      <w:r w:rsidR="008C2D4D" w:rsidRPr="008C2D4D">
        <w:rPr>
          <w:lang w:val="el-GR"/>
        </w:rPr>
        <w:instrText>/2024/3110/</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http://data.europa.eu/eli/reg/2024/3110/oj</w:t>
      </w:r>
      <w:r w:rsidR="008C2D4D">
        <w:rPr>
          <w:rStyle w:val="Hyperlink"/>
          <w:sz w:val="24"/>
          <w:lang w:val="el-GR"/>
        </w:rPr>
        <w:fldChar w:fldCharType="end"/>
      </w:r>
      <w:r w:rsidRPr="00693B0E">
        <w:rPr>
          <w:sz w:val="24"/>
          <w:lang w:val="el-GR"/>
        </w:rPr>
        <w:t>).</w:t>
      </w:r>
    </w:p>
  </w:footnote>
  <w:footnote w:id="11">
    <w:p w14:paraId="21D6A535"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 (ΕΕ L, 2024/1252, 3.5.2024, ELI: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reg</w:instrText>
      </w:r>
      <w:r w:rsidR="008C2D4D" w:rsidRPr="008C2D4D">
        <w:rPr>
          <w:lang w:val="el-GR"/>
        </w:rPr>
        <w:instrText>/2024/1252/</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http://data.europa.eu/eli/reg/2024/1252/oj</w:t>
      </w:r>
      <w:r w:rsidR="008C2D4D">
        <w:rPr>
          <w:rStyle w:val="Hyperlink"/>
          <w:sz w:val="24"/>
          <w:lang w:val="el-GR"/>
        </w:rPr>
        <w:fldChar w:fldCharType="end"/>
      </w:r>
      <w:r w:rsidRPr="00693B0E">
        <w:rPr>
          <w:sz w:val="24"/>
          <w:lang w:val="el-GR"/>
        </w:rPr>
        <w:t>).</w:t>
      </w:r>
    </w:p>
  </w:footnote>
  <w:footnote w:id="12">
    <w:p w14:paraId="428CAE02"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Κανονισμός (ΕΕ) 2024/1157 του Ευρωπαϊκού Κοινοβουλίου και του Συμβουλίου, της 11ης Απριλίου 2024, για τις μεταφορές αποβλήτων και την τροποποίηση των κανονισμών (ΕΕ) αριθ. 1257/2013 και (ΕΕ) 2020/1056 και την κατάργηση του κανονισμού (ΕΚ) αριθ. 1013/2006 (ΕΕ L, 2024/1157, 30.4.2024, ELI: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reg</w:instrText>
      </w:r>
      <w:r w:rsidR="008C2D4D" w:rsidRPr="008C2D4D">
        <w:rPr>
          <w:lang w:val="el-GR"/>
        </w:rPr>
        <w:instrText>/2024/1157/</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http://data.europa.eu/eli/reg/2024/1157/oj</w:t>
      </w:r>
      <w:r w:rsidR="008C2D4D">
        <w:rPr>
          <w:rStyle w:val="Hyperlink"/>
          <w:sz w:val="24"/>
          <w:lang w:val="el-GR"/>
        </w:rPr>
        <w:fldChar w:fldCharType="end"/>
      </w:r>
      <w:r w:rsidRPr="00693B0E">
        <w:rPr>
          <w:sz w:val="24"/>
          <w:lang w:val="el-GR"/>
        </w:rPr>
        <w:t>).</w:t>
      </w:r>
    </w:p>
  </w:footnote>
  <w:footnote w:id="13">
    <w:p w14:paraId="29FC4EB5" w14:textId="77777777" w:rsidR="00AF157A" w:rsidRPr="00693B0E" w:rsidRDefault="00AF157A" w:rsidP="00693B0E">
      <w:pPr>
        <w:pStyle w:val="FootnoteText"/>
        <w:ind w:left="567" w:hanging="567"/>
        <w:rPr>
          <w:sz w:val="24"/>
          <w:lang w:val="el-GR"/>
        </w:rPr>
      </w:pPr>
      <w:r w:rsidRPr="00693B0E">
        <w:rPr>
          <w:rStyle w:val="FootnoteReference"/>
          <w:sz w:val="24"/>
          <w:lang w:val="el-GR"/>
        </w:rPr>
        <w:footnoteRef/>
      </w:r>
      <w:r w:rsidR="00693B0E" w:rsidRPr="00693B0E">
        <w:rPr>
          <w:sz w:val="24"/>
          <w:lang w:val="el-GR"/>
        </w:rPr>
        <w:t xml:space="preserve"> </w:t>
      </w:r>
      <w:r w:rsidR="00693B0E" w:rsidRPr="00693B0E">
        <w:rPr>
          <w:sz w:val="24"/>
          <w:lang w:val="el-GR"/>
        </w:rPr>
        <w:tab/>
      </w:r>
      <w:r w:rsidRPr="00693B0E">
        <w:rPr>
          <w:sz w:val="24"/>
          <w:lang w:val="el-GR"/>
        </w:rPr>
        <w:t>Κανονισμός (ΕΕ) 2022/2560 του Ευρωπαϊκού Κοινοβουλίου και του Συμβουλίου, της 14ης Δεκεμβρίου 2022, για τις ξένες επιδοτήσεις που στρεβλώνουν την εσωτερική αγορά (ΕΕ L 330 της 23.12.2022, σ. 1, ELI: </w:t>
      </w:r>
      <w:r w:rsidR="008C2D4D">
        <w:fldChar w:fldCharType="begin"/>
      </w:r>
      <w:r w:rsidR="008C2D4D">
        <w:instrText>HYPERLINK</w:instrText>
      </w:r>
      <w:r w:rsidR="008C2D4D" w:rsidRPr="008C2D4D">
        <w:rPr>
          <w:lang w:val="el-GR"/>
        </w:rPr>
        <w:instrText xml:space="preserve"> "</w:instrText>
      </w:r>
      <w:r w:rsidR="008C2D4D">
        <w:instrText>http</w:instrText>
      </w:r>
      <w:r w:rsidR="008C2D4D" w:rsidRPr="008C2D4D">
        <w:rPr>
          <w:lang w:val="el-GR"/>
        </w:rPr>
        <w:instrText>://</w:instrText>
      </w:r>
      <w:r w:rsidR="008C2D4D">
        <w:instrText>data</w:instrText>
      </w:r>
      <w:r w:rsidR="008C2D4D" w:rsidRPr="008C2D4D">
        <w:rPr>
          <w:lang w:val="el-GR"/>
        </w:rPr>
        <w:instrText>.</w:instrText>
      </w:r>
      <w:r w:rsidR="008C2D4D">
        <w:instrText>europa</w:instrText>
      </w:r>
      <w:r w:rsidR="008C2D4D" w:rsidRPr="008C2D4D">
        <w:rPr>
          <w:lang w:val="el-GR"/>
        </w:rPr>
        <w:instrText>.</w:instrText>
      </w:r>
      <w:r w:rsidR="008C2D4D">
        <w:instrText>eu</w:instrText>
      </w:r>
      <w:r w:rsidR="008C2D4D" w:rsidRPr="008C2D4D">
        <w:rPr>
          <w:lang w:val="el-GR"/>
        </w:rPr>
        <w:instrText>/</w:instrText>
      </w:r>
      <w:r w:rsidR="008C2D4D">
        <w:instrText>eli</w:instrText>
      </w:r>
      <w:r w:rsidR="008C2D4D" w:rsidRPr="008C2D4D">
        <w:rPr>
          <w:lang w:val="el-GR"/>
        </w:rPr>
        <w:instrText>/</w:instrText>
      </w:r>
      <w:r w:rsidR="008C2D4D">
        <w:instrText>reg</w:instrText>
      </w:r>
      <w:r w:rsidR="008C2D4D" w:rsidRPr="008C2D4D">
        <w:rPr>
          <w:lang w:val="el-GR"/>
        </w:rPr>
        <w:instrText>/2022/2560/</w:instrText>
      </w:r>
      <w:r w:rsidR="008C2D4D">
        <w:instrText>oj</w:instrText>
      </w:r>
      <w:r w:rsidR="008C2D4D" w:rsidRPr="008C2D4D">
        <w:rPr>
          <w:lang w:val="el-GR"/>
        </w:rPr>
        <w:instrText>"</w:instrText>
      </w:r>
      <w:r w:rsidR="008C2D4D">
        <w:fldChar w:fldCharType="separate"/>
      </w:r>
      <w:r w:rsidRPr="00693B0E">
        <w:rPr>
          <w:rStyle w:val="Hyperlink"/>
          <w:sz w:val="24"/>
          <w:lang w:val="el-GR"/>
        </w:rPr>
        <w:t>http://data.europa.eu/eli/reg/2022/2560/oj</w:t>
      </w:r>
      <w:r w:rsidR="008C2D4D">
        <w:rPr>
          <w:rStyle w:val="Hyperlink"/>
          <w:sz w:val="24"/>
          <w:lang w:val="el-GR"/>
        </w:rPr>
        <w:fldChar w:fldCharType="end"/>
      </w:r>
      <w:r w:rsidRPr="00693B0E">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1736EED"/>
    <w:multiLevelType w:val="hybridMultilevel"/>
    <w:tmpl w:val="C8887F72"/>
    <w:lvl w:ilvl="0" w:tplc="2FC29FD2">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B7E1A50"/>
    <w:multiLevelType w:val="hybridMultilevel"/>
    <w:tmpl w:val="380A3C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4652186">
    <w:abstractNumId w:val="9"/>
  </w:num>
  <w:num w:numId="2" w16cid:durableId="236862325">
    <w:abstractNumId w:val="9"/>
  </w:num>
  <w:num w:numId="3" w16cid:durableId="940262516">
    <w:abstractNumId w:val="7"/>
  </w:num>
  <w:num w:numId="4" w16cid:durableId="751781201">
    <w:abstractNumId w:val="7"/>
  </w:num>
  <w:num w:numId="5" w16cid:durableId="994720610">
    <w:abstractNumId w:val="6"/>
  </w:num>
  <w:num w:numId="6" w16cid:durableId="423066607">
    <w:abstractNumId w:val="6"/>
  </w:num>
  <w:num w:numId="7" w16cid:durableId="764378253">
    <w:abstractNumId w:val="5"/>
  </w:num>
  <w:num w:numId="8" w16cid:durableId="840896440">
    <w:abstractNumId w:val="5"/>
  </w:num>
  <w:num w:numId="9" w16cid:durableId="1132751735">
    <w:abstractNumId w:val="4"/>
  </w:num>
  <w:num w:numId="10" w16cid:durableId="617495814">
    <w:abstractNumId w:val="4"/>
  </w:num>
  <w:num w:numId="11" w16cid:durableId="185142581">
    <w:abstractNumId w:val="8"/>
  </w:num>
  <w:num w:numId="12" w16cid:durableId="142820862">
    <w:abstractNumId w:val="8"/>
  </w:num>
  <w:num w:numId="13" w16cid:durableId="1910848419">
    <w:abstractNumId w:val="3"/>
  </w:num>
  <w:num w:numId="14" w16cid:durableId="1697920688">
    <w:abstractNumId w:val="3"/>
  </w:num>
  <w:num w:numId="15" w16cid:durableId="1048839076">
    <w:abstractNumId w:val="2"/>
  </w:num>
  <w:num w:numId="16" w16cid:durableId="542329510">
    <w:abstractNumId w:val="2"/>
  </w:num>
  <w:num w:numId="17" w16cid:durableId="797069433">
    <w:abstractNumId w:val="1"/>
  </w:num>
  <w:num w:numId="18" w16cid:durableId="1142388775">
    <w:abstractNumId w:val="1"/>
  </w:num>
  <w:num w:numId="19" w16cid:durableId="1907446467">
    <w:abstractNumId w:val="0"/>
  </w:num>
  <w:num w:numId="20" w16cid:durableId="2137747737">
    <w:abstractNumId w:val="0"/>
  </w:num>
  <w:num w:numId="21" w16cid:durableId="689993270">
    <w:abstractNumId w:val="9"/>
  </w:num>
  <w:num w:numId="22" w16cid:durableId="1897475754">
    <w:abstractNumId w:val="7"/>
  </w:num>
  <w:num w:numId="23" w16cid:durableId="1955136409">
    <w:abstractNumId w:val="6"/>
  </w:num>
  <w:num w:numId="24" w16cid:durableId="645166106">
    <w:abstractNumId w:val="5"/>
  </w:num>
  <w:num w:numId="25" w16cid:durableId="1231422117">
    <w:abstractNumId w:val="4"/>
  </w:num>
  <w:num w:numId="26" w16cid:durableId="1226574011">
    <w:abstractNumId w:val="8"/>
  </w:num>
  <w:num w:numId="27" w16cid:durableId="1589076720">
    <w:abstractNumId w:val="3"/>
  </w:num>
  <w:num w:numId="28" w16cid:durableId="60299028">
    <w:abstractNumId w:val="2"/>
  </w:num>
  <w:num w:numId="29" w16cid:durableId="2030984344">
    <w:abstractNumId w:val="1"/>
  </w:num>
  <w:num w:numId="30" w16cid:durableId="288513778">
    <w:abstractNumId w:val="0"/>
  </w:num>
  <w:num w:numId="31" w16cid:durableId="1481458080">
    <w:abstractNumId w:val="9"/>
  </w:num>
  <w:num w:numId="32" w16cid:durableId="1217625003">
    <w:abstractNumId w:val="7"/>
  </w:num>
  <w:num w:numId="33" w16cid:durableId="1213426193">
    <w:abstractNumId w:val="6"/>
  </w:num>
  <w:num w:numId="34" w16cid:durableId="116534026">
    <w:abstractNumId w:val="5"/>
  </w:num>
  <w:num w:numId="35" w16cid:durableId="509687811">
    <w:abstractNumId w:val="4"/>
  </w:num>
  <w:num w:numId="36" w16cid:durableId="787969755">
    <w:abstractNumId w:val="8"/>
  </w:num>
  <w:num w:numId="37" w16cid:durableId="1222911819">
    <w:abstractNumId w:val="3"/>
  </w:num>
  <w:num w:numId="38" w16cid:durableId="976642873">
    <w:abstractNumId w:val="2"/>
  </w:num>
  <w:num w:numId="39" w16cid:durableId="752505785">
    <w:abstractNumId w:val="1"/>
  </w:num>
  <w:num w:numId="40" w16cid:durableId="1451317079">
    <w:abstractNumId w:val="0"/>
  </w:num>
  <w:num w:numId="41" w16cid:durableId="1030913114">
    <w:abstractNumId w:val="10"/>
  </w:num>
  <w:num w:numId="42" w16cid:durableId="2100443750">
    <w:abstractNumId w:val="10"/>
  </w:num>
  <w:num w:numId="43" w16cid:durableId="28145967">
    <w:abstractNumId w:val="10"/>
  </w:num>
  <w:num w:numId="44" w16cid:durableId="950280428">
    <w:abstractNumId w:val="12"/>
  </w:num>
  <w:num w:numId="45" w16cid:durableId="1071151447">
    <w:abstractNumId w:val="13"/>
  </w:num>
  <w:num w:numId="46" w16cid:durableId="1401094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7/2025"/>
    <w:docVar w:name="dvlangue" w:val="EL"/>
    <w:docVar w:name="dvnumam" w:val="0"/>
    <w:docVar w:name="dvpe" w:val="773.358"/>
    <w:docVar w:name="dvtitre" w:val="Ψήφισμα του Ευρωπαϊκού Κοινοβουλίου σχετικά με τη συμφωνία για καθαρή βιομηχανία(2025/2656(RSP))"/>
  </w:docVars>
  <w:rsids>
    <w:rsidRoot w:val="00D462A7"/>
    <w:rsid w:val="00002272"/>
    <w:rsid w:val="00064002"/>
    <w:rsid w:val="000677B9"/>
    <w:rsid w:val="000831BA"/>
    <w:rsid w:val="000A42CC"/>
    <w:rsid w:val="000C795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B0E"/>
    <w:rsid w:val="006F74FA"/>
    <w:rsid w:val="007236B5"/>
    <w:rsid w:val="00731ADD"/>
    <w:rsid w:val="00734777"/>
    <w:rsid w:val="00747932"/>
    <w:rsid w:val="00751A4A"/>
    <w:rsid w:val="00756632"/>
    <w:rsid w:val="00762C74"/>
    <w:rsid w:val="00786EC0"/>
    <w:rsid w:val="007D08CD"/>
    <w:rsid w:val="007D1690"/>
    <w:rsid w:val="007E22AD"/>
    <w:rsid w:val="00817416"/>
    <w:rsid w:val="00842779"/>
    <w:rsid w:val="00865F67"/>
    <w:rsid w:val="0087649E"/>
    <w:rsid w:val="00881A7B"/>
    <w:rsid w:val="008840E5"/>
    <w:rsid w:val="00887B3E"/>
    <w:rsid w:val="008C2AC6"/>
    <w:rsid w:val="008C2D4D"/>
    <w:rsid w:val="00930C23"/>
    <w:rsid w:val="0093193B"/>
    <w:rsid w:val="009509D8"/>
    <w:rsid w:val="00950B64"/>
    <w:rsid w:val="00981893"/>
    <w:rsid w:val="00A1687D"/>
    <w:rsid w:val="00A43E52"/>
    <w:rsid w:val="00A4678D"/>
    <w:rsid w:val="00A778C7"/>
    <w:rsid w:val="00A9640B"/>
    <w:rsid w:val="00AB441E"/>
    <w:rsid w:val="00AB6293"/>
    <w:rsid w:val="00AE0928"/>
    <w:rsid w:val="00AF157A"/>
    <w:rsid w:val="00AF3B82"/>
    <w:rsid w:val="00B12E95"/>
    <w:rsid w:val="00B22876"/>
    <w:rsid w:val="00B558F0"/>
    <w:rsid w:val="00B80437"/>
    <w:rsid w:val="00BD48FE"/>
    <w:rsid w:val="00BD7BD8"/>
    <w:rsid w:val="00BE6ADC"/>
    <w:rsid w:val="00C05BFE"/>
    <w:rsid w:val="00C23CD4"/>
    <w:rsid w:val="00C61C0C"/>
    <w:rsid w:val="00C941CB"/>
    <w:rsid w:val="00CA0CC5"/>
    <w:rsid w:val="00CC2357"/>
    <w:rsid w:val="00CF071A"/>
    <w:rsid w:val="00D03804"/>
    <w:rsid w:val="00D058B8"/>
    <w:rsid w:val="00D462A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95CED"/>
  <w15:chartTrackingRefBased/>
  <w15:docId w15:val="{B29F0814-A05E-4F50-9F82-5C2702FD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F157A"/>
    <w:pPr>
      <w:spacing w:after="240"/>
      <w:ind w:left="567" w:hanging="567"/>
    </w:pPr>
  </w:style>
  <w:style w:type="character" w:styleId="Hyperlink">
    <w:name w:val="Hyperlink"/>
    <w:basedOn w:val="DefaultParagraphFont"/>
    <w:uiPriority w:val="99"/>
    <w:unhideWhenUsed/>
    <w:rsid w:val="00AF157A"/>
    <w:rPr>
      <w:color w:val="0000FF"/>
      <w:u w:val="single"/>
    </w:rPr>
  </w:style>
  <w:style w:type="paragraph" w:styleId="Header">
    <w:name w:val="header"/>
    <w:basedOn w:val="Normal"/>
    <w:link w:val="HeaderChar"/>
    <w:rsid w:val="007D08CD"/>
    <w:pPr>
      <w:tabs>
        <w:tab w:val="center" w:pos="4513"/>
        <w:tab w:val="right" w:pos="9026"/>
      </w:tabs>
    </w:pPr>
  </w:style>
  <w:style w:type="character" w:customStyle="1" w:styleId="HeaderChar">
    <w:name w:val="Header Char"/>
    <w:basedOn w:val="DefaultParagraphFont"/>
    <w:link w:val="Header"/>
    <w:rsid w:val="007D08CD"/>
    <w:rPr>
      <w:sz w:val="24"/>
      <w:lang w:val="el-GR"/>
    </w:rPr>
  </w:style>
  <w:style w:type="paragraph" w:styleId="BalloonText">
    <w:name w:val="Balloon Text"/>
    <w:basedOn w:val="Normal"/>
    <w:link w:val="BalloonTextChar"/>
    <w:rsid w:val="00A9640B"/>
    <w:rPr>
      <w:rFonts w:ascii="Segoe UI" w:hAnsi="Segoe UI" w:cs="Segoe UI"/>
      <w:sz w:val="18"/>
      <w:szCs w:val="18"/>
    </w:rPr>
  </w:style>
  <w:style w:type="character" w:customStyle="1" w:styleId="BalloonTextChar">
    <w:name w:val="Balloon Text Char"/>
    <w:basedOn w:val="DefaultParagraphFont"/>
    <w:link w:val="BalloonText"/>
    <w:rsid w:val="00A9640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A746E-55C9-40E1-9027-962490C06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3094</Words>
  <Characters>19111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2025-07-08T07:35:00Z</dcterms:created>
  <dcterms:modified xsi:type="dcterms:W3CDTF">2025-07-08T07:35:00Z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B10-0277/2025</vt:lpwstr>
  </property>
  <property fmtid="{D5CDD505-2E9C-101B-9397-08002B2CF9AE}" pid="4" name="&lt;Type&gt;">
    <vt:lpwstr>RR</vt:lpwstr>
  </property>
</Properties>
</file>