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24D38" w:rsidTr="0010095E">
        <w:trPr>
          <w:trHeight w:hRule="exact" w:val="1418"/>
        </w:trPr>
        <w:tc>
          <w:tcPr>
            <w:tcW w:w="6804" w:type="dxa"/>
            <w:shd w:val="clear" w:color="auto" w:fill="auto"/>
            <w:vAlign w:val="center"/>
          </w:tcPr>
          <w:p w:rsidR="00751A4A" w:rsidRPr="00D24D38" w:rsidRDefault="005F49C9" w:rsidP="0010095E">
            <w:pPr>
              <w:pStyle w:val="EPName"/>
            </w:pPr>
            <w:bookmarkStart w:id="0" w:name="_GoBack"/>
            <w:bookmarkEnd w:id="0"/>
            <w:r w:rsidRPr="00D24D38">
              <w:t>Europos Parlamentas</w:t>
            </w:r>
          </w:p>
          <w:p w:rsidR="00751A4A" w:rsidRPr="00D24D38" w:rsidRDefault="005F1B17" w:rsidP="005F1B17">
            <w:pPr>
              <w:pStyle w:val="EPTerm"/>
              <w:rPr>
                <w:rStyle w:val="HideTWBExt"/>
                <w:noProof w:val="0"/>
                <w:vanish w:val="0"/>
                <w:color w:val="auto"/>
              </w:rPr>
            </w:pPr>
            <w:r w:rsidRPr="00D24D38">
              <w:t>2024</w:t>
            </w:r>
            <w:r w:rsidR="00817416" w:rsidRPr="00D24D38">
              <w:t>-202</w:t>
            </w:r>
            <w:r w:rsidRPr="00D24D38">
              <w:t>9</w:t>
            </w:r>
          </w:p>
        </w:tc>
        <w:tc>
          <w:tcPr>
            <w:tcW w:w="2268" w:type="dxa"/>
            <w:shd w:val="clear" w:color="auto" w:fill="auto"/>
          </w:tcPr>
          <w:p w:rsidR="00751A4A" w:rsidRPr="00D24D38" w:rsidRDefault="00187494" w:rsidP="0010095E">
            <w:pPr>
              <w:pStyle w:val="EPLogo"/>
            </w:pPr>
            <w:r w:rsidRPr="00D24D38">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24D38" w:rsidRDefault="00D058B8" w:rsidP="004C5D52">
      <w:pPr>
        <w:pStyle w:val="LineTop"/>
      </w:pPr>
    </w:p>
    <w:p w:rsidR="00680577" w:rsidRPr="00D24D38" w:rsidRDefault="005F49C9" w:rsidP="00680577">
      <w:pPr>
        <w:pStyle w:val="EPBodyTA1"/>
      </w:pPr>
      <w:r w:rsidRPr="00D24D38">
        <w:t>PRIIMTI TEKSTAI</w:t>
      </w:r>
    </w:p>
    <w:p w:rsidR="00D058B8" w:rsidRPr="00D24D38" w:rsidRDefault="00D058B8" w:rsidP="00D058B8">
      <w:pPr>
        <w:pStyle w:val="LineBottom"/>
      </w:pPr>
    </w:p>
    <w:p w:rsidR="005F49C9" w:rsidRPr="00D24D38" w:rsidRDefault="005F49C9" w:rsidP="005F49C9">
      <w:pPr>
        <w:pStyle w:val="ATHeading1"/>
      </w:pPr>
      <w:bookmarkStart w:id="1" w:name="TANumber"/>
      <w:r w:rsidRPr="00D24D38">
        <w:t>P10_TA(2025)0</w:t>
      </w:r>
      <w:r w:rsidR="00442E24">
        <w:t>137</w:t>
      </w:r>
      <w:bookmarkEnd w:id="1"/>
    </w:p>
    <w:p w:rsidR="005F49C9" w:rsidRPr="00D24D38" w:rsidRDefault="005F49C9" w:rsidP="005F49C9">
      <w:pPr>
        <w:pStyle w:val="ATHeading2"/>
      </w:pPr>
      <w:bookmarkStart w:id="2" w:name="title"/>
      <w:r w:rsidRPr="00D24D38">
        <w:t>Švarios pramonės kursas</w:t>
      </w:r>
      <w:bookmarkEnd w:id="2"/>
    </w:p>
    <w:p w:rsidR="005F49C9" w:rsidRPr="00D24D38" w:rsidRDefault="005F49C9" w:rsidP="005F49C9">
      <w:pPr>
        <w:rPr>
          <w:i/>
          <w:vanish/>
        </w:rPr>
      </w:pPr>
      <w:r w:rsidRPr="00D24D38">
        <w:rPr>
          <w:i/>
        </w:rPr>
        <w:fldChar w:fldCharType="begin"/>
      </w:r>
      <w:r w:rsidRPr="00D24D38">
        <w:rPr>
          <w:i/>
        </w:rPr>
        <w:instrText xml:space="preserve"> TC"(</w:instrText>
      </w:r>
      <w:bookmarkStart w:id="3" w:name="DocNumber"/>
      <w:r w:rsidRPr="00D24D38">
        <w:rPr>
          <w:i/>
        </w:rPr>
        <w:instrText>B10-0277/2025</w:instrText>
      </w:r>
      <w:bookmarkEnd w:id="3"/>
      <w:r w:rsidRPr="00D24D38">
        <w:rPr>
          <w:i/>
        </w:rPr>
        <w:instrText xml:space="preserve">)"\l3 \n&gt; \* MERGEFORMAT </w:instrText>
      </w:r>
      <w:r w:rsidRPr="00D24D38">
        <w:rPr>
          <w:i/>
        </w:rPr>
        <w:fldChar w:fldCharType="end"/>
      </w:r>
    </w:p>
    <w:p w:rsidR="005F49C9" w:rsidRPr="00D24D38" w:rsidRDefault="005F49C9" w:rsidP="005F49C9">
      <w:pPr>
        <w:rPr>
          <w:vanish/>
        </w:rPr>
      </w:pPr>
      <w:bookmarkStart w:id="4" w:name="PE"/>
      <w:r w:rsidRPr="00D24D38">
        <w:rPr>
          <w:vanish/>
        </w:rPr>
        <w:t>PE773.358</w:t>
      </w:r>
      <w:bookmarkEnd w:id="4"/>
    </w:p>
    <w:p w:rsidR="005F49C9" w:rsidRPr="00D24D38" w:rsidRDefault="004E7285" w:rsidP="005F49C9">
      <w:pPr>
        <w:pStyle w:val="ATHeading3"/>
      </w:pPr>
      <w:bookmarkStart w:id="5" w:name="Sujet"/>
      <w:r>
        <w:t xml:space="preserve">2025 m. birželio 19 d. </w:t>
      </w:r>
      <w:r w:rsidR="005F49C9" w:rsidRPr="00D24D38">
        <w:t>Europos Parlamento rezoliucija dėl švarios pramonės kurso</w:t>
      </w:r>
      <w:bookmarkEnd w:id="5"/>
      <w:r w:rsidR="005F49C9" w:rsidRPr="00D24D38">
        <w:t xml:space="preserve"> </w:t>
      </w:r>
      <w:bookmarkStart w:id="6" w:name="References"/>
      <w:r w:rsidR="005F49C9" w:rsidRPr="00D24D38">
        <w:t>(2025/2656(RSP))</w:t>
      </w:r>
      <w:bookmarkEnd w:id="6"/>
    </w:p>
    <w:p w:rsidR="005F49C9" w:rsidRPr="00D24D38" w:rsidRDefault="005F49C9" w:rsidP="005F49C9"/>
    <w:p w:rsidR="00A80430" w:rsidRPr="008448FD" w:rsidRDefault="00A80430" w:rsidP="00A80430">
      <w:pPr>
        <w:widowControl/>
        <w:suppressAutoHyphens/>
        <w:autoSpaceDN w:val="0"/>
        <w:spacing w:after="240"/>
        <w:jc w:val="both"/>
        <w:textAlignment w:val="baseline"/>
        <w:rPr>
          <w:i/>
          <w:szCs w:val="24"/>
        </w:rPr>
      </w:pPr>
      <w:bookmarkStart w:id="7" w:name="TextBodyBegin"/>
      <w:bookmarkEnd w:id="7"/>
      <w:r w:rsidRPr="008448FD">
        <w:rPr>
          <w:i/>
        </w:rPr>
        <w:t>Europos Parlamentas,</w:t>
      </w:r>
    </w:p>
    <w:p w:rsidR="00A80430" w:rsidRPr="00D24D38" w:rsidRDefault="00A80430" w:rsidP="00A80430">
      <w:pPr>
        <w:pStyle w:val="NormalHanging12a"/>
      </w:pPr>
      <w:r w:rsidRPr="00D24D38">
        <w:t>–</w:t>
      </w:r>
      <w:r w:rsidRPr="00D24D38">
        <w:tab/>
        <w:t>atsižvelgdamas į 2025 m. vasario 26 d. Komisijos komunikatą „Švarios pramonės kursas. Bendros konkurencingumo ir priklausomybės nuo iškastinio kuro mažinimo veiksmų gairės“ (COM(2025)0085),</w:t>
      </w:r>
    </w:p>
    <w:p w:rsidR="00A80430" w:rsidRPr="00D24D38" w:rsidRDefault="00A80430" w:rsidP="00A80430">
      <w:pPr>
        <w:pStyle w:val="NormalHanging12a"/>
      </w:pPr>
      <w:r w:rsidRPr="00D24D38">
        <w:t>–</w:t>
      </w:r>
      <w:r w:rsidRPr="00D24D38">
        <w:tab/>
        <w:t>atsižvelgdamas į 2025 m. vasario 26 d. Komisijos komunikatą „Įperkamos energijos veiksmų planas. Mūsų energetikos sąjungos tikros vertės atskleidimas siekiant užtikrinti įperkamą, efektyviai naudojamą ir švarią energiją visiems europiečiams“ (COM(2025)0079),</w:t>
      </w:r>
    </w:p>
    <w:p w:rsidR="00A80430" w:rsidRPr="00D24D38" w:rsidRDefault="00A80430" w:rsidP="00A80430">
      <w:pPr>
        <w:pStyle w:val="NormalHanging12a"/>
        <w:rPr>
          <w:szCs w:val="24"/>
        </w:rPr>
      </w:pPr>
      <w:r w:rsidRPr="00D24D38">
        <w:t>–</w:t>
      </w:r>
      <w:r w:rsidRPr="00D24D38">
        <w:tab/>
        <w:t>atsižvelgdamas į 2024 m. rugsėjo 9 d. Mario Draghi pranešimą dėl Europos konkurencingumo ateities,</w:t>
      </w:r>
    </w:p>
    <w:p w:rsidR="00A80430" w:rsidRPr="00D24D38" w:rsidRDefault="00A80430" w:rsidP="00A80430">
      <w:pPr>
        <w:pStyle w:val="NormalHanging12a"/>
        <w:rPr>
          <w:szCs w:val="24"/>
        </w:rPr>
      </w:pPr>
      <w:r w:rsidRPr="00D24D38">
        <w:t>–</w:t>
      </w:r>
      <w:r w:rsidRPr="00D24D38">
        <w:tab/>
        <w:t>atsižvelgdamas į 2024 m. balandžio mėn. Enrico Lettos pranešimą „Daug daugiau nei rinka“,</w:t>
      </w:r>
    </w:p>
    <w:p w:rsidR="00A80430" w:rsidRPr="00D24D38" w:rsidRDefault="00A80430" w:rsidP="00A80430">
      <w:pPr>
        <w:pStyle w:val="NormalHanging12a"/>
        <w:rPr>
          <w:szCs w:val="24"/>
        </w:rPr>
      </w:pPr>
      <w:r w:rsidRPr="00D24D38">
        <w:t>–</w:t>
      </w:r>
      <w:r w:rsidRPr="00D24D38">
        <w:tab/>
        <w:t>atsižvelgdamas į 2025 m. sausio 29 d. Komisijos komunikatą „ES konkurencingumo kelrodis“ (COM(2025)0030),</w:t>
      </w:r>
    </w:p>
    <w:p w:rsidR="00A80430" w:rsidRPr="00D24D38" w:rsidRDefault="00A80430" w:rsidP="00A80430">
      <w:pPr>
        <w:pStyle w:val="NormalHanging12a"/>
        <w:rPr>
          <w:szCs w:val="24"/>
        </w:rPr>
      </w:pPr>
      <w:r w:rsidRPr="00D24D38">
        <w:t>–</w:t>
      </w:r>
      <w:r w:rsidRPr="00D24D38">
        <w:tab/>
        <w:t>atsižvelgdamas į 2025 m. kovo 19 d. Komisijos komunikatą „Europos plieno ir metalų veiksmų planas“ (COM(2025)0125),</w:t>
      </w:r>
    </w:p>
    <w:p w:rsidR="00A80430" w:rsidRPr="00D24D38" w:rsidRDefault="00A80430" w:rsidP="00A80430">
      <w:pPr>
        <w:pStyle w:val="NormalHanging12a"/>
        <w:rPr>
          <w:szCs w:val="24"/>
        </w:rPr>
      </w:pPr>
      <w:r w:rsidRPr="00D24D38">
        <w:t>–</w:t>
      </w:r>
      <w:r w:rsidRPr="00D24D38">
        <w:tab/>
        <w:t>atsižvelgdamas į savo 2022 m. rugsėjo 15 d. rezoliuciją „Atnaujintos Naujos Europos pramonės strategijos įgyvendinimas: išlaidų suderinimas su politika“</w:t>
      </w:r>
      <w:r w:rsidRPr="00D24D38">
        <w:rPr>
          <w:rStyle w:val="FootnoteReference"/>
          <w:szCs w:val="24"/>
        </w:rPr>
        <w:footnoteReference w:id="1"/>
      </w:r>
      <w:r w:rsidRPr="00D24D38">
        <w:t>,</w:t>
      </w:r>
    </w:p>
    <w:p w:rsidR="00A80430" w:rsidRPr="00D24D38" w:rsidRDefault="00A80430" w:rsidP="00A80430">
      <w:pPr>
        <w:pStyle w:val="NormalHanging12a"/>
        <w:rPr>
          <w:szCs w:val="24"/>
        </w:rPr>
      </w:pPr>
      <w:r w:rsidRPr="00D24D38">
        <w:t>–</w:t>
      </w:r>
      <w:r w:rsidRPr="00D24D38">
        <w:tab/>
        <w:t>atsižvelgdamas į savo 2025 m. balandžio 3 d. rezoliuciją dėl intensyviai energiją vartojančių pramonės šakų</w:t>
      </w:r>
      <w:r w:rsidRPr="00D24D38">
        <w:rPr>
          <w:rStyle w:val="FootnoteReference"/>
          <w:szCs w:val="24"/>
        </w:rPr>
        <w:footnoteReference w:id="2"/>
      </w:r>
      <w:r w:rsidRPr="00D24D38">
        <w:t xml:space="preserve"> ir į susijusį klausimą, į kurį atsakoma žodžiu </w:t>
      </w:r>
      <w:r w:rsidR="00056B1C">
        <w:t>(</w:t>
      </w:r>
      <w:r w:rsidRPr="00D24D38">
        <w:t>O-00010/2025</w:t>
      </w:r>
      <w:r w:rsidR="00056B1C">
        <w:t>)</w:t>
      </w:r>
      <w:r w:rsidRPr="00D24D38">
        <w:t>,</w:t>
      </w:r>
    </w:p>
    <w:p w:rsidR="00A80430" w:rsidRPr="00D24D38" w:rsidRDefault="00A80430" w:rsidP="00A80430">
      <w:pPr>
        <w:pStyle w:val="NormalHanging12a"/>
        <w:rPr>
          <w:bCs/>
          <w:iCs/>
          <w:szCs w:val="24"/>
        </w:rPr>
      </w:pPr>
      <w:r w:rsidRPr="00D24D38">
        <w:t>–</w:t>
      </w:r>
      <w:r w:rsidRPr="00D24D38">
        <w:tab/>
        <w:t xml:space="preserve">atsižvelgdamas į 2019 m. gruodžio 11 d. Komisijos komunikatą dėl Europos žaliojo </w:t>
      </w:r>
      <w:r w:rsidRPr="00D24D38">
        <w:lastRenderedPageBreak/>
        <w:t>kurso (COM(2019)0640),</w:t>
      </w:r>
    </w:p>
    <w:p w:rsidR="00A80430" w:rsidRPr="00D24D38" w:rsidRDefault="00A80430" w:rsidP="00A80430">
      <w:pPr>
        <w:pStyle w:val="NormalHanging12a"/>
      </w:pPr>
      <w:r w:rsidRPr="00D24D38">
        <w:t>–</w:t>
      </w:r>
      <w:r w:rsidRPr="00D24D38">
        <w:tab/>
        <w:t>atsižvelgdamas į 2025 m. gegužės 13 d. Pramonės, mokslinių tyrimų ir energetikos komiteto pranešimą „Elektros tinklai – ES energetikos sistemos pagrindas“,</w:t>
      </w:r>
    </w:p>
    <w:p w:rsidR="00A80430" w:rsidRPr="00D24D38" w:rsidRDefault="00A80430" w:rsidP="00A80430">
      <w:pPr>
        <w:pStyle w:val="NormalHanging12a"/>
        <w:rPr>
          <w:szCs w:val="24"/>
        </w:rPr>
      </w:pPr>
      <w:r w:rsidRPr="00D24D38">
        <w:t>–</w:t>
      </w:r>
      <w:r w:rsidRPr="00D24D38">
        <w:tab/>
        <w:t xml:space="preserve">atsižvelgdamas į klausimą Komisijai </w:t>
      </w:r>
      <w:r w:rsidR="00E537CE">
        <w:t>(</w:t>
      </w:r>
      <w:r w:rsidRPr="00D24D38">
        <w:t>O-000020/2025</w:t>
      </w:r>
      <w:r w:rsidR="00E537CE">
        <w:t>)</w:t>
      </w:r>
      <w:r w:rsidRPr="00D24D38">
        <w:t>,</w:t>
      </w:r>
    </w:p>
    <w:p w:rsidR="00A80430" w:rsidRPr="00D24D38" w:rsidRDefault="00A80430" w:rsidP="00A80430">
      <w:pPr>
        <w:pStyle w:val="NormalHanging12a"/>
        <w:rPr>
          <w:szCs w:val="24"/>
        </w:rPr>
      </w:pPr>
      <w:r w:rsidRPr="00D24D38">
        <w:t>–</w:t>
      </w:r>
      <w:r w:rsidRPr="00D24D38">
        <w:tab/>
        <w:t>atsižvelgdamas į Darbo tvarkos taisyklių 142 straipsnio 5 dalį ir 136 straipsnio 2 dalį,</w:t>
      </w:r>
    </w:p>
    <w:p w:rsidR="00A80430" w:rsidRPr="00D24D38" w:rsidRDefault="00A80430" w:rsidP="00A80430">
      <w:pPr>
        <w:pStyle w:val="NormalHanging12a"/>
      </w:pPr>
      <w:r w:rsidRPr="00D24D38">
        <w:t>–</w:t>
      </w:r>
      <w:r w:rsidRPr="00D24D38">
        <w:tab/>
        <w:t>atsižvelgdamas į Pramonės, mokslinių tyrimų ir energetikos komiteto pasiūlymą dėl rezoliucijos,</w:t>
      </w:r>
    </w:p>
    <w:p w:rsidR="00A80430" w:rsidRPr="00D24D38" w:rsidRDefault="00A80430" w:rsidP="00A80430">
      <w:pPr>
        <w:pStyle w:val="NormalHanging12a"/>
        <w:rPr>
          <w:szCs w:val="24"/>
        </w:rPr>
      </w:pPr>
      <w:r w:rsidRPr="00D24D38">
        <w:t>A.</w:t>
      </w:r>
      <w:r w:rsidRPr="00D24D38">
        <w:tab/>
        <w:t>kadangi švarios pramonės kursu siekiama klimato politikos veiksmus ir konkurencingumą sujungti į vieną visa apimančią augimo strategiją, kurioje daugiausia dėmesio būtų skiriama daug energijos suvartojančių pramonės sektorių ir švarių technologijų sektoriaus rėmimui; kadangi to labai reikia, nes sėkmingai pereiti prie nuo iškastinio kuro nepriklausomos ir žiedinės ekonomikos galima tik tuo atveju, jei bus išlaikytas konkurencingumas;</w:t>
      </w:r>
    </w:p>
    <w:p w:rsidR="00A80430" w:rsidRPr="00D24D38" w:rsidRDefault="00A80430" w:rsidP="00A80430">
      <w:pPr>
        <w:pStyle w:val="NormalHanging12a"/>
        <w:rPr>
          <w:szCs w:val="24"/>
        </w:rPr>
      </w:pPr>
      <w:r w:rsidRPr="00D24D38">
        <w:t>B.</w:t>
      </w:r>
      <w:r w:rsidRPr="00D24D38">
        <w:tab/>
        <w:t>kadangi Įperkamos energijos veiksmų planu siekiama tiekti įperkamą švarią energiją ir trumpalaikę pagalbą, mažinant sąskaitas už energiją, kartu spartinant struktūrinių reformų įgyvendinimą ir stiprinant mūsų energetikos sistemas, kad būtų sušvelninti būsimi kainų sukrėtimai;</w:t>
      </w:r>
    </w:p>
    <w:p w:rsidR="00A80430" w:rsidRPr="00D24D38" w:rsidRDefault="00A80430" w:rsidP="00A80430">
      <w:pPr>
        <w:pStyle w:val="NormalHanging12a"/>
        <w:rPr>
          <w:szCs w:val="24"/>
        </w:rPr>
      </w:pPr>
      <w:r w:rsidRPr="00D24D38">
        <w:t>C.</w:t>
      </w:r>
      <w:r w:rsidRPr="00D24D38">
        <w:tab/>
        <w:t>kadangi Europos pramonė šiuo metu susiduria su didžiuliais iššūkiais, susijusiais su didelėmis iškastinio kuro energijos kainomis, nesąžininga tarptautine konkurencija, prarastomis darbo vietomis, įgūdžių trūkumu, o dėl to mažėja gamyba, perkeliami ir uždaromi objektai, taip didinant mūsų priklausomybę nuo išorės tiekėjų ir kenkiant strateginiam savarankiškumui, ir kyla rizika, kad inovacijos, gamyba ir susiję išmetamieji teršalai bus perkelti, o reiškinių priežastys pašalintos nebus;</w:t>
      </w:r>
    </w:p>
    <w:p w:rsidR="00A80430" w:rsidRPr="00D24D38" w:rsidRDefault="00A80430" w:rsidP="00A80430">
      <w:pPr>
        <w:pStyle w:val="NormalHanging12a"/>
        <w:rPr>
          <w:szCs w:val="24"/>
        </w:rPr>
      </w:pPr>
      <w:r w:rsidRPr="00D24D38">
        <w:t>D.</w:t>
      </w:r>
      <w:r w:rsidRPr="00D24D38">
        <w:tab/>
        <w:t>kadangi Europos pramonė yra pasirengusi siekti tvarumo, prisidėti prie poveikio klimatui neutralumo užtikrinimo iki 2050 m., o perspektyvi, nuo iškastinio kuro nepriklausoma pramoninė bazė gali suteikti didelių galimybių, tačiau priklausomybės nuo iškastinio kuro mažinimo projektus gali tekti atidėti, nes jų verslui palankių argumentų Europoje nebedaugėja;</w:t>
      </w:r>
    </w:p>
    <w:p w:rsidR="00A80430" w:rsidRPr="00D24D38" w:rsidRDefault="00A80430" w:rsidP="00A80430">
      <w:pPr>
        <w:pStyle w:val="NormalHanging12a"/>
        <w:rPr>
          <w:rFonts w:eastAsia="Calibri"/>
          <w:szCs w:val="24"/>
        </w:rPr>
      </w:pPr>
      <w:r w:rsidRPr="00D24D38">
        <w:t>1.</w:t>
      </w:r>
      <w:r w:rsidRPr="00D24D38">
        <w:tab/>
        <w:t>palankiai vertina švarios pramonės kursą kaip ilgai lauktą pirmąjį žingsnį siekiant stiprinti Europos pramonės konkurencingumą ir inovacijas, strateginį savarankiškumą, priklausomybės nuo iškastinio kuro mažinimą, klestėjimą ir švarų augimą; primygtinai ragina Komisiją skubiai pereiti nuo strategijos prie veiksmų ir įgyvendinimo; pripažįsta, kad siūlomi veiksmai turi būti išplėsti tolesnėmis priemonėmis; pabrėžia, kad tvirta ir tikslinga pramonės politika yra labai svarbi siekiant užtikrinti tvirtą ir tvarią pramoninę bazę Europoje ir kurti bei išlaikyti aukštos kokybės darbo vietas, kartu mažinant mūsų ekonomikos priklausomybę nuo iškastinio kuro, mažinant taršą ir stiprinant Europos atsparumą;</w:t>
      </w:r>
    </w:p>
    <w:p w:rsidR="00A80430" w:rsidRPr="00D24D38" w:rsidRDefault="00A80430" w:rsidP="00A80430">
      <w:pPr>
        <w:pStyle w:val="NormalHanging12a"/>
        <w:rPr>
          <w:rFonts w:eastAsia="Calibri"/>
          <w:szCs w:val="24"/>
        </w:rPr>
      </w:pPr>
      <w:r w:rsidRPr="00D24D38">
        <w:t>2.</w:t>
      </w:r>
      <w:r w:rsidRPr="00D24D38">
        <w:tab/>
        <w:t xml:space="preserve">palankiai vertina siekį sukurti Pramonės priklausomybės nuo iškastinio kuro mažinimo banką, kurio tikslas – sutelkti 100 mlrd. EUR finansavimą, taip pat paskelbtą bandomąjį projektą, pagal kurį bus surengtas 1 mlrd. EUR vertės aukcionas dėl pagrindinių pramonės procesų priklausomybės nuo iškastinio kuro mažinimo įvairiuose sektoriuose, remiant pramonės priklausomybės nuo iškastinio kuro mažinimą ir elektrifikavimą; pabrėžia, kad svarbu didinti investicijas į švarių technologijų gamybą ir galimybes gauti </w:t>
      </w:r>
      <w:r w:rsidRPr="00D24D38">
        <w:lastRenderedPageBreak/>
        <w:t>kapitalo, be kita ko, skiriant papildomą finansavimą iš Inovacijų fondo; ragina valstybes nares aktyviau dalyvauti paslauginių aukcionų programose; ragina patvirtinti investavimo kriterijus, grindžiamus poveikiu mažinant anglies pėdsaką, išplečiamumu ir energijos tiekimo saugumu; remia sutartis dėl anglies dioksido kainų skirtumų, kuriomis siekiama panaikinti atotrūkį tarp anglies dioksido kainos ir pramoninio anglies dioksido tvarkymo projektų sąnaudų tuose sektoriuose, kuriuose sunku sumažinti išmetamą anglies dioksido kiekį; mano, kad minėtos sutartys turėtų priklausyti biudžeto eilutei, skirtai pramonės priklausomybės nuo iškastinio kuro mažinimo technologijų diegimui, kurį valdytų Konkurencingumo fondas;</w:t>
      </w:r>
    </w:p>
    <w:p w:rsidR="00A80430" w:rsidRPr="00D24D38" w:rsidRDefault="00A80430" w:rsidP="00A80430">
      <w:pPr>
        <w:pStyle w:val="NormalHanging12a"/>
        <w:rPr>
          <w:rFonts w:eastAsia="Calibri"/>
          <w:szCs w:val="24"/>
        </w:rPr>
      </w:pPr>
      <w:r w:rsidRPr="00D24D38">
        <w:t>3.</w:t>
      </w:r>
      <w:r w:rsidRPr="00D24D38">
        <w:tab/>
        <w:t>remia Įperkamos energijos veiksmų planą ir tai, kad jame daugiausia dėmesio skiriama elektros energijos rinkos modelio įgyvendinimui, stiprinant tokias priemones kaip elektros energijos pirkimo sutartys (EEPS) ir abipusiai sandoriai dėl kainų skirtumo, siekiant sumažinti iškastinio kuro kainų įtaką elektros energijos kainoms; palankiai vertina bandomąją įmonių elektros energijos pirkimo sutarčių programą, vykdomą per Europos investicijų banką, ir pabrėžia, kad reikia pasinaudoti elektros energijos pirkimo sutartimis siekiant padidinti pajėgumus ir iš tikrųjų sumažinti priklausomybę nuo iškastinio kuro; ragina Komisiją nustatyti rizikos mažinimo priemones, kad būtų pašalintos pagrindinės kliūtys, su kuriomis susiduria daug energijos suvartojantys pramonės sektoriai pasirašydami elektros energijos pirkimo sutartis, visų pirma atsinaujinančiųjų išteklių elektros energijos pirkimo sutartis, taip pat sandorius dėl kainų skirtumo, skirtus rizikai energijos vartotojų paklausos atžvilgiu sumažinti, ir išnagrinėti, kaip skatinti mišrių elektros energijos pirkimo sutarčių su atitinkamais lankstumo produktais kūrimą;</w:t>
      </w:r>
    </w:p>
    <w:p w:rsidR="00A80430" w:rsidRPr="00D24D38" w:rsidRDefault="00A80430" w:rsidP="00A80430">
      <w:pPr>
        <w:pStyle w:val="NormalHanging12a"/>
        <w:rPr>
          <w:rFonts w:eastAsia="Calibri"/>
          <w:szCs w:val="24"/>
        </w:rPr>
      </w:pPr>
      <w:r w:rsidRPr="00D24D38">
        <w:t>4.</w:t>
      </w:r>
      <w:r w:rsidRPr="00D24D38">
        <w:tab/>
        <w:t>pabrėžia, kad reikia stiprinti energetikos infrastruktūrą, ypač tarpvalstybinę, įskaitant jungtis, ir baigti kurti energetikos sąjungą; primygtinai ragina siekti plataus užmojo būsimo dialogo dėl didesnės elektros energijos rinkos integracijos rezultatų, nes dabartinis reguliavimo priežiūros ir investicijų planavimo susiskaidymas visose valstybėse narėse trukdo integracijai ir elektrifikacijai; ragina valstybes nares, perdavimo sistemos operatorius ir Komisiją suteikti postūmį tarpvalstybinei prekybai elektros energija, kad būtų gerai išnaudojama rinkos integracija ir visoms tarpusavyje sujungtoms sandorių šalims pagerėtų tiekimo patikimumas; primygtinai ragina valstybes nares siekti dabartinio 15 proc. tinklų sujungimo tikslo, kaip nustatyta Reglamente (ES) 2018/1999</w:t>
      </w:r>
      <w:r w:rsidRPr="00D24D38">
        <w:rPr>
          <w:rStyle w:val="FootnoteReference"/>
          <w:bCs/>
          <w:iCs/>
          <w:szCs w:val="24"/>
          <w:lang w:eastAsia="en-US"/>
        </w:rPr>
        <w:footnoteReference w:id="3"/>
      </w:r>
      <w:r w:rsidRPr="00D24D38">
        <w:t>;</w:t>
      </w:r>
    </w:p>
    <w:p w:rsidR="00A80430" w:rsidRPr="00D24D38" w:rsidRDefault="00A80430" w:rsidP="00A80430">
      <w:pPr>
        <w:pStyle w:val="NormalHanging12a"/>
        <w:rPr>
          <w:rFonts w:eastAsia="Calibri"/>
          <w:szCs w:val="24"/>
        </w:rPr>
      </w:pPr>
      <w:r w:rsidRPr="00D24D38">
        <w:t>5.</w:t>
      </w:r>
      <w:r w:rsidRPr="00D24D38">
        <w:tab/>
        <w:t>pabrėžia, kad reikia užbaigti Energijos mokesčių direktyvos</w:t>
      </w:r>
      <w:r w:rsidRPr="00D24D38">
        <w:rPr>
          <w:rStyle w:val="FootnoteReference"/>
          <w:rFonts w:eastAsia="Calibri"/>
          <w:szCs w:val="24"/>
          <w:lang w:eastAsia="en-US"/>
        </w:rPr>
        <w:footnoteReference w:id="4"/>
      </w:r>
      <w:r w:rsidRPr="00D24D38">
        <w:t xml:space="preserve">, kuria siekiama energetikos produktų apmokestinimą suderinti su ES energetikos ir klimato politikos tikslais, peržiūros darbus ir suderinti tinklo mokesčių tarifų nustatymo metodikų struktūrą, su sąlyga, kad tokios priemonės nebus taikomos galutinių vartotojų sąskaita; </w:t>
      </w:r>
      <w:r w:rsidRPr="00D24D38">
        <w:lastRenderedPageBreak/>
        <w:t>ragina valstybes nares skubiai suteikti trumpalaikę paramą pramonei ir namų ūkiams, pvz., mažinant elektros energijos mokesčius ir rinkliavas ir susilaikant nuo nepagrįstų papildomų reikalavimų (perteklinio reglamentavimo taikymo greta ES teisės aktų), kai tai iškraipo vienodas sąlygas;</w:t>
      </w:r>
    </w:p>
    <w:p w:rsidR="00A80430" w:rsidRPr="00D24D38" w:rsidRDefault="00A80430" w:rsidP="00A80430">
      <w:pPr>
        <w:pStyle w:val="NormalHanging12a"/>
        <w:rPr>
          <w:rFonts w:eastAsia="Calibri"/>
          <w:szCs w:val="24"/>
        </w:rPr>
      </w:pPr>
      <w:r w:rsidRPr="00D24D38">
        <w:t>6.</w:t>
      </w:r>
      <w:r w:rsidRPr="00D24D38">
        <w:tab/>
        <w:t>ragina Komisiją ir valstybes nares gerinti valstybės pagalbos išlaidų bendriems Europos pramonės prioritetams koordinavimą ir ragina valstybes nares tuo pasinaudoti siekiant remti pramonę pereinant prie švarios energijos ir kartu atsižvelgiant į skirtingus fiskalinius pajėgumus; pakartoja, kad reikia užtikrinti vienodas sąlygas; pabrėžia, kad reikia geriau koordinuoti pramonės politiką visoje Sąjungoje, tiek tarp pačių valstybių narių, tiek tarp valstybių narių ir Komisijos; pritaria tam, kad būtų pradėta taikyti konkurencingumo koordinavimo priemonė, skirta nacionalinėms pastangoms nukreipti ir suderinti; mano, kad viešoji parama turėtų padėti išsaugoti darbo vietas ir pramonės veiklą Europoje, o tokios paramos gavėjai turėtų įsipareigoti užtikrinti deramas įsidarbinimo ir darbo sąlygas ir dalyvauti socialiniame dialoge;</w:t>
      </w:r>
    </w:p>
    <w:p w:rsidR="00A80430" w:rsidRDefault="00A80430" w:rsidP="00A80430">
      <w:pPr>
        <w:pStyle w:val="NormalHanging12a"/>
      </w:pPr>
      <w:r w:rsidRPr="00D24D38">
        <w:t>7.</w:t>
      </w:r>
      <w:r w:rsidRPr="00D24D38">
        <w:tab/>
        <w:t xml:space="preserve">pritaria supaprastinimui ir skaitmenizacijai siekiant paspartinti leidimų išdavimo procedūras, tačiau kartu laikantis aplinkos apsaugos priemonių ir apsaugant žmonių sveikatą; ragina Komisiją spartesnio pramonės priklausomybės nuo iškastinio kuro mažinimo akte dar labiau pašalinti leidimų išdavimo kliūtis, mažinančias pramonės galimybes apsirūpinti energija ir trukdančias mažinti pramonės priklausomybę nuo iškastinio kuro, t. y., be kita ko, patvirtinti priemones teisminėms ir administracinėms procedūroms paspartinti ir įvertinti kriterijus, pagal kuriuos </w:t>
      </w:r>
      <w:r w:rsidR="00B95576" w:rsidRPr="00D24D38">
        <w:t>švarių technologijų ir</w:t>
      </w:r>
      <w:r w:rsidR="00B95576">
        <w:t xml:space="preserve"> nulinio ŠESD balanso projektų, kaupimo bei tinklų projektų statybų etapu</w:t>
      </w:r>
      <w:r w:rsidR="00B95576" w:rsidRPr="00D24D38">
        <w:t xml:space="preserve"> </w:t>
      </w:r>
      <w:r w:rsidRPr="00D24D38">
        <w:t>būtų taikomos tikslinės išimtys išmetamiems teršalams ir nuosėdoms</w:t>
      </w:r>
      <w:r w:rsidR="00B95576">
        <w:t xml:space="preserve">; </w:t>
      </w:r>
      <w:r w:rsidRPr="00D24D38">
        <w:t>primygtinai ragina valstybes nares gerinti savo administracinius gebėjimus siekiant užtikrinti, kad leidimai būtų sutvarkomi laiku, ir visapusiškai įgyvendinti Atsinaujinančiųjų išteklių energijos direktyvą</w:t>
      </w:r>
      <w:r w:rsidRPr="00D24D38">
        <w:rPr>
          <w:rStyle w:val="FootnoteReference"/>
          <w:rFonts w:eastAsia="Calibri"/>
          <w:bCs/>
          <w:iCs/>
          <w:szCs w:val="24"/>
          <w:lang w:eastAsia="en-US"/>
        </w:rPr>
        <w:footnoteReference w:id="5"/>
      </w:r>
      <w:r w:rsidRPr="00D24D38">
        <w:t>, įskaitant viršesnio viešojo intereso principą, bei Poveikio klimatui neutralizavimo pramonės aktą</w:t>
      </w:r>
      <w:r w:rsidRPr="00D24D38">
        <w:rPr>
          <w:rStyle w:val="FootnoteReference"/>
          <w:rFonts w:eastAsia="Calibri"/>
          <w:bCs/>
          <w:iCs/>
          <w:szCs w:val="24"/>
          <w:lang w:eastAsia="en-US"/>
        </w:rPr>
        <w:footnoteReference w:id="6"/>
      </w:r>
      <w:r w:rsidRPr="00D24D38">
        <w:t>;</w:t>
      </w:r>
    </w:p>
    <w:p w:rsidR="00A80430" w:rsidRPr="00D24D38" w:rsidRDefault="00A80430" w:rsidP="00A80430">
      <w:pPr>
        <w:pStyle w:val="NormalHanging12a"/>
        <w:rPr>
          <w:rFonts w:eastAsia="Calibri"/>
          <w:szCs w:val="24"/>
        </w:rPr>
      </w:pPr>
      <w:r w:rsidRPr="00D24D38">
        <w:t>8.</w:t>
      </w:r>
      <w:r w:rsidRPr="00D24D38">
        <w:tab/>
        <w:t>ragina Komisiją, užtikrinant energijos tiekimo saugumą ir įperkamumą, atsižvelgti į visas turimas technologijas, kurios ekonomiškai efektyviu būdu padeda siekti ES 2050 m. poveikio klimatui neutralumo tikslo, stengiantis naudoti švaresnį, stabilesnį, saugesnį ir labiau nepriklausomą energijos rūšių derinį; pripažįsta, kad atsinaujinančiųjų išteklių energija kartu su branduoline energija toms valstybėms narėms, kurios nusprendžia ją naudoti, yra labai svarbi švariam ir saugiam energijos rūšių deriniui pasiekti; ragina Komisiją stiprinti bendradarbiavimą saugaus mažojo modulinio reaktoriaus kūrimo ir gamybos Europoje klausimais ir daryti pažangą branduolių sintezės, kaip būsimos energetikos technologijos, mokslinių tyrimų srityje; palankiai vertina paskelbtą galimybės racionalizuoti naujų branduolinės energijos technologijų licencijavimo praktiką vertinimą;</w:t>
      </w:r>
    </w:p>
    <w:p w:rsidR="00A80430" w:rsidRPr="00D24D38" w:rsidRDefault="00A80430" w:rsidP="00A80430">
      <w:pPr>
        <w:pStyle w:val="NormalHanging12a"/>
        <w:rPr>
          <w:rFonts w:eastAsia="Calibri"/>
          <w:szCs w:val="24"/>
        </w:rPr>
      </w:pPr>
      <w:r w:rsidRPr="00D24D38">
        <w:lastRenderedPageBreak/>
        <w:t>9.</w:t>
      </w:r>
      <w:r w:rsidRPr="00D24D38">
        <w:tab/>
        <w:t>pabrėžia elektrifikacijos vaidmenį, tačiau pažymi, kad būtina gerokai išplėsti ir modernizuoti tinklus; ragina parengti ES energijos lankstumo strategiją, kurioje daugiausia dėmesio būtų skiriama reagavimui į paklausą ir energijos kaupimui; palankiai vertina ketinimą atnaujinti Šildymo ir vėsinimo strategiją ir Elektrifikavimo veiksmų planą; ragina Komisiją pripažinti energijos vartojimo efektyvumo sektorių vienu iš svarbiausių strateginių pramonės priklausomybės nuo iškastinio kuro mažinimo ir Europos konkurencingumo sektorių;</w:t>
      </w:r>
    </w:p>
    <w:p w:rsidR="00A80430" w:rsidRPr="00D24D38" w:rsidRDefault="00A80430" w:rsidP="00A80430">
      <w:pPr>
        <w:pStyle w:val="NormalHanging12a"/>
        <w:rPr>
          <w:rFonts w:eastAsia="Calibri"/>
          <w:szCs w:val="24"/>
        </w:rPr>
      </w:pPr>
      <w:r w:rsidRPr="00D24D38">
        <w:t>10.</w:t>
      </w:r>
      <w:r w:rsidRPr="00D24D38">
        <w:tab/>
        <w:t>pabrėžia, kad vandenilis iš atsinaujinančiųjų energijos išteklių ir mažo anglies dioksido pėdsako vandenilis gali atlikti svarbų vaidmenį mažinant pramonės priklausomybę nuo iškastinio kuro; ragina būsimajame deleguotajame reglamente, kuriuo bus papildyta Direktyva (ES) 2024/1788</w:t>
      </w:r>
      <w:r w:rsidRPr="00D24D38">
        <w:rPr>
          <w:rStyle w:val="FootnoteReference"/>
          <w:rFonts w:eastAsia="Calibri"/>
          <w:szCs w:val="24"/>
          <w:lang w:eastAsia="en-US"/>
        </w:rPr>
        <w:footnoteReference w:id="7"/>
      </w:r>
      <w:r w:rsidRPr="00D24D38">
        <w:t>, greitai patvirtinti ir įgyvendinti paprastą, technologiniu požiūriu neutralią ir investicijoms palankią mažo anglies dioksido pėdsako vandenilio apibrėžtį, nurodant metodiką, kaip bus vertinamas naudojant mažo anglies dioksido pėdsako kurą sutaupytas išmetamas šiltnamio efektą sukeliančių dujų kiekis, ir kartu užtikrinant, kad minėta apibrėžtis būtų patikima, pagrįsta mokslu ir išmetamam šiltnamio efektą sukeliančių dujų kiekiui sumažinti skatintų gaminti ir naudoti vandenilį; pritaria pranešimui apie tyrimą dėl nebiologinės kilmės kuro iš atsinaujinančiųjų energijos išteklių taisyklių; primygtinai ragina Komisiją atsižvelgti į šio tyrimo rezultatus ir suinteresuotiesiems subjektams susirūpinimą keliančius klausimus ir prireikus pasiūlyti deleguotojo akto dėl nebiologinės kilmės kuro iš atsinaujinančiųjų energijos išteklių</w:t>
      </w:r>
      <w:r w:rsidRPr="00D24D38">
        <w:rPr>
          <w:rStyle w:val="FootnoteReference"/>
          <w:rFonts w:eastAsia="Calibri"/>
          <w:szCs w:val="24"/>
          <w:lang w:eastAsia="en-US"/>
        </w:rPr>
        <w:footnoteReference w:id="8"/>
      </w:r>
      <w:r w:rsidRPr="00D24D38">
        <w:t xml:space="preserve"> pakeitimus, kad būtų padidinta vandenilio iš atsinaujinančiųjų energijos išteklių gamyba ir būtų sumažintos jo kainos vartotojams;</w:t>
      </w:r>
    </w:p>
    <w:p w:rsidR="00A80430" w:rsidRPr="00D24D38" w:rsidRDefault="00A80430" w:rsidP="00A80430">
      <w:pPr>
        <w:pStyle w:val="NormalHanging12a"/>
        <w:rPr>
          <w:rFonts w:eastAsia="Calibri"/>
          <w:szCs w:val="24"/>
        </w:rPr>
      </w:pPr>
      <w:r w:rsidRPr="00D24D38">
        <w:t>11.</w:t>
      </w:r>
      <w:r w:rsidRPr="00D24D38">
        <w:tab/>
        <w:t>pakartoja, kad reikia parengti priemones, kuriomis būtų užtikrintas dujų tiekimas mažesnėmis sąnaudomis tiems sektoriams, kurie trumpuoju ir vidutinės trukmės laikotarpiu negali iš esmės pasikliauti elektrifikacija; ragina kurti diversifikuotas ir patikimas partnerystės struktūras, atitinkančias Sąjungos saugumą, interesus ir planą „REPowerEU“;</w:t>
      </w:r>
    </w:p>
    <w:p w:rsidR="00A80430" w:rsidRPr="00D24D38" w:rsidRDefault="00A80430" w:rsidP="00A80430">
      <w:pPr>
        <w:pStyle w:val="NormalHanging12a"/>
        <w:rPr>
          <w:rFonts w:eastAsia="Calibri"/>
          <w:szCs w:val="24"/>
        </w:rPr>
      </w:pPr>
      <w:r w:rsidRPr="00D24D38">
        <w:t>12.</w:t>
      </w:r>
      <w:r w:rsidRPr="00D24D38">
        <w:tab/>
        <w:t>primygtinai ragina Komisiją dalyvauti sektorių dialoguose su pramonės įmonėmis, akademine bendruomene, socialiniais partneriais ir atitinkamais suinteresuotaisiais subjektais iš švarių technologijų ir daug energijos suvartojančių pramonės sektorių bei (tarpvalstybinių) regioninių pramonės klasterių, siekiant stiprinti jų konkurencingumą ir sudaryti palankesnes sąlygas jų pertvarkos trajektorijoms; pabrėžia, kad pramonės ekosistemos yra labai tarpusavyje susietos ir efektyvios, o vieno objekto uždarymas daro poveikį visam klasteriui; ragina kasmet stebėti ir ataskaitose aprašyti mūsų pramonės ekosistemų konkurencingumą ir atsparumą, taip pat pažangą, padarytą įgyvendinant pertvarkos trajektorijas, kad prireikus priemones būtų galima greitai pritaikyti ir skirti tikslinę paramą;</w:t>
      </w:r>
    </w:p>
    <w:p w:rsidR="00A80430" w:rsidRPr="00D24D38" w:rsidRDefault="00A80430" w:rsidP="00A80430">
      <w:pPr>
        <w:pStyle w:val="NormalHanging12a"/>
        <w:rPr>
          <w:bCs/>
          <w:iCs/>
          <w:szCs w:val="24"/>
        </w:rPr>
      </w:pPr>
      <w:r w:rsidRPr="00D24D38">
        <w:lastRenderedPageBreak/>
        <w:t>13.</w:t>
      </w:r>
      <w:r w:rsidRPr="00D24D38">
        <w:tab/>
        <w:t>pabrėžia, kad perėjimo prie švarios pramonės sėkmė priklauso nuo kvalifikuotos darbo jėgos; ragina Komisiją ir valstybes nares parengti koordinuotą pramonės įgūdžių strategiją, suderintą su Poveikio klimatui neutralizavimo pramonės aktu ir švarių technologijų prioritetais; remia greitą nulinio balanso pramonės akademijų ir profesinės kompetencijos centrų kūrimą ir plėtrą; ragina naudotis ES priemonėmis, pvz., ESF+, „Erasmus+“ ir Teisingos pertvarkos fondu, siekiant remti tikslinį kvalifikacijos kėlimą ir perkvalifikavimą pertvarkomuose pramonės regionuose, įskaitant kaimo vietoves;</w:t>
      </w:r>
    </w:p>
    <w:p w:rsidR="00A80430" w:rsidRPr="00D24D38" w:rsidRDefault="00A80430" w:rsidP="00A80430">
      <w:pPr>
        <w:pStyle w:val="NormalHanging12a"/>
        <w:rPr>
          <w:rFonts w:eastAsia="Calibri"/>
          <w:szCs w:val="24"/>
        </w:rPr>
      </w:pPr>
      <w:r w:rsidRPr="00D24D38">
        <w:t>14.</w:t>
      </w:r>
      <w:r w:rsidRPr="00D24D38">
        <w:tab/>
        <w:t>palankiai vertina pirmaujančias Europoje pagamintų švarių, žiedinių ir mažo anglies dioksido pėdsako produktų rinkas; pabrėžia, kad reikia skatinti paklausą vykdant viešuosius ir privačiuosius pirkimus ir, kai tinkama, nustatant tvarumo ir atsparumo kriterijus ir standartus; pritaria tam, kad būtų sukurti savanoriški taršos anglies dioksidu intensyvumo ženklai pramonės produktams (pvz., plienui ir cementui), kurie turėtų atspindėti anglies dioksido išmetimo rodiklius, o ne procesų šališkumą, ir kad jie būtų suderinti su galiojančiais ES teisės aktais, įskaitant Tvarių gaminių ekologinio projektavimo reglamentą</w:t>
      </w:r>
      <w:r w:rsidRPr="00D24D38">
        <w:rPr>
          <w:rStyle w:val="FootnoteReference"/>
          <w:rFonts w:eastAsia="Calibri"/>
          <w:bCs/>
          <w:iCs/>
          <w:szCs w:val="24"/>
          <w:lang w:eastAsia="en-US"/>
        </w:rPr>
        <w:footnoteReference w:id="9"/>
      </w:r>
      <w:r w:rsidRPr="00D24D38">
        <w:t xml:space="preserve"> ir Statybos produktų reglamentą</w:t>
      </w:r>
      <w:r w:rsidRPr="00D24D38">
        <w:rPr>
          <w:rStyle w:val="FootnoteReference"/>
          <w:rFonts w:eastAsia="Calibri"/>
          <w:bCs/>
          <w:iCs/>
          <w:szCs w:val="24"/>
          <w:lang w:eastAsia="en-US"/>
        </w:rPr>
        <w:footnoteReference w:id="10"/>
      </w:r>
      <w:r w:rsidRPr="00D24D38">
        <w:t>; ragina Komisiją išnagrinėti kitus reikalavimus, kaip užtikrinti švarių ES pagamintų produktų paklausą;</w:t>
      </w:r>
    </w:p>
    <w:p w:rsidR="00A80430" w:rsidRPr="00D24D38" w:rsidRDefault="00A80430" w:rsidP="00A80430">
      <w:pPr>
        <w:pStyle w:val="NormalHanging12a"/>
        <w:rPr>
          <w:rFonts w:eastAsia="Calibri"/>
          <w:szCs w:val="24"/>
        </w:rPr>
      </w:pPr>
      <w:r w:rsidRPr="00D24D38">
        <w:t>15.</w:t>
      </w:r>
      <w:r w:rsidRPr="00D24D38">
        <w:tab/>
        <w:t>palankiai vertina siūlomus veiksmus, kuriais skatinama žiedinė ekonomika ir bioekonomika, užtikrinant medžiagų ir išteklių prieinamumą; ragina į Žiedinės ekonomikos aktą įtraukti priemones, kuriomis būtų didinamas strateginių antrinių žaliavų naudojimas ir įperkamumas ES, atsižvelgiant į Ypatingos svarbos žaliavų akto</w:t>
      </w:r>
      <w:r w:rsidRPr="00D24D38">
        <w:rPr>
          <w:rStyle w:val="FootnoteReference"/>
          <w:rFonts w:eastAsia="Calibri"/>
          <w:szCs w:val="24"/>
          <w:lang w:eastAsia="en-US"/>
        </w:rPr>
        <w:footnoteReference w:id="11"/>
      </w:r>
      <w:r w:rsidRPr="00D24D38">
        <w:t xml:space="preserve"> tikslus; pabrėžia, kad reikia apibrėžti tas antrines žaliavas, kurios yra strateginės ir kurioms turėtų būti taikoma eksporto stebėsena, pvz., plieno ir metalo laužą, ir spręsti bet kokio jų pasiūlos ir paklausos disbalanso problemą, be kita ko, išnagrinėjant galimybę taikyti eksporto apribojimus; primygtinai reikalauja užtikrinti veiksmingą Atliekų vežimo reglamento</w:t>
      </w:r>
      <w:r w:rsidRPr="00D24D38">
        <w:rPr>
          <w:rStyle w:val="FootnoteReference"/>
          <w:rFonts w:eastAsia="Calibri"/>
          <w:szCs w:val="24"/>
          <w:lang w:eastAsia="en-US"/>
        </w:rPr>
        <w:footnoteReference w:id="12"/>
      </w:r>
      <w:r w:rsidRPr="00D24D38">
        <w:t xml:space="preserve"> vykdymą; ragina sukurti nuspėjamą reglamentavimo sistemą, pagal kurią būtų galima taikyti žiedinius verslo modelius, visų pirma grindžiamus atliekų prevencija, pakartotiniu naudojimu ir aukštos kokybės perdirbimu;</w:t>
      </w:r>
    </w:p>
    <w:p w:rsidR="00A80430" w:rsidRPr="00D24D38" w:rsidRDefault="00A80430" w:rsidP="00A80430">
      <w:pPr>
        <w:pStyle w:val="NormalHanging12a"/>
        <w:rPr>
          <w:rFonts w:eastAsia="Calibri"/>
          <w:szCs w:val="24"/>
        </w:rPr>
      </w:pPr>
      <w:r w:rsidRPr="00D24D38">
        <w:t>16.</w:t>
      </w:r>
      <w:r w:rsidRPr="00D24D38">
        <w:tab/>
        <w:t xml:space="preserve">pabrėžia, kad reikia apsaugoti Europos rinką nuo nesąžiningos konkurencijos ir perteklinių pramonės pajėgumų dempingo iš ES nepriklausančių šalių visapusiškai taikant prekybos apsaugos mechanizmus; ragina Komisiją sistemingai, iniciatyviai ir proporcingai naudoti prekybos apsaugos priemones, įskaitant antidempingo ir </w:t>
      </w:r>
      <w:r w:rsidRPr="00D24D38">
        <w:lastRenderedPageBreak/>
        <w:t>antisubsidijų tyrimus; reikalauja stiprinti Užsienio subsidijų reglamento</w:t>
      </w:r>
      <w:r w:rsidRPr="00D24D38">
        <w:rPr>
          <w:rStyle w:val="FootnoteReference"/>
          <w:rFonts w:eastAsia="Calibri"/>
          <w:bCs/>
          <w:iCs/>
          <w:szCs w:val="24"/>
          <w:lang w:eastAsia="en-US"/>
        </w:rPr>
        <w:footnoteReference w:id="13"/>
      </w:r>
      <w:r w:rsidRPr="00D24D38">
        <w:t xml:space="preserve"> vykdymo užtikrinimo pajėgumus ir apgailestauja, kad ši priemonė dar nebuvo sistemingai aktyvuota svarbiausiuose sektoriuose; ragina Komisiją perteklinius pramonės pajėgumus ir strateginę priklausomybę laikyti pagrindine konkurencijos rizika, kuriai reikia koordinuoto ES lygmens atsako ir tinkamų priemonių; ragina Komisiją užtikrinti, kad subjektams, prisidedantiems prie struktūrinių rinkos iškraipymų ar nesąžiningos konkurencijos, nebūtų suteikta galimybė patekti į ES vidaus rinką ar dalyvauti Europos pramonės projektuose;</w:t>
      </w:r>
    </w:p>
    <w:p w:rsidR="00A80430" w:rsidRPr="00D24D38" w:rsidRDefault="00A80430" w:rsidP="00A80430">
      <w:pPr>
        <w:pStyle w:val="NormalHanging12a"/>
        <w:rPr>
          <w:rFonts w:eastAsia="Calibri"/>
          <w:szCs w:val="24"/>
        </w:rPr>
      </w:pPr>
      <w:r w:rsidRPr="00D24D38">
        <w:t>17.</w:t>
      </w:r>
      <w:r w:rsidRPr="00D24D38">
        <w:tab/>
        <w:t>palankiai vertina pirmajame bendrajame supaprastinimo dokumentų rinkinyje pasiūlytą pasienio anglies dioksido korekcinio mechanizmo (PADKM) supaprastinimą, nes tai svarbus žingsnis siekiant toliau didinti PADKM veiksmingumą sprendžiant anglies dioksido nutekėjimo problemą; pakartoja raginimą rasti veiksmingą eksporto sprendimą, kad būtų sumažinta iš ES į trečiąsias šalis eksportuojamų PADKM prekių anglies dioksido nutekėjimo rizika; prašo Komisijos atidžiai išnagrinėti riziką, kylančią dėl nepatikrintų sertifikatų iš trečiųjų šalių, nes tai galėtų pakenkti sąžiningumui ir konkurencingumui; teigiamai vertina Komisijos ketinimą iki metų pabaigos pateikti apėjimo prevencijos strategiją ir apsvarstyti galimybę vykdant būsimą peržiūrą į PADKM įtraukti papildomus sektorius; pabrėžia, kad veiksmingas PADKM yra svarbus siekiant ES šiltnamio efektą sukeliančių dujų apyvartinių taršos leidimų prekybos sistemoje laipsniškai atsisakyti nemokamų leidimų;</w:t>
      </w:r>
    </w:p>
    <w:p w:rsidR="00A80430" w:rsidRPr="00D24D38" w:rsidRDefault="00A80430" w:rsidP="00A80430">
      <w:pPr>
        <w:pStyle w:val="NormalHanging12a"/>
        <w:rPr>
          <w:rFonts w:eastAsia="Calibri"/>
          <w:szCs w:val="24"/>
        </w:rPr>
      </w:pPr>
      <w:r w:rsidRPr="00D24D38">
        <w:t>18.</w:t>
      </w:r>
      <w:r w:rsidRPr="00D24D38">
        <w:tab/>
        <w:t>atsižvelgdamas į ES pramoninio anglies dioksido tvarkymo strategijos įgyvendinimą, palankiai vertina tai, kad būsimuose teisės aktuose (vykdant jų peržiūras) bus sukurtas ilgalaikio anglies dioksido absorbavimo verslo scenarijus; pripažįsta, kad sektoriuose, kuriuose sunku sumažinti išmetamą anglies dioksido kiekį, gali prireikti anglies dioksido tvarkymo, įskaitant surinkimą, saugojimą, transportavimą ir panaudojimą; pabrėžia, kad reikia pasiūlyti CO</w:t>
      </w:r>
      <w:r w:rsidRPr="00D24D38">
        <w:rPr>
          <w:vertAlign w:val="subscript"/>
        </w:rPr>
        <w:t>2</w:t>
      </w:r>
      <w:r w:rsidRPr="00D24D38">
        <w:t xml:space="preserve"> transportavimo ir infrastruktūros CO</w:t>
      </w:r>
      <w:r w:rsidRPr="00D24D38">
        <w:rPr>
          <w:vertAlign w:val="subscript"/>
        </w:rPr>
        <w:t>2</w:t>
      </w:r>
      <w:r w:rsidRPr="00D24D38">
        <w:t xml:space="preserve"> rinkos pagrindų paketą;</w:t>
      </w:r>
    </w:p>
    <w:p w:rsidR="00A80430" w:rsidRPr="00D24D38" w:rsidRDefault="00A80430" w:rsidP="00A80430">
      <w:pPr>
        <w:pStyle w:val="NormalHanging12a"/>
        <w:rPr>
          <w:rFonts w:eastAsia="Calibri"/>
          <w:szCs w:val="24"/>
        </w:rPr>
      </w:pPr>
      <w:r w:rsidRPr="00D24D38">
        <w:t>19.</w:t>
      </w:r>
      <w:r w:rsidRPr="00D24D38">
        <w:tab/>
        <w:t>primygtinai ragina užtikrinti MVĮ prieinamą finansavimą; palankiai vertina spartesnį tokių priemonių kaip Inovacijų fondas ir Poveikio klimatui neutralizavimo pramonės aktas patvirtinimą ir jų lėšų išmokėjimą ir pabrėžia, kad bendriems Europos interesams svarbių projektų (BEISP) iniciatyva turi būti prieinama MVĮ; primygtinai ragina atlikti tolesnius patobulinimus ir derinimą siekiant supaprastinti finansavimo paraiškas, sumažinti pareigų teikti ataskaitas ir pagreitinta tvarka administruoti mažus projektus;</w:t>
      </w:r>
    </w:p>
    <w:p w:rsidR="00A80430" w:rsidRPr="00D24D38" w:rsidRDefault="00A80430" w:rsidP="00A80430">
      <w:pPr>
        <w:pStyle w:val="NormalHanging12a"/>
        <w:rPr>
          <w:rFonts w:eastAsia="Calibri"/>
          <w:szCs w:val="24"/>
        </w:rPr>
      </w:pPr>
      <w:r w:rsidRPr="00D24D38">
        <w:t>20.</w:t>
      </w:r>
      <w:r w:rsidRPr="00D24D38">
        <w:tab/>
        <w:t xml:space="preserve">pabrėžia, kokios svarbios konkretiems sektoriams skirtos koncepcijos siekiant veiksmingai įgyvendinti švarios pramonės kursą visose pramonės ekosistemose; palankiai vertina Europos automobilių pramonės sektoriaus veiksmų planą, Plieno ir metalų veiksmų planą, pranešimą apie chemijos pramonės dokumentų rinkinį, Investicijų į darnųjį transportą planą ir Bioekonomikos strategiją kaip pagrindinius darnios pramonės pertvarkos elementus; ragina į Investicijų į darnųjį transportą planą įtraukti išsamias priklausomybės nuo iškastinio kuro mažinimo strategijas, atspindinčias konkrečius įvairių transporto rūšių technologinius ir investicijų poreikius; ragina į švarios pramonės kursą įtraukti kitus sektorius, pvz., Europos orlaivių ir erdvėlaivių sektorių ir alternatyviuosius degalus; </w:t>
      </w:r>
      <w:r w:rsidRPr="00D24D38">
        <w:rPr>
          <w:shd w:val="clear" w:color="auto" w:fill="FFFFFF"/>
        </w:rPr>
        <w:t xml:space="preserve">ragina parengti konkretų švarių technologijų </w:t>
      </w:r>
      <w:r w:rsidRPr="00D24D38">
        <w:rPr>
          <w:shd w:val="clear" w:color="auto" w:fill="FFFFFF"/>
        </w:rPr>
        <w:lastRenderedPageBreak/>
        <w:t>veiksmų planą;</w:t>
      </w:r>
    </w:p>
    <w:p w:rsidR="00E365E1" w:rsidRPr="00D24D38" w:rsidRDefault="00A80430" w:rsidP="008448FD">
      <w:pPr>
        <w:pStyle w:val="NormalHanging12a"/>
      </w:pPr>
      <w:r w:rsidRPr="00D24D38">
        <w:t>21.</w:t>
      </w:r>
      <w:r w:rsidRPr="00D24D38">
        <w:tab/>
        <w:t>paveda Pirmininkei perduoti šią rezoliuciją Komisijai, Tarybai ir valstybių narių vyriausybėms bei parlamentams.</w:t>
      </w:r>
    </w:p>
    <w:sectPr w:rsidR="00E365E1" w:rsidRPr="00D24D38" w:rsidSect="00D24D38">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49C9" w:rsidRPr="00D24D38" w:rsidRDefault="005F49C9">
      <w:r w:rsidRPr="00D24D38">
        <w:separator/>
      </w:r>
    </w:p>
  </w:endnote>
  <w:endnote w:type="continuationSeparator" w:id="0">
    <w:p w:rsidR="005F49C9" w:rsidRPr="00D24D38" w:rsidRDefault="005F49C9">
      <w:r w:rsidRPr="00D24D3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49C9" w:rsidRPr="00D24D38" w:rsidRDefault="005F49C9">
      <w:r w:rsidRPr="00D24D38">
        <w:separator/>
      </w:r>
    </w:p>
  </w:footnote>
  <w:footnote w:type="continuationSeparator" w:id="0">
    <w:p w:rsidR="005F49C9" w:rsidRPr="00D24D38" w:rsidRDefault="005F49C9">
      <w:r w:rsidRPr="00D24D38">
        <w:continuationSeparator/>
      </w:r>
    </w:p>
  </w:footnote>
  <w:footnote w:id="1">
    <w:p w:rsidR="00A80430" w:rsidRPr="00D24D38" w:rsidRDefault="00A80430" w:rsidP="00D24D38">
      <w:pPr>
        <w:pStyle w:val="FootnoteText"/>
        <w:ind w:left="567" w:hanging="567"/>
        <w:rPr>
          <w:i/>
          <w:sz w:val="24"/>
          <w:lang w:val="lt-LT"/>
        </w:rPr>
      </w:pPr>
      <w:r w:rsidRPr="00D24D38">
        <w:rPr>
          <w:rStyle w:val="FootnoteReference"/>
          <w:sz w:val="24"/>
          <w:lang w:val="lt-LT"/>
        </w:rPr>
        <w:footnoteRef/>
      </w:r>
      <w:r w:rsidR="00D24D38" w:rsidRPr="00D24D38">
        <w:rPr>
          <w:sz w:val="24"/>
          <w:lang w:val="lt-LT"/>
        </w:rPr>
        <w:t xml:space="preserve"> </w:t>
      </w:r>
      <w:r w:rsidR="00D24D38" w:rsidRPr="00D24D38">
        <w:rPr>
          <w:sz w:val="24"/>
          <w:lang w:val="lt-LT"/>
        </w:rPr>
        <w:tab/>
      </w:r>
      <w:hyperlink r:id="rId1" w:history="1">
        <w:r w:rsidRPr="00442E24">
          <w:rPr>
            <w:szCs w:val="24"/>
            <w:lang w:val="fi-FI"/>
          </w:rPr>
          <w:t>OL C 125, 2023 4 5, p. 124</w:t>
        </w:r>
      </w:hyperlink>
      <w:r w:rsidRPr="00D24D38">
        <w:rPr>
          <w:sz w:val="24"/>
          <w:lang w:val="lt-LT"/>
        </w:rPr>
        <w:t>.</w:t>
      </w:r>
    </w:p>
  </w:footnote>
  <w:footnote w:id="2">
    <w:p w:rsidR="00A80430" w:rsidRPr="00D24D38" w:rsidRDefault="00A80430" w:rsidP="00D24D38">
      <w:pPr>
        <w:pStyle w:val="FootnoteText"/>
        <w:ind w:left="567" w:hanging="567"/>
        <w:rPr>
          <w:sz w:val="24"/>
          <w:lang w:val="lt-LT"/>
        </w:rPr>
      </w:pPr>
      <w:r w:rsidRPr="00D24D38">
        <w:rPr>
          <w:rStyle w:val="FootnoteReference"/>
          <w:sz w:val="24"/>
          <w:lang w:val="lt-LT"/>
        </w:rPr>
        <w:footnoteRef/>
      </w:r>
      <w:r w:rsidR="00D24D38" w:rsidRPr="00D24D38">
        <w:rPr>
          <w:sz w:val="24"/>
          <w:lang w:val="lt-LT"/>
        </w:rPr>
        <w:t xml:space="preserve"> </w:t>
      </w:r>
      <w:r w:rsidR="00D24D38" w:rsidRPr="00D24D38">
        <w:rPr>
          <w:sz w:val="24"/>
          <w:lang w:val="lt-LT"/>
        </w:rPr>
        <w:tab/>
      </w:r>
      <w:r w:rsidRPr="00D24D38">
        <w:rPr>
          <w:sz w:val="24"/>
          <w:lang w:val="lt-LT"/>
        </w:rPr>
        <w:t>Priimti tekstai, P10_TA(2025)0065.</w:t>
      </w:r>
    </w:p>
  </w:footnote>
  <w:footnote w:id="3">
    <w:p w:rsidR="00A80430" w:rsidRPr="00D24D38" w:rsidRDefault="00A80430" w:rsidP="00D24D38">
      <w:pPr>
        <w:pStyle w:val="FootnoteText"/>
        <w:ind w:left="567" w:hanging="567"/>
        <w:rPr>
          <w:sz w:val="24"/>
          <w:lang w:val="lt-LT"/>
        </w:rPr>
      </w:pPr>
      <w:r w:rsidRPr="00D24D38">
        <w:rPr>
          <w:rStyle w:val="FootnoteReference"/>
          <w:sz w:val="24"/>
          <w:lang w:val="lt-LT"/>
        </w:rPr>
        <w:footnoteRef/>
      </w:r>
      <w:r w:rsidR="00D24D38" w:rsidRPr="00D24D38">
        <w:rPr>
          <w:sz w:val="24"/>
          <w:lang w:val="lt-LT"/>
        </w:rPr>
        <w:t xml:space="preserve"> </w:t>
      </w:r>
      <w:r w:rsidR="00D24D38" w:rsidRPr="00D24D38">
        <w:rPr>
          <w:sz w:val="24"/>
          <w:lang w:val="lt-LT"/>
        </w:rPr>
        <w:tab/>
      </w:r>
      <w:r w:rsidRPr="00D24D38">
        <w:rPr>
          <w:sz w:val="24"/>
          <w:lang w:val="lt-LT"/>
        </w:rPr>
        <w:t>2018 m. gruodžio 11 d. Europos Parlamento ir Tarybos reglamentas (ES) 2018/1999 dėl energetikos sąjungos ir klimato politikos veiksmų valdymo, kuriuo iš dalies keičiami Europos Parlamento ir Tarybos reglamentai (EB) Nr. 663/2009 ir (EB) Nr. 715/2009, Europos Parlamento ir Tarybos direktyvos 94/22/EB, 98/70/EB, 2009/31/EB, 2009/73/EB, 2010/31/ES, 2012/27/ES ir 2013/30/ES, Tarybos direktyvos 2009/119/EB ir (ES) 2015/652 ir panaikinamas Europos Parlamento ir Tarybos reglamentas (ES) Nr. 525/2013, (OL L 328, 2018 12 21, p. </w:t>
      </w:r>
      <w:r w:rsidRPr="00D24D38">
        <w:rPr>
          <w:sz w:val="24"/>
          <w:lang w:val="lt-LT"/>
        </w:rPr>
        <w:t>1, ELI: </w:t>
      </w:r>
      <w:hyperlink r:id="rId2" w:history="1">
        <w:r w:rsidRPr="00D24D38">
          <w:rPr>
            <w:rStyle w:val="Hyperlink"/>
            <w:sz w:val="24"/>
            <w:lang w:val="lt-LT"/>
          </w:rPr>
          <w:t>http://data.europa.eu/eli/reg/2018/1999/oj</w:t>
        </w:r>
      </w:hyperlink>
      <w:r w:rsidRPr="00D24D38">
        <w:rPr>
          <w:sz w:val="24"/>
          <w:lang w:val="lt-LT"/>
        </w:rPr>
        <w:t>).</w:t>
      </w:r>
    </w:p>
  </w:footnote>
  <w:footnote w:id="4">
    <w:p w:rsidR="00A80430" w:rsidRPr="00D24D38" w:rsidRDefault="00A80430" w:rsidP="00D24D38">
      <w:pPr>
        <w:pStyle w:val="FootnoteText"/>
        <w:ind w:left="567" w:hanging="567"/>
        <w:rPr>
          <w:sz w:val="24"/>
          <w:lang w:val="lt-LT"/>
        </w:rPr>
      </w:pPr>
      <w:r w:rsidRPr="00D24D38">
        <w:rPr>
          <w:rStyle w:val="FootnoteReference"/>
          <w:sz w:val="24"/>
          <w:lang w:val="lt-LT"/>
        </w:rPr>
        <w:footnoteRef/>
      </w:r>
      <w:r w:rsidR="00D24D38" w:rsidRPr="00D24D38">
        <w:rPr>
          <w:sz w:val="24"/>
          <w:lang w:val="lt-LT"/>
        </w:rPr>
        <w:t xml:space="preserve"> </w:t>
      </w:r>
      <w:r w:rsidR="00D24D38" w:rsidRPr="00D24D38">
        <w:rPr>
          <w:sz w:val="24"/>
          <w:lang w:val="lt-LT"/>
        </w:rPr>
        <w:tab/>
      </w:r>
      <w:r w:rsidRPr="00D24D38">
        <w:rPr>
          <w:sz w:val="24"/>
          <w:lang w:val="lt-LT"/>
        </w:rPr>
        <w:t>2003 m. spalio 27 d. Tarybos direktyva 2003/96/EB, pakeičianti Bendrijos energetikos produktų ir elektros energijos mokesčių struktūrą, (OL L 283, 2003 10 31, p. </w:t>
      </w:r>
      <w:r w:rsidRPr="00D24D38">
        <w:rPr>
          <w:sz w:val="24"/>
          <w:lang w:val="lt-LT"/>
        </w:rPr>
        <w:t>51, ELI: </w:t>
      </w:r>
      <w:hyperlink r:id="rId3" w:history="1">
        <w:r w:rsidRPr="00D24D38">
          <w:rPr>
            <w:rStyle w:val="Hyperlink"/>
            <w:sz w:val="24"/>
            <w:lang w:val="lt-LT"/>
          </w:rPr>
          <w:t>http://data.europa.eu/eli/dir/2003/96/oj</w:t>
        </w:r>
      </w:hyperlink>
      <w:r w:rsidRPr="00D24D38">
        <w:rPr>
          <w:sz w:val="24"/>
          <w:lang w:val="lt-LT"/>
        </w:rPr>
        <w:t>).</w:t>
      </w:r>
    </w:p>
  </w:footnote>
  <w:footnote w:id="5">
    <w:p w:rsidR="00A80430" w:rsidRPr="00D24D38" w:rsidRDefault="00A80430" w:rsidP="00D24D38">
      <w:pPr>
        <w:pStyle w:val="FootnoteText"/>
        <w:ind w:left="567" w:hanging="567"/>
        <w:rPr>
          <w:sz w:val="24"/>
          <w:lang w:val="lt-LT"/>
        </w:rPr>
      </w:pPr>
      <w:r w:rsidRPr="00D24D38">
        <w:rPr>
          <w:rStyle w:val="FootnoteReference"/>
          <w:sz w:val="24"/>
          <w:lang w:val="lt-LT"/>
        </w:rPr>
        <w:footnoteRef/>
      </w:r>
      <w:r w:rsidR="00D24D38" w:rsidRPr="00D24D38">
        <w:rPr>
          <w:sz w:val="24"/>
          <w:lang w:val="lt-LT"/>
        </w:rPr>
        <w:t xml:space="preserve"> </w:t>
      </w:r>
      <w:r w:rsidR="00D24D38" w:rsidRPr="00D24D38">
        <w:rPr>
          <w:sz w:val="24"/>
          <w:lang w:val="lt-LT"/>
        </w:rPr>
        <w:tab/>
      </w:r>
      <w:r w:rsidRPr="00D24D38">
        <w:rPr>
          <w:sz w:val="24"/>
          <w:lang w:val="lt-LT"/>
        </w:rPr>
        <w:t xml:space="preserve">2023 m. spalio 18 d. </w:t>
      </w:r>
      <w:r w:rsidRPr="00D24D38">
        <w:rPr>
          <w:sz w:val="24"/>
          <w:lang w:val="lt-LT"/>
        </w:rPr>
        <w:t>Europos Parlamento ir Tarybos direktyva (ES) 2023/2413, kuria iš dalies keičiami Direktyva (ES) 2018/2001, Reglamentas (ES) 2018/1999 ir Direktyva 98/70/EB, kiek tai susiję su skatinimu naudoti atsinaujinančiųjų išteklių energiją, ir panaikinama Tarybos direktyva (ES) 2015/652, (OL L, 2023/2413, 2023 10 31, ELI: </w:t>
      </w:r>
      <w:hyperlink r:id="rId4" w:history="1">
        <w:r w:rsidRPr="00D24D38">
          <w:rPr>
            <w:rStyle w:val="Hyperlink"/>
            <w:sz w:val="24"/>
            <w:lang w:val="lt-LT"/>
          </w:rPr>
          <w:t>http://data.europa.eu/eli/dir/2023/2413/oj</w:t>
        </w:r>
      </w:hyperlink>
      <w:r w:rsidRPr="00D24D38">
        <w:rPr>
          <w:sz w:val="24"/>
          <w:lang w:val="lt-LT"/>
        </w:rPr>
        <w:t>).</w:t>
      </w:r>
    </w:p>
  </w:footnote>
  <w:footnote w:id="6">
    <w:p w:rsidR="00A80430" w:rsidRPr="00D24D38" w:rsidRDefault="00A80430" w:rsidP="00D24D38">
      <w:pPr>
        <w:pStyle w:val="FootnoteText"/>
        <w:ind w:left="567" w:hanging="567"/>
        <w:rPr>
          <w:sz w:val="24"/>
          <w:lang w:val="lt-LT"/>
        </w:rPr>
      </w:pPr>
      <w:r w:rsidRPr="00D24D38">
        <w:rPr>
          <w:rStyle w:val="FootnoteReference"/>
          <w:sz w:val="24"/>
          <w:lang w:val="lt-LT"/>
        </w:rPr>
        <w:footnoteRef/>
      </w:r>
      <w:r w:rsidR="00D24D38" w:rsidRPr="00D24D38">
        <w:rPr>
          <w:sz w:val="24"/>
          <w:lang w:val="lt-LT"/>
        </w:rPr>
        <w:t xml:space="preserve"> </w:t>
      </w:r>
      <w:r w:rsidR="00D24D38" w:rsidRPr="00D24D38">
        <w:rPr>
          <w:sz w:val="24"/>
          <w:lang w:val="lt-LT"/>
        </w:rPr>
        <w:tab/>
      </w:r>
      <w:r w:rsidRPr="00D24D38">
        <w:rPr>
          <w:sz w:val="24"/>
          <w:lang w:val="lt-LT"/>
        </w:rPr>
        <w:t xml:space="preserve">2024 m. birželio 13 d. </w:t>
      </w:r>
      <w:r w:rsidRPr="00D24D38">
        <w:rPr>
          <w:sz w:val="24"/>
          <w:lang w:val="lt-LT"/>
        </w:rPr>
        <w:t>Europos Parlamento ir Tarybos reglamentas (ES) 2024/1735 dėl priemonių sistemos Europos nulinio balanso technologijų gamybos ekosistemai stiprinti sukūrimo, kuriuo iš dalies keičiamas Reglamentas (ES) 2018/1724, (OL L, 2024/1735, 2024 6 28, ELI: </w:t>
      </w:r>
      <w:hyperlink r:id="rId5" w:history="1">
        <w:r w:rsidRPr="00D24D38">
          <w:rPr>
            <w:rStyle w:val="Hyperlink"/>
            <w:sz w:val="24"/>
            <w:lang w:val="lt-LT"/>
          </w:rPr>
          <w:t>http://data.europa.eu/eli/reg/2024/1735/oj</w:t>
        </w:r>
      </w:hyperlink>
      <w:r w:rsidRPr="00D24D38">
        <w:rPr>
          <w:sz w:val="24"/>
          <w:lang w:val="lt-LT"/>
        </w:rPr>
        <w:t>).</w:t>
      </w:r>
    </w:p>
  </w:footnote>
  <w:footnote w:id="7">
    <w:p w:rsidR="00A80430" w:rsidRPr="00D24D38" w:rsidRDefault="00A80430" w:rsidP="00D24D38">
      <w:pPr>
        <w:pStyle w:val="FootnoteText"/>
        <w:ind w:left="567" w:hanging="567"/>
        <w:rPr>
          <w:sz w:val="24"/>
          <w:lang w:val="lt-LT"/>
        </w:rPr>
      </w:pPr>
      <w:r w:rsidRPr="00D24D38">
        <w:rPr>
          <w:rStyle w:val="FootnoteReference"/>
          <w:sz w:val="24"/>
          <w:lang w:val="lt-LT"/>
        </w:rPr>
        <w:footnoteRef/>
      </w:r>
      <w:r w:rsidR="00D24D38" w:rsidRPr="00D24D38">
        <w:rPr>
          <w:sz w:val="24"/>
          <w:lang w:val="lt-LT"/>
        </w:rPr>
        <w:t xml:space="preserve"> </w:t>
      </w:r>
      <w:r w:rsidR="00D24D38" w:rsidRPr="00D24D38">
        <w:rPr>
          <w:sz w:val="24"/>
          <w:lang w:val="lt-LT"/>
        </w:rPr>
        <w:tab/>
      </w:r>
      <w:r w:rsidRPr="00D24D38">
        <w:rPr>
          <w:sz w:val="24"/>
          <w:lang w:val="lt-LT"/>
        </w:rPr>
        <w:t xml:space="preserve">2024 m. birželio 13 d. </w:t>
      </w:r>
      <w:r w:rsidRPr="00D24D38">
        <w:rPr>
          <w:sz w:val="24"/>
          <w:lang w:val="lt-LT"/>
        </w:rPr>
        <w:t xml:space="preserve">Europos Parlamento ir Tarybos direktyva (ES) 2024/1788 dėl dujų iš atsinaujinančiųjų energijos išteklių, gamtinių dujų ir vandenilio vidaus rinkų bendrųjų taisyklių, kuria iš dalies keičiama Direktyva (ES) 2023/1791 ir panaikinama Direktyva 2009/73/EB, (OL L, 2024/1788, 2024 7 15, ELI: </w:t>
      </w:r>
      <w:hyperlink r:id="rId6" w:history="1">
        <w:r w:rsidRPr="00D24D38">
          <w:rPr>
            <w:rStyle w:val="Hyperlink"/>
            <w:sz w:val="24"/>
            <w:lang w:val="lt-LT"/>
          </w:rPr>
          <w:t>http://data.europa.eu/eli/dir/2024/1788/oj</w:t>
        </w:r>
      </w:hyperlink>
      <w:r w:rsidRPr="00D24D38">
        <w:rPr>
          <w:sz w:val="24"/>
          <w:lang w:val="lt-LT"/>
        </w:rPr>
        <w:t>).</w:t>
      </w:r>
    </w:p>
  </w:footnote>
  <w:footnote w:id="8">
    <w:p w:rsidR="00A80430" w:rsidRPr="00D24D38" w:rsidRDefault="00A80430" w:rsidP="00D24D38">
      <w:pPr>
        <w:pStyle w:val="FootnoteText"/>
        <w:ind w:left="567" w:hanging="567"/>
        <w:rPr>
          <w:sz w:val="24"/>
          <w:lang w:val="lt-LT"/>
        </w:rPr>
      </w:pPr>
      <w:r w:rsidRPr="00D24D38">
        <w:rPr>
          <w:rStyle w:val="FootnoteReference"/>
          <w:sz w:val="24"/>
          <w:lang w:val="lt-LT"/>
        </w:rPr>
        <w:footnoteRef/>
      </w:r>
      <w:r w:rsidR="00D24D38" w:rsidRPr="00D24D38">
        <w:rPr>
          <w:sz w:val="24"/>
          <w:lang w:val="lt-LT"/>
        </w:rPr>
        <w:t xml:space="preserve"> </w:t>
      </w:r>
      <w:r w:rsidR="00D24D38" w:rsidRPr="00D24D38">
        <w:rPr>
          <w:sz w:val="24"/>
          <w:lang w:val="lt-LT"/>
        </w:rPr>
        <w:tab/>
      </w:r>
      <w:r w:rsidRPr="00D24D38">
        <w:rPr>
          <w:sz w:val="24"/>
          <w:lang w:val="lt-LT"/>
        </w:rPr>
        <w:t>2023 m. vasario 10 d. Komisijos deleguotasis reglamentas (ES) 2023/1184, kuriuo Europos Parlamento ir Tarybos direktyva (ES) 2018/2001 papildoma Sąjungos metodika, kurioje išdėstytos išsamios nebiologinės kilmės skystojo ir dujinio transporto kuro gamybos iš atsinaujinančiųjų išteklių taisyklės, (OL L 157, 2023 6 20, p. </w:t>
      </w:r>
      <w:r w:rsidRPr="00D24D38">
        <w:rPr>
          <w:sz w:val="24"/>
          <w:lang w:val="lt-LT"/>
        </w:rPr>
        <w:t xml:space="preserve">11, ELI: </w:t>
      </w:r>
      <w:hyperlink r:id="rId7" w:history="1">
        <w:r w:rsidRPr="00D24D38">
          <w:rPr>
            <w:rStyle w:val="Hyperlink"/>
            <w:sz w:val="24"/>
            <w:lang w:val="lt-LT"/>
          </w:rPr>
          <w:t>http://data.europa.eu/eli/reg_del/2023/1184/oj</w:t>
        </w:r>
      </w:hyperlink>
      <w:r w:rsidRPr="00D24D38">
        <w:rPr>
          <w:sz w:val="24"/>
          <w:lang w:val="lt-LT"/>
        </w:rPr>
        <w:t>).</w:t>
      </w:r>
    </w:p>
  </w:footnote>
  <w:footnote w:id="9">
    <w:p w:rsidR="00A80430" w:rsidRPr="00D24D38" w:rsidRDefault="00A80430" w:rsidP="00D24D38">
      <w:pPr>
        <w:pStyle w:val="FootnoteText"/>
        <w:ind w:left="567" w:hanging="567"/>
        <w:rPr>
          <w:sz w:val="24"/>
          <w:lang w:val="lt-LT"/>
        </w:rPr>
      </w:pPr>
      <w:r w:rsidRPr="00D24D38">
        <w:rPr>
          <w:rStyle w:val="FootnoteReference"/>
          <w:sz w:val="24"/>
          <w:lang w:val="lt-LT"/>
        </w:rPr>
        <w:footnoteRef/>
      </w:r>
      <w:r w:rsidR="00D24D38" w:rsidRPr="00D24D38">
        <w:rPr>
          <w:sz w:val="24"/>
          <w:lang w:val="lt-LT"/>
        </w:rPr>
        <w:t xml:space="preserve"> </w:t>
      </w:r>
      <w:r w:rsidR="00D24D38" w:rsidRPr="00D24D38">
        <w:rPr>
          <w:sz w:val="24"/>
          <w:lang w:val="lt-LT"/>
        </w:rPr>
        <w:tab/>
      </w:r>
      <w:r w:rsidRPr="00D24D38">
        <w:rPr>
          <w:sz w:val="24"/>
          <w:lang w:val="lt-LT"/>
        </w:rPr>
        <w:t xml:space="preserve">2024 m. birželio 13 d. </w:t>
      </w:r>
      <w:r w:rsidRPr="00D24D38">
        <w:rPr>
          <w:sz w:val="24"/>
          <w:lang w:val="lt-LT"/>
        </w:rPr>
        <w:t>Europos Parlamento ir Tarybos reglamentas (ES) 2024/1781, kuriuo nustatoma tvarių gaminių ekologinio projektavimo reikalavimų nustatymo sistema, iš dalies keičiama Direktyva (ES) 2020/1828 ir Reglamentas (ES) 2023/1542 ir panaikinama Direktyva 2009/125/EB, (OL L, 2024/1781, 2024 6 28, ELI: </w:t>
      </w:r>
      <w:hyperlink r:id="rId8" w:history="1">
        <w:r w:rsidRPr="00D24D38">
          <w:rPr>
            <w:rStyle w:val="Hyperlink"/>
            <w:sz w:val="24"/>
            <w:lang w:val="lt-LT"/>
          </w:rPr>
          <w:t>http://data.europa.eu/eli/reg/2024/1781/oj</w:t>
        </w:r>
      </w:hyperlink>
      <w:r w:rsidRPr="00D24D38">
        <w:rPr>
          <w:sz w:val="24"/>
          <w:lang w:val="lt-LT"/>
        </w:rPr>
        <w:t>).</w:t>
      </w:r>
    </w:p>
  </w:footnote>
  <w:footnote w:id="10">
    <w:p w:rsidR="00A80430" w:rsidRPr="00D24D38" w:rsidRDefault="00A80430" w:rsidP="00D24D38">
      <w:pPr>
        <w:pStyle w:val="FootnoteText"/>
        <w:ind w:left="567" w:hanging="567"/>
        <w:rPr>
          <w:sz w:val="24"/>
          <w:lang w:val="lt-LT"/>
        </w:rPr>
      </w:pPr>
      <w:r w:rsidRPr="00D24D38">
        <w:rPr>
          <w:sz w:val="24"/>
          <w:vertAlign w:val="superscript"/>
          <w:lang w:val="lt-LT"/>
        </w:rPr>
        <w:footnoteRef/>
      </w:r>
      <w:r w:rsidR="00D24D38" w:rsidRPr="00D24D38">
        <w:rPr>
          <w:sz w:val="24"/>
          <w:lang w:val="lt-LT"/>
        </w:rPr>
        <w:t xml:space="preserve"> </w:t>
      </w:r>
      <w:r w:rsidR="00D24D38" w:rsidRPr="00D24D38">
        <w:rPr>
          <w:sz w:val="24"/>
          <w:lang w:val="lt-LT"/>
        </w:rPr>
        <w:tab/>
      </w:r>
      <w:r w:rsidRPr="00D24D38">
        <w:rPr>
          <w:sz w:val="24"/>
          <w:lang w:val="lt-LT"/>
        </w:rPr>
        <w:t>2024 m. lapkričio 27 d. Europos Parlamento ir Tarybos reglamentas (ES) 2024/3110, kuriuo nustatomos suderintos statybos produktų rinkodaros taisyklės ir panaikinamas Reglamentas (ES) Nr. </w:t>
      </w:r>
      <w:r w:rsidRPr="00D24D38">
        <w:rPr>
          <w:sz w:val="24"/>
          <w:lang w:val="lt-LT"/>
        </w:rPr>
        <w:t>305/2011, (OL L, 2024/3110, 2024 12 18, ELI: </w:t>
      </w:r>
      <w:hyperlink r:id="rId9" w:history="1">
        <w:r w:rsidRPr="00D24D38">
          <w:rPr>
            <w:rStyle w:val="Hyperlink"/>
            <w:sz w:val="24"/>
            <w:lang w:val="lt-LT"/>
          </w:rPr>
          <w:t>http://data.europa.eu/eli/reg/2024/3110/oj</w:t>
        </w:r>
      </w:hyperlink>
      <w:r w:rsidRPr="00D24D38">
        <w:rPr>
          <w:sz w:val="24"/>
          <w:lang w:val="lt-LT"/>
        </w:rPr>
        <w:t>).</w:t>
      </w:r>
    </w:p>
  </w:footnote>
  <w:footnote w:id="11">
    <w:p w:rsidR="00A80430" w:rsidRPr="00D24D38" w:rsidRDefault="00A80430" w:rsidP="00D24D38">
      <w:pPr>
        <w:pStyle w:val="FootnoteText"/>
        <w:ind w:left="567" w:hanging="567"/>
        <w:rPr>
          <w:sz w:val="24"/>
          <w:lang w:val="lt-LT"/>
        </w:rPr>
      </w:pPr>
      <w:r w:rsidRPr="00D24D38">
        <w:rPr>
          <w:rStyle w:val="FootnoteReference"/>
          <w:sz w:val="24"/>
          <w:lang w:val="lt-LT"/>
        </w:rPr>
        <w:footnoteRef/>
      </w:r>
      <w:r w:rsidR="00D24D38" w:rsidRPr="00D24D38">
        <w:rPr>
          <w:sz w:val="24"/>
          <w:lang w:val="lt-LT"/>
        </w:rPr>
        <w:t xml:space="preserve"> </w:t>
      </w:r>
      <w:r w:rsidR="00D24D38" w:rsidRPr="00D24D38">
        <w:rPr>
          <w:sz w:val="24"/>
          <w:lang w:val="lt-LT"/>
        </w:rPr>
        <w:tab/>
      </w:r>
      <w:r w:rsidRPr="00D24D38">
        <w:rPr>
          <w:sz w:val="24"/>
          <w:lang w:val="lt-LT"/>
        </w:rPr>
        <w:t>2024 m. balandžio 11 d. Europos Parlamento ir Tarybos reglamentas (ES) 2024/1252, kuriuo nustatoma saugaus ir tvaraus ypatingos svarbos žaliavų tiekimo užtikrinimo sistema ir kuriuo iš dalies keičiami reglamentai (ES) Nr. </w:t>
      </w:r>
      <w:r w:rsidRPr="00D24D38">
        <w:rPr>
          <w:sz w:val="24"/>
          <w:lang w:val="lt-LT"/>
        </w:rPr>
        <w:t>168/2013, (ES) 2018/858, (ES) 2018/1724 ir (ES) 2019/1020, (OL L, 2024/1252, 2024 5 3, ELI: </w:t>
      </w:r>
      <w:hyperlink r:id="rId10" w:history="1">
        <w:r w:rsidRPr="00D24D38">
          <w:rPr>
            <w:rStyle w:val="Hyperlink"/>
            <w:sz w:val="24"/>
            <w:lang w:val="lt-LT"/>
          </w:rPr>
          <w:t>http://data.europa.eu/eli/reg/2024/1252/oj</w:t>
        </w:r>
      </w:hyperlink>
      <w:r w:rsidRPr="00D24D38">
        <w:rPr>
          <w:sz w:val="24"/>
          <w:lang w:val="lt-LT"/>
        </w:rPr>
        <w:t>).</w:t>
      </w:r>
    </w:p>
  </w:footnote>
  <w:footnote w:id="12">
    <w:p w:rsidR="00A80430" w:rsidRPr="00D24D38" w:rsidRDefault="00A80430" w:rsidP="00D24D38">
      <w:pPr>
        <w:pStyle w:val="FootnoteText"/>
        <w:ind w:left="567" w:hanging="567"/>
        <w:rPr>
          <w:sz w:val="24"/>
          <w:lang w:val="lt-LT"/>
        </w:rPr>
      </w:pPr>
      <w:r w:rsidRPr="00D24D38">
        <w:rPr>
          <w:rStyle w:val="FootnoteReference"/>
          <w:sz w:val="24"/>
          <w:lang w:val="lt-LT"/>
        </w:rPr>
        <w:footnoteRef/>
      </w:r>
      <w:r w:rsidR="00D24D38" w:rsidRPr="00D24D38">
        <w:rPr>
          <w:sz w:val="24"/>
          <w:lang w:val="lt-LT"/>
        </w:rPr>
        <w:t xml:space="preserve"> </w:t>
      </w:r>
      <w:r w:rsidR="00D24D38" w:rsidRPr="00D24D38">
        <w:rPr>
          <w:sz w:val="24"/>
          <w:lang w:val="lt-LT"/>
        </w:rPr>
        <w:tab/>
      </w:r>
      <w:r w:rsidRPr="00D24D38">
        <w:rPr>
          <w:sz w:val="24"/>
          <w:lang w:val="lt-LT"/>
        </w:rPr>
        <w:t>2024 m. balandžio 11 d. Europos Parlamento ir Tarybos reglamentas (ES) 2024/1157 dėl atliekų vežimo, kuriuo iš dalies keičiami reglamentai (ES) Nr. 1257/2013 ir (ES) 2020/1056 ir panaikinamas Reglamentas (EB) Nr. </w:t>
      </w:r>
      <w:r w:rsidRPr="00D24D38">
        <w:rPr>
          <w:sz w:val="24"/>
          <w:lang w:val="lt-LT"/>
        </w:rPr>
        <w:t>1013/2006, (OL L, 2024/1157, 2024 4 30, ELI: </w:t>
      </w:r>
      <w:hyperlink r:id="rId11" w:history="1">
        <w:r w:rsidRPr="00D24D38">
          <w:rPr>
            <w:rStyle w:val="Hyperlink"/>
            <w:sz w:val="24"/>
            <w:lang w:val="lt-LT"/>
          </w:rPr>
          <w:t>http://data.europa.eu/eli/reg/2024/1157/oj</w:t>
        </w:r>
      </w:hyperlink>
      <w:r w:rsidRPr="00D24D38">
        <w:rPr>
          <w:sz w:val="24"/>
          <w:lang w:val="lt-LT"/>
        </w:rPr>
        <w:t>).</w:t>
      </w:r>
    </w:p>
  </w:footnote>
  <w:footnote w:id="13">
    <w:p w:rsidR="00A80430" w:rsidRPr="00D24D38" w:rsidRDefault="00A80430" w:rsidP="00D24D38">
      <w:pPr>
        <w:pStyle w:val="FootnoteText"/>
        <w:ind w:left="567" w:hanging="567"/>
        <w:rPr>
          <w:sz w:val="24"/>
          <w:lang w:val="lt-LT"/>
        </w:rPr>
      </w:pPr>
      <w:r w:rsidRPr="00D24D38">
        <w:rPr>
          <w:rStyle w:val="FootnoteReference"/>
          <w:sz w:val="24"/>
          <w:lang w:val="lt-LT"/>
        </w:rPr>
        <w:footnoteRef/>
      </w:r>
      <w:r w:rsidR="00D24D38" w:rsidRPr="00D24D38">
        <w:rPr>
          <w:sz w:val="24"/>
          <w:lang w:val="lt-LT"/>
        </w:rPr>
        <w:t xml:space="preserve"> </w:t>
      </w:r>
      <w:r w:rsidR="00D24D38" w:rsidRPr="00D24D38">
        <w:rPr>
          <w:sz w:val="24"/>
          <w:lang w:val="lt-LT"/>
        </w:rPr>
        <w:tab/>
      </w:r>
      <w:r w:rsidRPr="00D24D38">
        <w:rPr>
          <w:sz w:val="24"/>
          <w:lang w:val="lt-LT"/>
        </w:rPr>
        <w:t>2022 m. gruodžio 14 d. Europos Parlamento ir Tarybos reglamentas (ES) 2022/2560 dėl vidaus rinką iškraipančių užsienio subsidijų (OL L 330, 2022 12 23, p. </w:t>
      </w:r>
      <w:r w:rsidRPr="00D24D38">
        <w:rPr>
          <w:sz w:val="24"/>
          <w:lang w:val="lt-LT"/>
        </w:rPr>
        <w:t>1, ELI: </w:t>
      </w:r>
      <w:hyperlink r:id="rId12" w:history="1">
        <w:r w:rsidRPr="00D24D38">
          <w:rPr>
            <w:rStyle w:val="Hyperlink"/>
            <w:sz w:val="24"/>
            <w:lang w:val="lt-LT"/>
          </w:rPr>
          <w:t>http://data.europa.eu/eli/reg/2022/2560/oj</w:t>
        </w:r>
      </w:hyperlink>
      <w:r w:rsidRPr="00D24D38">
        <w:rPr>
          <w:sz w:val="24"/>
          <w:lang w:val="lt-L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77/2025"/>
    <w:docVar w:name="dvlangue" w:val="LT"/>
    <w:docVar w:name="dvnumam" w:val="0"/>
    <w:docVar w:name="dvpe" w:val="773.358"/>
    <w:docVar w:name="dvtitre" w:val="Europos Parlamento rezoliucija dėl švarios pramonės kurso(2025/2656(RSP))"/>
  </w:docVars>
  <w:rsids>
    <w:rsidRoot w:val="005F49C9"/>
    <w:rsid w:val="00002272"/>
    <w:rsid w:val="00056B1C"/>
    <w:rsid w:val="00064002"/>
    <w:rsid w:val="000677B9"/>
    <w:rsid w:val="000831BA"/>
    <w:rsid w:val="000A42CC"/>
    <w:rsid w:val="000B2654"/>
    <w:rsid w:val="000E3154"/>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42E24"/>
    <w:rsid w:val="00471C19"/>
    <w:rsid w:val="004867E3"/>
    <w:rsid w:val="00494A28"/>
    <w:rsid w:val="004C0004"/>
    <w:rsid w:val="004C5D52"/>
    <w:rsid w:val="004E7285"/>
    <w:rsid w:val="0050519A"/>
    <w:rsid w:val="005072A1"/>
    <w:rsid w:val="00514517"/>
    <w:rsid w:val="00545827"/>
    <w:rsid w:val="00560270"/>
    <w:rsid w:val="005C2568"/>
    <w:rsid w:val="005F1B17"/>
    <w:rsid w:val="005F49C9"/>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448FD"/>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80430"/>
    <w:rsid w:val="00AB441E"/>
    <w:rsid w:val="00AB6293"/>
    <w:rsid w:val="00AE0928"/>
    <w:rsid w:val="00AF3B82"/>
    <w:rsid w:val="00B12E95"/>
    <w:rsid w:val="00B22876"/>
    <w:rsid w:val="00B558F0"/>
    <w:rsid w:val="00B95576"/>
    <w:rsid w:val="00BD48FE"/>
    <w:rsid w:val="00BD7BD8"/>
    <w:rsid w:val="00BE6ADC"/>
    <w:rsid w:val="00C05BFE"/>
    <w:rsid w:val="00C23CD4"/>
    <w:rsid w:val="00C61C0C"/>
    <w:rsid w:val="00C941CB"/>
    <w:rsid w:val="00CA4B83"/>
    <w:rsid w:val="00CC2357"/>
    <w:rsid w:val="00CF071A"/>
    <w:rsid w:val="00D058B8"/>
    <w:rsid w:val="00D24D38"/>
    <w:rsid w:val="00D56C11"/>
    <w:rsid w:val="00D834A0"/>
    <w:rsid w:val="00D872DF"/>
    <w:rsid w:val="00D91E21"/>
    <w:rsid w:val="00DA7FCD"/>
    <w:rsid w:val="00E365E1"/>
    <w:rsid w:val="00E537CE"/>
    <w:rsid w:val="00E820A4"/>
    <w:rsid w:val="00EB006A"/>
    <w:rsid w:val="00EB4772"/>
    <w:rsid w:val="00ED169E"/>
    <w:rsid w:val="00ED4235"/>
    <w:rsid w:val="00F04346"/>
    <w:rsid w:val="00F075DC"/>
    <w:rsid w:val="00F149E9"/>
    <w:rsid w:val="00F5134D"/>
    <w:rsid w:val="00F74202"/>
    <w:rsid w:val="00F87713"/>
    <w:rsid w:val="00FB4360"/>
    <w:rsid w:val="00FB550C"/>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3AEC8AB-BABB-49E5-8A4A-1C9A24941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A80430"/>
    <w:pPr>
      <w:spacing w:after="240"/>
      <w:ind w:left="567" w:hanging="567"/>
    </w:pPr>
  </w:style>
  <w:style w:type="character" w:styleId="Hyperlink">
    <w:name w:val="Hyperlink"/>
    <w:basedOn w:val="DefaultParagraphFont"/>
    <w:uiPriority w:val="99"/>
    <w:unhideWhenUsed/>
    <w:rsid w:val="00A80430"/>
    <w:rPr>
      <w:color w:val="0000FF"/>
      <w:u w:val="single"/>
    </w:rPr>
  </w:style>
  <w:style w:type="paragraph" w:styleId="BalloonText">
    <w:name w:val="Balloon Text"/>
    <w:basedOn w:val="Normal"/>
    <w:link w:val="BalloonTextChar"/>
    <w:rsid w:val="004E7285"/>
    <w:rPr>
      <w:rFonts w:ascii="Segoe UI" w:hAnsi="Segoe UI" w:cs="Segoe UI"/>
      <w:sz w:val="18"/>
      <w:szCs w:val="18"/>
    </w:rPr>
  </w:style>
  <w:style w:type="character" w:customStyle="1" w:styleId="BalloonTextChar">
    <w:name w:val="Balloon Text Char"/>
    <w:basedOn w:val="DefaultParagraphFont"/>
    <w:link w:val="BalloonText"/>
    <w:rsid w:val="004E7285"/>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3599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1781/oj" TargetMode="External"/><Relationship Id="rId3" Type="http://schemas.openxmlformats.org/officeDocument/2006/relationships/hyperlink" Target="http://data.europa.eu/eli/dir/2003/96/oj" TargetMode="External"/><Relationship Id="rId7" Type="http://schemas.openxmlformats.org/officeDocument/2006/relationships/hyperlink" Target="http://data.europa.eu/eli/reg_del/2023/1184/oj" TargetMode="External"/><Relationship Id="rId12" Type="http://schemas.openxmlformats.org/officeDocument/2006/relationships/hyperlink" Target="http://data.europa.eu/eli/reg/2022/2560/oj" TargetMode="External"/><Relationship Id="rId2" Type="http://schemas.openxmlformats.org/officeDocument/2006/relationships/hyperlink" Target="http://data.europa.eu/eli/reg/2018/1999/oj" TargetMode="External"/><Relationship Id="rId1" Type="http://schemas.openxmlformats.org/officeDocument/2006/relationships/hyperlink" Target="https://eur-lex.europa.eu/legal-content/LT/TXT/?uri=CELEX:52022IP0329" TargetMode="External"/><Relationship Id="rId6" Type="http://schemas.openxmlformats.org/officeDocument/2006/relationships/hyperlink" Target="http://data.europa.eu/eli/dir/2024/1788/oj" TargetMode="External"/><Relationship Id="rId11" Type="http://schemas.openxmlformats.org/officeDocument/2006/relationships/hyperlink" Target="http://data.europa.eu/eli/reg/2024/1157/oj" TargetMode="External"/><Relationship Id="rId5" Type="http://schemas.openxmlformats.org/officeDocument/2006/relationships/hyperlink" Target="http://data.europa.eu/eli/reg/2024/1735/oj" TargetMode="External"/><Relationship Id="rId10" Type="http://schemas.openxmlformats.org/officeDocument/2006/relationships/hyperlink" Target="http://data.europa.eu/eli/reg/2024/1252/oj" TargetMode="External"/><Relationship Id="rId4" Type="http://schemas.openxmlformats.org/officeDocument/2006/relationships/hyperlink" Target="http://data.europa.eu/eli/dir/2023/2413/oj" TargetMode="External"/><Relationship Id="rId9" Type="http://schemas.openxmlformats.org/officeDocument/2006/relationships/hyperlink" Target="http://data.europa.eu/eli/reg/2024/311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43DD9B-DABE-47D8-9C7A-D75C1340CE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2383</Words>
  <Characters>17481</Characters>
  <Application>Microsoft Office Word</Application>
  <DocSecurity>0</DocSecurity>
  <Lines>145</Lines>
  <Paragraphs>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2025-07-11T09:06:00Z</dcterms:created>
  <dcterms:modified xsi:type="dcterms:W3CDTF">2025-07-11T09:06:00Z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P10_TA(2025)0137_</vt:lpwstr>
  </property>
  <property fmtid="{D5CDD505-2E9C-101B-9397-08002B2CF9AE}" pid="4" name="&lt;Type&gt;">
    <vt:lpwstr>RR</vt:lpwstr>
  </property>
</Properties>
</file>