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65353" w14:paraId="2AD4322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5B2A537" w14:textId="77777777" w:rsidR="00751A4A" w:rsidRPr="00665353" w:rsidRDefault="0094461E" w:rsidP="0010095E">
            <w:pPr>
              <w:pStyle w:val="EPName"/>
            </w:pPr>
            <w:r w:rsidRPr="00665353">
              <w:t>Parlament Europejski</w:t>
            </w:r>
          </w:p>
          <w:p w14:paraId="11792D8A" w14:textId="77777777" w:rsidR="00751A4A" w:rsidRPr="0066535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65353">
              <w:t>2024</w:t>
            </w:r>
            <w:r w:rsidR="00817416" w:rsidRPr="00665353">
              <w:t>-202</w:t>
            </w:r>
            <w:r w:rsidRPr="00665353">
              <w:t>9</w:t>
            </w:r>
          </w:p>
        </w:tc>
        <w:tc>
          <w:tcPr>
            <w:tcW w:w="2268" w:type="dxa"/>
            <w:shd w:val="clear" w:color="auto" w:fill="auto"/>
          </w:tcPr>
          <w:p w14:paraId="70D4B297" w14:textId="77777777" w:rsidR="00751A4A" w:rsidRPr="00665353" w:rsidRDefault="00187494" w:rsidP="0010095E">
            <w:pPr>
              <w:pStyle w:val="EPLogo"/>
            </w:pPr>
            <w:r w:rsidRPr="00665353">
              <w:rPr>
                <w:noProof/>
                <w:lang w:val="en-GB"/>
              </w:rPr>
              <w:drawing>
                <wp:inline distT="0" distB="0" distL="0" distR="0" wp14:anchorId="05F2058A" wp14:editId="30CB234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995FB22" w14:textId="77777777" w:rsidR="00D058B8" w:rsidRPr="00665353" w:rsidRDefault="00D058B8" w:rsidP="004C5D52">
      <w:pPr>
        <w:pStyle w:val="LineTop"/>
      </w:pPr>
    </w:p>
    <w:p w14:paraId="79D01AD2" w14:textId="77777777" w:rsidR="00680577" w:rsidRPr="00665353" w:rsidRDefault="0094461E" w:rsidP="00680577">
      <w:pPr>
        <w:pStyle w:val="EPBodyTA1"/>
      </w:pPr>
      <w:r w:rsidRPr="00665353">
        <w:t>TEKSTY PRZYJĘTE</w:t>
      </w:r>
    </w:p>
    <w:p w14:paraId="3FA1D177" w14:textId="77777777" w:rsidR="00D058B8" w:rsidRPr="00665353" w:rsidRDefault="00D058B8" w:rsidP="00D058B8">
      <w:pPr>
        <w:pStyle w:val="LineBottom"/>
      </w:pPr>
    </w:p>
    <w:p w14:paraId="3DEDA0B7" w14:textId="77777777" w:rsidR="0094461E" w:rsidRPr="00665353" w:rsidRDefault="0094461E" w:rsidP="0094461E">
      <w:pPr>
        <w:pStyle w:val="ATHeading1"/>
      </w:pPr>
      <w:bookmarkStart w:id="0" w:name="TANumber"/>
      <w:r w:rsidRPr="00665353">
        <w:t>P10_TA(2025)0</w:t>
      </w:r>
      <w:bookmarkEnd w:id="0"/>
      <w:r w:rsidR="009D390E">
        <w:t>137</w:t>
      </w:r>
    </w:p>
    <w:p w14:paraId="603B6831" w14:textId="77777777" w:rsidR="0094461E" w:rsidRPr="00F058F3" w:rsidRDefault="00F058F3" w:rsidP="0094461E">
      <w:pPr>
        <w:pStyle w:val="ATHeading2"/>
      </w:pPr>
      <w:r w:rsidRPr="0069584A">
        <w:rPr>
          <w:bCs/>
        </w:rPr>
        <w:t>Pakt dla czystego przemysłu</w:t>
      </w:r>
    </w:p>
    <w:p w14:paraId="6219063A" w14:textId="77777777" w:rsidR="0094461E" w:rsidRPr="00665353" w:rsidRDefault="0094461E" w:rsidP="0094461E">
      <w:pPr>
        <w:rPr>
          <w:i/>
          <w:vanish/>
        </w:rPr>
      </w:pPr>
      <w:r w:rsidRPr="00665353">
        <w:rPr>
          <w:i/>
        </w:rPr>
        <w:fldChar w:fldCharType="begin"/>
      </w:r>
      <w:r w:rsidRPr="00665353">
        <w:rPr>
          <w:i/>
        </w:rPr>
        <w:instrText xml:space="preserve"> TC"(</w:instrText>
      </w:r>
      <w:bookmarkStart w:id="1" w:name="DocNumber"/>
      <w:r w:rsidRPr="00665353">
        <w:rPr>
          <w:i/>
        </w:rPr>
        <w:instrText>B10-0277/2025</w:instrText>
      </w:r>
      <w:bookmarkEnd w:id="1"/>
      <w:r w:rsidRPr="00665353">
        <w:rPr>
          <w:i/>
        </w:rPr>
        <w:instrText xml:space="preserve">)"\l3 \n&gt; \* MERGEFORMAT </w:instrText>
      </w:r>
      <w:r w:rsidRPr="00665353">
        <w:rPr>
          <w:i/>
        </w:rPr>
        <w:fldChar w:fldCharType="end"/>
      </w:r>
    </w:p>
    <w:p w14:paraId="7510C485" w14:textId="77777777" w:rsidR="0094461E" w:rsidRPr="00665353" w:rsidRDefault="0094461E" w:rsidP="0094461E">
      <w:pPr>
        <w:rPr>
          <w:vanish/>
        </w:rPr>
      </w:pPr>
      <w:bookmarkStart w:id="2" w:name="PE"/>
      <w:r w:rsidRPr="00665353">
        <w:rPr>
          <w:vanish/>
        </w:rPr>
        <w:t>PE773.358</w:t>
      </w:r>
      <w:bookmarkEnd w:id="2"/>
    </w:p>
    <w:p w14:paraId="1F502046" w14:textId="77777777" w:rsidR="0094461E" w:rsidRPr="00665353" w:rsidRDefault="0094461E" w:rsidP="0094461E">
      <w:pPr>
        <w:pStyle w:val="ATHeading3"/>
      </w:pPr>
      <w:bookmarkStart w:id="3" w:name="Sujet"/>
      <w:r w:rsidRPr="00665353">
        <w:t xml:space="preserve">Rezolucja Parlamentu Europejskiego z dnia </w:t>
      </w:r>
      <w:r w:rsidR="00F058F3">
        <w:t>19 czerwca</w:t>
      </w:r>
      <w:r w:rsidRPr="00665353">
        <w:t xml:space="preserve"> 2025 r. w sprawie Paktu dla czystego przemysłu</w:t>
      </w:r>
      <w:bookmarkEnd w:id="3"/>
      <w:r w:rsidRPr="00665353">
        <w:t xml:space="preserve"> </w:t>
      </w:r>
      <w:bookmarkStart w:id="4" w:name="References"/>
      <w:r w:rsidRPr="00665353">
        <w:t>(2025/2656(RSP))</w:t>
      </w:r>
      <w:bookmarkEnd w:id="4"/>
    </w:p>
    <w:p w14:paraId="5FF2DDF1" w14:textId="77777777" w:rsidR="0094461E" w:rsidRPr="00665353" w:rsidRDefault="0094461E" w:rsidP="0094461E"/>
    <w:p w14:paraId="03394F74" w14:textId="77777777" w:rsidR="00716E49" w:rsidRPr="00665353" w:rsidRDefault="00716E49" w:rsidP="00716E49">
      <w:pPr>
        <w:widowControl/>
        <w:suppressAutoHyphens/>
        <w:autoSpaceDN w:val="0"/>
        <w:spacing w:after="240"/>
        <w:jc w:val="both"/>
        <w:textAlignment w:val="baseline"/>
        <w:rPr>
          <w:szCs w:val="24"/>
        </w:rPr>
      </w:pPr>
      <w:bookmarkStart w:id="5" w:name="TextBodyBegin"/>
      <w:bookmarkEnd w:id="5"/>
      <w:r w:rsidRPr="00665353">
        <w:t>Parlament Europejski, </w:t>
      </w:r>
    </w:p>
    <w:p w14:paraId="48A9D401" w14:textId="77777777" w:rsidR="00716E49" w:rsidRPr="00665353" w:rsidRDefault="00716E49" w:rsidP="00716E49">
      <w:pPr>
        <w:pStyle w:val="NormalHanging12a"/>
      </w:pPr>
      <w:r w:rsidRPr="00665353">
        <w:t>–</w:t>
      </w:r>
      <w:r w:rsidRPr="00665353">
        <w:tab/>
        <w:t>uwzględniając komunikat Komisji z 26 lutego 2025 r. pt. „Pakt dla czystego przemysłu: wspólny plan działania na rzecz konkurencyjności i dekarbonizacji” (COM(2025)0085),</w:t>
      </w:r>
    </w:p>
    <w:p w14:paraId="3637136A" w14:textId="77777777" w:rsidR="00716E49" w:rsidRPr="00665353" w:rsidRDefault="00716E49" w:rsidP="00716E49">
      <w:pPr>
        <w:pStyle w:val="NormalHanging12a"/>
      </w:pPr>
      <w:r w:rsidRPr="00665353">
        <w:t>–</w:t>
      </w:r>
      <w:r w:rsidRPr="00665353">
        <w:tab/>
        <w:t>uwzględniając komunikat Komisji z 26 lutego 2025 r. pt. „Plan działania na rzecz przystępnej cenowo energii – Odblokowanie prawdziwego potencjału unii energetycznej w celu zapewnienia przystępnej cenowo, efektywnej i czystej energii dla wszystkich Europejczyków” (COM(2025)0079),</w:t>
      </w:r>
    </w:p>
    <w:p w14:paraId="79F0AD4F" w14:textId="77777777" w:rsidR="00716E49" w:rsidRPr="00665353" w:rsidRDefault="00716E49" w:rsidP="00716E49">
      <w:pPr>
        <w:pStyle w:val="NormalHanging12a"/>
        <w:rPr>
          <w:szCs w:val="24"/>
        </w:rPr>
      </w:pPr>
      <w:r w:rsidRPr="00665353">
        <w:t>–</w:t>
      </w:r>
      <w:r w:rsidRPr="00665353">
        <w:tab/>
        <w:t xml:space="preserve">uwzględniając sprawozdanie Maria </w:t>
      </w:r>
      <w:proofErr w:type="spellStart"/>
      <w:r w:rsidRPr="00665353">
        <w:t>Draghiego</w:t>
      </w:r>
      <w:proofErr w:type="spellEnd"/>
      <w:r w:rsidRPr="00665353">
        <w:t xml:space="preserve"> z 9 września 2024 r. na temat przyszłości europejskiej konkurencyjności,</w:t>
      </w:r>
    </w:p>
    <w:p w14:paraId="2135ADCE" w14:textId="77777777" w:rsidR="00716E49" w:rsidRPr="00665353" w:rsidRDefault="00716E49" w:rsidP="00716E49">
      <w:pPr>
        <w:pStyle w:val="NormalHanging12a"/>
        <w:rPr>
          <w:szCs w:val="24"/>
        </w:rPr>
      </w:pPr>
      <w:r w:rsidRPr="00665353">
        <w:t>–</w:t>
      </w:r>
      <w:r w:rsidRPr="00665353">
        <w:tab/>
        <w:t xml:space="preserve">uwzględniając sprawozdanie Enrica </w:t>
      </w:r>
      <w:proofErr w:type="spellStart"/>
      <w:r w:rsidRPr="00665353">
        <w:t>Letty</w:t>
      </w:r>
      <w:proofErr w:type="spellEnd"/>
      <w:r w:rsidRPr="00665353">
        <w:t xml:space="preserve"> z kwietnia 2024 r. pt. „Much </w:t>
      </w:r>
      <w:proofErr w:type="spellStart"/>
      <w:r w:rsidRPr="00665353">
        <w:t>more</w:t>
      </w:r>
      <w:proofErr w:type="spellEnd"/>
      <w:r w:rsidRPr="00665353">
        <w:t xml:space="preserve"> </w:t>
      </w:r>
      <w:proofErr w:type="spellStart"/>
      <w:r w:rsidRPr="00665353">
        <w:t>than</w:t>
      </w:r>
      <w:proofErr w:type="spellEnd"/>
      <w:r w:rsidRPr="00665353">
        <w:t xml:space="preserve"> a market” [Znacznie więcej niż rynek],</w:t>
      </w:r>
    </w:p>
    <w:p w14:paraId="2359864A" w14:textId="77777777" w:rsidR="00716E49" w:rsidRPr="00665353" w:rsidRDefault="00716E49" w:rsidP="00716E49">
      <w:pPr>
        <w:pStyle w:val="NormalHanging12a"/>
        <w:rPr>
          <w:szCs w:val="24"/>
        </w:rPr>
      </w:pPr>
      <w:r w:rsidRPr="00665353">
        <w:t>–</w:t>
      </w:r>
      <w:r w:rsidRPr="00665353">
        <w:tab/>
        <w:t>uwzględniając komunikat Komisji z 29 stycznia 2025 r. pt. „Kompas konkurencyjności dla UE” (COM(2025)0030),</w:t>
      </w:r>
    </w:p>
    <w:p w14:paraId="3C817F2D" w14:textId="77777777" w:rsidR="00716E49" w:rsidRPr="00665353" w:rsidRDefault="00716E49" w:rsidP="00716E49">
      <w:pPr>
        <w:pStyle w:val="NormalHanging12a"/>
        <w:rPr>
          <w:szCs w:val="24"/>
        </w:rPr>
      </w:pPr>
      <w:r w:rsidRPr="00665353">
        <w:t>–</w:t>
      </w:r>
      <w:r w:rsidRPr="00665353">
        <w:tab/>
        <w:t>uwzględniając komunikat Komisji z 19 marca 2025 r. pt. „Europejski plan działania w zakresie stali i metali” (COM(2025)0125),</w:t>
      </w:r>
    </w:p>
    <w:p w14:paraId="4EF8C753" w14:textId="77777777" w:rsidR="00716E49" w:rsidRPr="00665353" w:rsidRDefault="00716E49" w:rsidP="00716E49">
      <w:pPr>
        <w:pStyle w:val="NormalHanging12a"/>
        <w:rPr>
          <w:szCs w:val="24"/>
        </w:rPr>
      </w:pPr>
      <w:r w:rsidRPr="00665353">
        <w:t>–</w:t>
      </w:r>
      <w:r w:rsidRPr="00665353">
        <w:tab/>
        <w:t>uwzględniając swoją rezolucję z dnia 15 września 2022 r. w sprawie wdrożenia zaktualizowanej nowej strategii przemysłowej dla Europy: dostosowanie wydatków do polityki</w:t>
      </w:r>
      <w:r w:rsidRPr="00665353">
        <w:rPr>
          <w:rStyle w:val="FootnoteReference"/>
          <w:szCs w:val="24"/>
        </w:rPr>
        <w:footnoteReference w:id="1"/>
      </w:r>
      <w:r w:rsidRPr="00665353">
        <w:t>,</w:t>
      </w:r>
    </w:p>
    <w:p w14:paraId="39039D29" w14:textId="77777777" w:rsidR="00716E49" w:rsidRPr="00665353" w:rsidRDefault="00716E49" w:rsidP="00716E49">
      <w:pPr>
        <w:pStyle w:val="NormalHanging12a"/>
        <w:rPr>
          <w:szCs w:val="24"/>
        </w:rPr>
      </w:pPr>
      <w:r w:rsidRPr="00665353">
        <w:t>–</w:t>
      </w:r>
      <w:r w:rsidRPr="00665353">
        <w:tab/>
        <w:t>uwzględniając swoją rezolucję z dnia 3 kwietnia 2025 r. w sprawie sektorów energochłonnych</w:t>
      </w:r>
      <w:r w:rsidRPr="00665353">
        <w:rPr>
          <w:rStyle w:val="FootnoteReference"/>
          <w:szCs w:val="24"/>
        </w:rPr>
        <w:footnoteReference w:id="2"/>
      </w:r>
      <w:r w:rsidRPr="00665353">
        <w:t xml:space="preserve"> i związane z nią pytanie ustne O-00010/2025,</w:t>
      </w:r>
    </w:p>
    <w:p w14:paraId="5AB0F7D9" w14:textId="77777777" w:rsidR="00716E49" w:rsidRPr="00665353" w:rsidRDefault="00716E49" w:rsidP="00716E49">
      <w:pPr>
        <w:pStyle w:val="NormalHanging12a"/>
        <w:rPr>
          <w:bCs/>
          <w:iCs/>
          <w:szCs w:val="24"/>
        </w:rPr>
      </w:pPr>
      <w:r w:rsidRPr="00665353">
        <w:t>–</w:t>
      </w:r>
      <w:r w:rsidRPr="00665353">
        <w:tab/>
        <w:t xml:space="preserve">uwzględniając komunikat Komisji z 11 grudnia 2019 r. zatytułowany „Europejski </w:t>
      </w:r>
      <w:r w:rsidRPr="00665353">
        <w:lastRenderedPageBreak/>
        <w:t>Zielony Ład” (COM(2019)0640),</w:t>
      </w:r>
    </w:p>
    <w:p w14:paraId="52212463" w14:textId="77777777" w:rsidR="00716E49" w:rsidRPr="00665353" w:rsidRDefault="00716E49" w:rsidP="00716E49">
      <w:pPr>
        <w:pStyle w:val="NormalHanging12a"/>
      </w:pPr>
      <w:r w:rsidRPr="00665353">
        <w:t>–</w:t>
      </w:r>
      <w:r w:rsidRPr="00665353">
        <w:tab/>
        <w:t>uwzględniając sprawozdanie Komisji Przemysłu, Badań Naukowych i Energii z 13 maja 2025 r. w sprawie sieci elektroenergetycznych: podstawy unijnego systemu energetycznego,</w:t>
      </w:r>
    </w:p>
    <w:p w14:paraId="5C7DBAA9" w14:textId="77777777" w:rsidR="00716E49" w:rsidRPr="00665353" w:rsidRDefault="00716E49" w:rsidP="00716E49">
      <w:pPr>
        <w:pStyle w:val="NormalHanging12a"/>
        <w:rPr>
          <w:szCs w:val="24"/>
        </w:rPr>
      </w:pPr>
      <w:r w:rsidRPr="00665353">
        <w:t>–</w:t>
      </w:r>
      <w:r w:rsidRPr="00665353">
        <w:tab/>
        <w:t>uwzględniając pytanie do Komisji (O-000020/2025),</w:t>
      </w:r>
    </w:p>
    <w:p w14:paraId="5E6ED749" w14:textId="77777777" w:rsidR="00716E49" w:rsidRPr="00665353" w:rsidRDefault="00716E49" w:rsidP="00716E49">
      <w:pPr>
        <w:pStyle w:val="NormalHanging12a"/>
        <w:rPr>
          <w:szCs w:val="24"/>
        </w:rPr>
      </w:pPr>
      <w:r w:rsidRPr="00665353">
        <w:t>–</w:t>
      </w:r>
      <w:r w:rsidRPr="00665353">
        <w:tab/>
        <w:t>uwzględniając art. 142 ust. 5 i art. 136 ust. 2 Regulaminu,</w:t>
      </w:r>
    </w:p>
    <w:p w14:paraId="5D45E8F4" w14:textId="77777777" w:rsidR="00716E49" w:rsidRPr="00665353" w:rsidRDefault="00716E49" w:rsidP="00716E49">
      <w:pPr>
        <w:pStyle w:val="NormalHanging12a"/>
      </w:pPr>
      <w:r w:rsidRPr="00665353">
        <w:t>–</w:t>
      </w:r>
      <w:r w:rsidRPr="00665353">
        <w:tab/>
        <w:t>uwzględniając projekt rezolucji Komisji Przemysłu, Badań Naukowych i Energii,</w:t>
      </w:r>
    </w:p>
    <w:p w14:paraId="5E06C5E2" w14:textId="77777777" w:rsidR="00716E49" w:rsidRPr="00665353" w:rsidRDefault="00716E49" w:rsidP="00716E49">
      <w:pPr>
        <w:pStyle w:val="NormalHanging12a"/>
        <w:rPr>
          <w:szCs w:val="24"/>
        </w:rPr>
      </w:pPr>
      <w:r w:rsidRPr="00665353">
        <w:t>A.</w:t>
      </w:r>
      <w:r w:rsidRPr="00665353">
        <w:tab/>
        <w:t>mając na uwadze, że Pakt dla czystego przemysłu ma na celu połączenie działań na rzecz klimatu i konkurencyjności w ramach jednej nadrzędnej strategii wzrostu, koncentrującej się na wspieraniu sektorów energochłonnych i sektora czystych technologii; mając na uwadze, że jest to bardzo potrzebne, ponieważ przejście na zdekarbonizowaną gospodarkę o obiegu zamkniętym powiedzie się tylko pod warunkiem utrzymania konkurencyjności;</w:t>
      </w:r>
    </w:p>
    <w:p w14:paraId="44E268DC" w14:textId="77777777" w:rsidR="00716E49" w:rsidRPr="00665353" w:rsidRDefault="00716E49" w:rsidP="00716E49">
      <w:pPr>
        <w:pStyle w:val="NormalHanging12a"/>
        <w:rPr>
          <w:szCs w:val="24"/>
        </w:rPr>
      </w:pPr>
      <w:r w:rsidRPr="00665353">
        <w:t>B.</w:t>
      </w:r>
      <w:r w:rsidRPr="00665353">
        <w:tab/>
        <w:t>mając na uwadze, że plan działania na rzecz przystępnej cenowo energii ma na celu zapewnienie przystępnej cenowo czystej energii i krótkoterminowej pomocy przez obniżenie rachunków za energię, przy jednoczesnym przyspieszeniu wdrażania reform strukturalnych i wzmocnieniu europejskich systemów energetycznych, aby złagodzić przyszłe wstrząsy cenowe;</w:t>
      </w:r>
    </w:p>
    <w:p w14:paraId="3CDDA021" w14:textId="77777777" w:rsidR="00716E49" w:rsidRPr="00665353" w:rsidRDefault="00716E49" w:rsidP="00716E49">
      <w:pPr>
        <w:pStyle w:val="NormalHanging12a"/>
        <w:rPr>
          <w:szCs w:val="24"/>
        </w:rPr>
      </w:pPr>
      <w:r w:rsidRPr="00665353">
        <w:t>C.</w:t>
      </w:r>
      <w:r w:rsidRPr="00665353">
        <w:tab/>
        <w:t>mając na uwadze, że przemysł europejski stoi obecnie przed ogromnymi wyzwaniami związanymi z wysokimi cenami energii pochodzącej z paliw kopalnych, nieuczciwą konkurencją międzynarodową, utratą miejsc pracy i niedoborem wykwalifikowanych pracowników, co prowadzi do zmniejszenia produkcji, delokalizacji i zamykania zakładów, a tym samym zwiększa zależność Europy od dostawców zewnętrznych i podważa autonomię strategiczną, podczas gdy innowacje, produkcja i powiązane z nimi emisje są przenoszone, a nie eliminowane u źródła;</w:t>
      </w:r>
    </w:p>
    <w:p w14:paraId="1D54F485" w14:textId="77777777" w:rsidR="00716E49" w:rsidRPr="00665353" w:rsidRDefault="00716E49" w:rsidP="00716E49">
      <w:pPr>
        <w:pStyle w:val="NormalHanging12a"/>
        <w:rPr>
          <w:szCs w:val="24"/>
        </w:rPr>
      </w:pPr>
      <w:r w:rsidRPr="00665353">
        <w:t>D.</w:t>
      </w:r>
      <w:r w:rsidRPr="00665353">
        <w:tab/>
        <w:t>mając na uwadze, że europejski przemysł gotów jest dążyć do zrównoważonego rozwoju, przyczyniając się do osiągnięcia neutralności klimatycznej do 2050 r., a przygotowana na przyszłe wyzwania, zdekarbonizowana baza przemysłowa może zaoferować znaczące możliwości, choć realizacja projektów związanych z dekarbonizacją może zostać odłożona, ponieważ w Europie nie mają one już wystarczającego uzasadnienia biznesowego;</w:t>
      </w:r>
    </w:p>
    <w:p w14:paraId="5F3566AF" w14:textId="77777777" w:rsidR="00716E49" w:rsidRPr="00665353" w:rsidRDefault="00716E49" w:rsidP="00716E49">
      <w:pPr>
        <w:pStyle w:val="NormalHanging12a"/>
        <w:rPr>
          <w:rFonts w:eastAsia="Calibri"/>
          <w:szCs w:val="24"/>
        </w:rPr>
      </w:pPr>
      <w:r w:rsidRPr="00665353">
        <w:t>1.</w:t>
      </w:r>
      <w:r w:rsidRPr="00665353">
        <w:tab/>
        <w:t>z zadowoleniem przyjmuje Pakt dla czystego przemysłu jako długo oczekiwany pierwszy krok w kierunku poprawy konkurencyjności przemysłowej i innowacyjności Europy, jej strategicznej autonomii, dekarbonizacji, dobrobytu i czystego wzrostu; wzywa Komisję do szybkiego przejścia od strategii do działania i wdrożenia; dostrzega, że proponowane działania należy rozszerzyć o dalsze środki; podkreśla, że solidna i dobrze ukierunkowana polityka przemysłowa jest kluczowa dla zapewnienia silnej i zrównoważonej bazy przemysłowej w Europie oraz tworzenia i utrzymywania wysokiej jakości miejsc pracy, przy jednoczesnej dekarbonizacji europejskiej gospodarki, zmniejszeniu zanieczyszczenia i wzmocnieniu odporności Europy;</w:t>
      </w:r>
    </w:p>
    <w:p w14:paraId="1EB135A5" w14:textId="77777777" w:rsidR="00716E49" w:rsidRPr="00665353" w:rsidRDefault="00716E49" w:rsidP="00716E49">
      <w:pPr>
        <w:pStyle w:val="NormalHanging12a"/>
        <w:rPr>
          <w:rFonts w:eastAsia="Calibri"/>
          <w:szCs w:val="24"/>
        </w:rPr>
      </w:pPr>
      <w:r w:rsidRPr="00665353">
        <w:t>2.</w:t>
      </w:r>
      <w:r w:rsidRPr="00665353">
        <w:tab/>
        <w:t xml:space="preserve">z zadowoleniem przyjmuje ustanowienie Banku Dekarbonizacji Przemysłu w celu uruchomienia finansowania w wysokości 100 mld EUR, a także ogłoszony program </w:t>
      </w:r>
      <w:r w:rsidRPr="00665353">
        <w:lastRenderedPageBreak/>
        <w:t>pilotażowy z aukcją o wartości 1 mld EUR w dziedzinie dekarbonizacji kluczowych procesów przemysłowych w różnych sektorach wspierających dekarbonizację i elektryfikację przemysłu; podkreśla znaczenie zwiększenia inwestycji i dostępu do kapitału na potrzeby produkcji czystych technologii, w tym przez dodatkowe finansowanie za pośrednictwem Funduszu Innowacyjnego; apeluje o szerszy udział państw członkowskich w systemach „aukcja jako usługa”; apeluje o przyjęcie kryteriów inwestycyjnych opartych na wpływie na emisyjność, skalowalności i bezpieczeństwie dostaw; popiera kontrakty na transakcje różnicowe dotyczące dwutlenku węgla jako wypełnianie luki między opłatą emisyjną a kosztami projektów przemysłowego zarządzania emisjami dwutlenku węgla w sektorach, w których trudno jest zredukować emisje; rozważa utworzenie linii budżetowej na wdrażanie technologii dekarbonizacji przemysłu w ramach zarządzania Funduszem Konkurencyjności;</w:t>
      </w:r>
    </w:p>
    <w:p w14:paraId="0F63CE44" w14:textId="77777777" w:rsidR="00716E49" w:rsidRPr="00665353" w:rsidRDefault="00716E49" w:rsidP="00716E49">
      <w:pPr>
        <w:pStyle w:val="NormalHanging12a"/>
        <w:rPr>
          <w:rFonts w:eastAsia="Calibri"/>
          <w:szCs w:val="24"/>
        </w:rPr>
      </w:pPr>
      <w:r w:rsidRPr="00665353">
        <w:t>3.</w:t>
      </w:r>
      <w:r w:rsidRPr="00665353">
        <w:tab/>
        <w:t>popiera Plan działania na rzecz przystępnej cenowo energii i położony w nim nacisk na wdrożenie struktury rynku energii elektrycznej, ulepszenie narzędzi takich jak umowy zakupu energii elektrycznej (PPA) i dwukierunkowe kontrakty różnicowe w celu zmniejszenia wpływu cen paliw kopalnych na ceny energii elektrycznej; z zadowoleniem przyjmuje program pilotażowy dotyczący korporacyjnych PPA za pośrednictwem Europejskiego Banku Inwestycyjnego i podkreśla, że należy wykorzystać PPA do zwiększenia mocy wytwórczych i osiągnięcia rzeczywistej dekarbonizacji; wzywa Komisję do wprowadzenia narzędzi ograniczających ryzyko z myślą o usunięciu głównych przeszkód, z jakimi borykają się energochłonne sektory przemysłu przy zawieraniu PPA, w szczególności PPA dotyczących energii odnawialnej, a także dwukierunkowych kontraktów różnicowych w celu zmniejszenia ryzyka po stronie popytu dla użytkowników energii, oraz do przeanalizowania, w jaki sposób można stymulować rozwój hybrydowych PPA z dopasowanymi produktami elastycznymi;</w:t>
      </w:r>
    </w:p>
    <w:p w14:paraId="02ECB995" w14:textId="77777777" w:rsidR="00716E49" w:rsidRPr="00665353" w:rsidRDefault="00716E49" w:rsidP="00716E49">
      <w:pPr>
        <w:pStyle w:val="NormalHanging12a"/>
        <w:rPr>
          <w:rFonts w:eastAsia="Calibri"/>
          <w:szCs w:val="24"/>
        </w:rPr>
      </w:pPr>
      <w:r w:rsidRPr="00665353">
        <w:t>4.</w:t>
      </w:r>
      <w:r w:rsidRPr="00665353">
        <w:tab/>
        <w:t>podkreśla potrzebę wzmocnienia infrastruktury energetycznej, zwłaszcza transgranicznej, w tym połączeń międzysystemowych, oraz dokończenia procesu tworzenia unii energetycznej; apeluje o dążenie do ambitnych rezultatów przyszłego dialogu na temat głębszej integracji rynku energii elektrycznej, ponieważ obecne rozdrobnienie nadzoru regulacyjnego i planowania inwestycji w państwach członkowskich utrudnia integrację i elektryfikację; wzywa państwa członkowskie, operatorów systemów przesyłowych i Komisję do pobudzenia transgranicznego obrotu energią elektryczną w celu uwolnienia korzyści płynących z integracji rynku i poprawy niezawodności dostaw dla wszystkich wzajemnie połączonych stron; wzywa państwa członkowskie, aby dołożyły starań na rzecz osiągnięcia obecnego celu 15 % połączeń międzysystemowych, jak określono w rozporządzeniu (UE) 2018/1999</w:t>
      </w:r>
      <w:r w:rsidRPr="00665353">
        <w:rPr>
          <w:rStyle w:val="FootnoteReference"/>
          <w:bCs/>
          <w:iCs/>
          <w:szCs w:val="24"/>
          <w:lang w:eastAsia="en-US"/>
        </w:rPr>
        <w:footnoteReference w:id="3"/>
      </w:r>
      <w:r w:rsidRPr="00665353">
        <w:t>;</w:t>
      </w:r>
    </w:p>
    <w:p w14:paraId="4E98496B" w14:textId="77777777" w:rsidR="00716E49" w:rsidRPr="00665353" w:rsidRDefault="00716E49" w:rsidP="00716E49">
      <w:pPr>
        <w:pStyle w:val="NormalHanging12a"/>
        <w:rPr>
          <w:rFonts w:eastAsia="Calibri"/>
          <w:szCs w:val="24"/>
        </w:rPr>
      </w:pPr>
      <w:r w:rsidRPr="00665353">
        <w:t>5.</w:t>
      </w:r>
      <w:r w:rsidRPr="00665353">
        <w:tab/>
        <w:t xml:space="preserve">podkreśla potrzebę zakończenia prac nad zmianą dyrektywy w sprawie opodatkowania </w:t>
      </w:r>
      <w:r w:rsidRPr="00665353">
        <w:lastRenderedPageBreak/>
        <w:t>energii</w:t>
      </w:r>
      <w:r w:rsidRPr="00665353">
        <w:rPr>
          <w:rStyle w:val="FootnoteReference"/>
          <w:rFonts w:eastAsia="Calibri"/>
          <w:szCs w:val="24"/>
          <w:lang w:eastAsia="en-US"/>
        </w:rPr>
        <w:footnoteReference w:id="4"/>
      </w:r>
      <w:r w:rsidRPr="00665353">
        <w:t>, której celem jest dostosowanie opodatkowania produktów energetycznych do celów polityki energetycznej i klimatycznej UE oraz harmonizacja metod ustalania taryf opłat sieciowych, pod warunkiem że środki te nie będą miały negatywnego wpływu na konsumentów końcowych; wzywa państwa członkowskie do pilnego zapewnienia krótkoterminowej pomocy dla przemysłu i gospodarstw domowych, na przykład przez obniżenie podatków i opłat za energię elektryczną oraz powstrzymanie się od nakładania nieuzasadnionych dodatkowych wymogów (nadmiernie rygorystycznego wdrażania prawodawstwa UE), w przypadku gdy zakłóca to równe warunki działania;</w:t>
      </w:r>
    </w:p>
    <w:p w14:paraId="434561DE" w14:textId="77777777" w:rsidR="00716E49" w:rsidRPr="00665353" w:rsidRDefault="00716E49" w:rsidP="00716E49">
      <w:pPr>
        <w:pStyle w:val="NormalHanging12a"/>
        <w:rPr>
          <w:rFonts w:eastAsia="Calibri"/>
          <w:szCs w:val="24"/>
        </w:rPr>
      </w:pPr>
      <w:r w:rsidRPr="00665353">
        <w:t>6.</w:t>
      </w:r>
      <w:r w:rsidRPr="00665353">
        <w:tab/>
        <w:t>zachęca Komisję i państwa członkowskie do poprawy koordynacji wydatków na pomoc państwa w zakresie wspólnych europejskich priorytetów przemysłowych i wzywa państwa członkowskie, by wykorzystały to do wspierania przemysłu zmierzającego ku czystej transformacji, przy jednoczesnym uwzględnieniu różnych zdolności fiskalnych; przypomina, że konieczne jest zapewnienie równych warunków działania; podkreśla potrzebę lepszej koordynacji polityki przemysłowej w całej Unii, zarówno między państwami członkowskimi, jak i między państwami członkowskimi a Komisją; popiera wdrożenie narzędzia koordynacji konkurencyjności z myślą o ukierunkowaniu i dostosowaniu działań krajowych; uważa, że wsparcie publiczne powinno przyczyniać się do ochrony miejsc pracy i działalności przemysłowej w Europie, a beneficjenci takiego wsparcia powinni zobowiązać się do zapewnienia godnych warunków zatrudnienia i pracy oraz do prowadzenia dialogu społecznego;</w:t>
      </w:r>
    </w:p>
    <w:p w14:paraId="57C863E1" w14:textId="3416FC3F" w:rsidR="00716E49" w:rsidRPr="00665353" w:rsidRDefault="00716E49" w:rsidP="00716E49">
      <w:pPr>
        <w:pStyle w:val="NormalHanging12a"/>
        <w:rPr>
          <w:rFonts w:eastAsia="Calibri"/>
          <w:szCs w:val="24"/>
        </w:rPr>
      </w:pPr>
      <w:r w:rsidRPr="00665353">
        <w:t>7.</w:t>
      </w:r>
      <w:r w:rsidRPr="00665353">
        <w:tab/>
        <w:t>popiera uproszczenie i cyfryzację w celu przyspieszenia procedur wydawania pozwoleń, przy jednoczesnym poszanowaniu zabezpieczeń środowiskowych i ochronie zdrowia ludzkiego; apeluje do Komisji, aby w akcie w sprawie przyspieszenia dekarbonizacji przemysłu dalej zajmowała się problemami utrudniającymi dostęp przemysłu do energii i proces dekarbonizacji przemysłu, w tym przez przyjęcie środków mających na celu przyspieszenie procedur sądowych i administracyjnych</w:t>
      </w:r>
      <w:r w:rsidR="00810A06" w:rsidRPr="00810A06">
        <w:t>, oraz aby oceniła kryteria ukierunkowanych wyłączeń w odniesieniu do emisji powstałych i depozycji dokonanych podczas budowy czystych i neutralnych emisyjnie projektów oraz projektów dotyczących magazynowania i sieci;</w:t>
      </w:r>
      <w:r w:rsidRPr="00665353">
        <w:t xml:space="preserve"> wzywa państwa członkowskie do poprawy ich zdolności administracyjnych, aby zapewnić terminowe rozpatrywanie wniosków o pozwolenia oraz do pełnego wdrożenia dyrektywy w sprawie energii odnawialnej</w:t>
      </w:r>
      <w:r w:rsidRPr="00665353">
        <w:rPr>
          <w:rStyle w:val="FootnoteReference"/>
          <w:rFonts w:eastAsia="Calibri"/>
          <w:bCs/>
          <w:iCs/>
          <w:szCs w:val="24"/>
          <w:lang w:eastAsia="en-US"/>
        </w:rPr>
        <w:footnoteReference w:id="5"/>
      </w:r>
      <w:r w:rsidRPr="00665353">
        <w:t>, w tym nadrzędnej zasady interesu publicznego, oraz aktu w sprawie przemysłu neutralnego emisyjnie (NZIA)</w:t>
      </w:r>
      <w:r w:rsidRPr="00665353">
        <w:rPr>
          <w:rStyle w:val="FootnoteReference"/>
          <w:rFonts w:eastAsia="Calibri"/>
          <w:bCs/>
          <w:iCs/>
          <w:szCs w:val="24"/>
          <w:lang w:eastAsia="en-US"/>
        </w:rPr>
        <w:footnoteReference w:id="6"/>
      </w:r>
      <w:r w:rsidRPr="00665353">
        <w:t>;</w:t>
      </w:r>
    </w:p>
    <w:p w14:paraId="3DAC8D99" w14:textId="77777777" w:rsidR="00716E49" w:rsidRPr="00665353" w:rsidRDefault="00716E49" w:rsidP="00716E49">
      <w:pPr>
        <w:pStyle w:val="NormalHanging12a"/>
        <w:rPr>
          <w:rFonts w:eastAsia="Calibri"/>
          <w:szCs w:val="24"/>
        </w:rPr>
      </w:pPr>
      <w:r w:rsidRPr="00665353">
        <w:lastRenderedPageBreak/>
        <w:t>8.</w:t>
      </w:r>
      <w:r w:rsidRPr="00665353">
        <w:tab/>
        <w:t>wzywa Komisję do uwzględnienia – przy zapewnieniu zarówno bezpieczeństwa dostaw, jak i przystępności cenowej – wszystkich dostępnych technologii, które przyczyniają się do osiągnięcia celu neutralności klimatycznej UE do 2050 r. w opłacalny sposób, w dążeniu do czystszego, stabilnego, bezpiecznego i bardziej niezależnego koszyka energetycznego; uznaje, że energia odnawialna – wraz z energią jądrową w przypadku tych państw członkowskich, które zdecydują się na jej wykorzystanie – ma zasadnicze znaczenie dla czystego i bezpiecznego koszyka energetycznego; wzywa Komisję do zacieśnienia współpracy w zakresie bezpiecznego rozwoju i produkcji małych reaktorów modułowych w Europie oraz do przyspieszenia badań nad fuzją jądrową jako technologią energetyczną przyszłości; z zadowoleniem przyjmuje zapowiedzianą ocenę możliwości usprawnienia praktyk licencjonowania nowych technologii energii jądrowej;</w:t>
      </w:r>
    </w:p>
    <w:p w14:paraId="1FC0FEC6" w14:textId="77777777" w:rsidR="00716E49" w:rsidRPr="00665353" w:rsidRDefault="00716E49" w:rsidP="00716E49">
      <w:pPr>
        <w:pStyle w:val="NormalHanging12a"/>
        <w:rPr>
          <w:rFonts w:eastAsia="Calibri"/>
          <w:szCs w:val="24"/>
        </w:rPr>
      </w:pPr>
      <w:r w:rsidRPr="00665353">
        <w:t>9.</w:t>
      </w:r>
      <w:r w:rsidRPr="00665353">
        <w:tab/>
        <w:t>podkreśla rolę elektryfikacji, ale zauważa, że konieczna jest znaczna rozbudowa i modernizacja sieci; apeluje o opracowanie „strategii UE na rzecz elastyczności energetycznej” ze szczególnym uwzględnieniem reakcji po stronie popytu i magazynowania energii; z zadowoleniem przyjmuje zamiar aktualizacji strategii w zakresie ogrzewania i chłodzenia oraz planu działania na rzecz elektryfikacji; wzywa Komisję, aby uznała sektor efektywności energetycznej za kluczowy sektor strategiczny dla dekarbonizacji przemysłu i konkurencyjności Europy;</w:t>
      </w:r>
    </w:p>
    <w:p w14:paraId="49FAC3C0" w14:textId="77777777" w:rsidR="00716E49" w:rsidRPr="00665353" w:rsidRDefault="00716E49" w:rsidP="00716E49">
      <w:pPr>
        <w:pStyle w:val="NormalHanging12a"/>
        <w:rPr>
          <w:rFonts w:eastAsia="Calibri"/>
          <w:szCs w:val="24"/>
        </w:rPr>
      </w:pPr>
      <w:r w:rsidRPr="00665353">
        <w:t>10.</w:t>
      </w:r>
      <w:r w:rsidRPr="00665353">
        <w:tab/>
        <w:t>podkreśla ważną rolę, jaką odnawialny i niskoemisyjny wodór może odegrać w dekarbonizacji przemysłu; apeluje o szybkie przyjęcie i wdrożenie prostej, neutralnej pod względem technologicznym i przyjaznej dla inwestycji definicji wodoru niskoemisyjnego w przyszłym rozporządzeniu delegowanym uzupełniającym dyrektywę (UE) 2024/1788</w:t>
      </w:r>
      <w:r w:rsidRPr="00665353">
        <w:rPr>
          <w:rStyle w:val="FootnoteReference"/>
          <w:rFonts w:eastAsia="Calibri"/>
          <w:szCs w:val="24"/>
          <w:lang w:eastAsia="en-US"/>
        </w:rPr>
        <w:footnoteReference w:id="7"/>
      </w:r>
      <w:r w:rsidRPr="00665353">
        <w:t xml:space="preserve"> przez określenie metodologii oceny ograniczenia emisji gazów cieplarnianych z paliw niskoemisyjnych, przy dopilnowaniu, by taka definicja była solidna, oparta na danych naukowych i zachęcała do produkcji i stosowania wodoru z myślą o zapewnieniu redukcji emisji; popiera zapowiedź badania zasad dotyczących paliw odnawialnych pochodzenia </w:t>
      </w:r>
      <w:proofErr w:type="spellStart"/>
      <w:r w:rsidRPr="00665353">
        <w:t>niebiologicznego</w:t>
      </w:r>
      <w:proofErr w:type="spellEnd"/>
      <w:r w:rsidRPr="00665353">
        <w:t xml:space="preserve"> (RFNBO); wzywa Komisję, aby uwzględniła wyniki tego badania oraz obawy zainteresowanych stron, i zaproponowała, w stosownych przypadkach, zmiany w akcie delegowanym w sprawie RFNBO</w:t>
      </w:r>
      <w:r w:rsidRPr="00665353">
        <w:rPr>
          <w:rStyle w:val="FootnoteReference"/>
          <w:rFonts w:eastAsia="Calibri"/>
          <w:szCs w:val="24"/>
          <w:lang w:eastAsia="en-US"/>
        </w:rPr>
        <w:footnoteReference w:id="8"/>
      </w:r>
      <w:r w:rsidRPr="00665353">
        <w:t>, tak aby zwiększyć produkcję wodoru odnawialnego i obniżyć jego ceny dla konsumentów;</w:t>
      </w:r>
    </w:p>
    <w:p w14:paraId="34348414" w14:textId="77777777" w:rsidR="00716E49" w:rsidRPr="00665353" w:rsidRDefault="00716E49" w:rsidP="00716E49">
      <w:pPr>
        <w:pStyle w:val="NormalHanging12a"/>
        <w:rPr>
          <w:rFonts w:eastAsia="Calibri"/>
          <w:szCs w:val="24"/>
        </w:rPr>
      </w:pPr>
      <w:r w:rsidRPr="00665353">
        <w:t>11.</w:t>
      </w:r>
      <w:r w:rsidRPr="00665353">
        <w:tab/>
        <w:t xml:space="preserve">ponownie podkreśla potrzebę opracowania środków zapewniających dostawy gazu po obniżonych kosztach dla tych sektorów, które nie mogą w znacznym stopniu polegać na elektryfikacji w perspektywie krótko- i średnioterminowej; apeluje o zróżnicowane i wiarygodne partnerstwa zgodne z bezpieczeństwem i interesami Unii oraz planem </w:t>
      </w:r>
      <w:r w:rsidRPr="00665353">
        <w:lastRenderedPageBreak/>
        <w:t xml:space="preserve">działania </w:t>
      </w:r>
      <w:proofErr w:type="spellStart"/>
      <w:r w:rsidRPr="00665353">
        <w:t>RePowerEU</w:t>
      </w:r>
      <w:proofErr w:type="spellEnd"/>
      <w:r w:rsidRPr="00665353">
        <w:t>;</w:t>
      </w:r>
    </w:p>
    <w:p w14:paraId="5DBBB93F" w14:textId="77777777" w:rsidR="00716E49" w:rsidRPr="00665353" w:rsidRDefault="00716E49" w:rsidP="00716E49">
      <w:pPr>
        <w:pStyle w:val="NormalHanging12a"/>
        <w:rPr>
          <w:rFonts w:eastAsia="Calibri"/>
          <w:szCs w:val="24"/>
        </w:rPr>
      </w:pPr>
      <w:r w:rsidRPr="00665353">
        <w:t>12.</w:t>
      </w:r>
      <w:r w:rsidRPr="00665353">
        <w:tab/>
        <w:t>wzywa Komisję do zaangażowania się w dialog sektorowy z przemysłem, środowiskiem akademickim, partnerami społecznymi i zainteresowanymi stronami z sektorów czystych technologii i sektorów energochłonnych oraz (transgranicznych) regionalnych klastrów przemysłowych w celu wzmocnienia ich konkurencyjności i ułatwienia im transformacji; podkreśla, że ekosystemy przemysłowe są ściśle powiązane i wydajne, a zamknięcie jednego zakładu ma wpływ na cały klaster; apeluje o coroczne monitorowanie i sprawozdawczość w zakresie konkurencyjności i odporności europejskich ekosystemów przemysłowych oraz postępów na różnych ścieżkach transformacji, tak aby w razie potrzeby można było szybko dostosowywać narzędzia i zapewnić wsparcie dostosowane do potrzeb;</w:t>
      </w:r>
    </w:p>
    <w:p w14:paraId="05BE98C1" w14:textId="77777777" w:rsidR="00716E49" w:rsidRPr="00665353" w:rsidRDefault="00716E49" w:rsidP="00716E49">
      <w:pPr>
        <w:pStyle w:val="NormalHanging12a"/>
        <w:rPr>
          <w:bCs/>
          <w:iCs/>
          <w:szCs w:val="24"/>
        </w:rPr>
      </w:pPr>
      <w:r w:rsidRPr="00665353">
        <w:t>13.</w:t>
      </w:r>
      <w:r w:rsidRPr="00665353">
        <w:tab/>
        <w:t>podkreśla, że sukces czystej transformacji przemysłowej zależy od wykwalifikowanych pracowników; wzywa Komisję i państwa członkowskie do opracowania skoordynowanej strategii umiejętności przemysłowych dostosowanej do NZIA i priorytetów w dziedzinie czystych technologii; popiera szybkie wdrożenie i rozwój akademii przemysłu neutralnego emisyjnie i centrów doskonałości zawodowej; zachęca do korzystania z instrumentów UE, takich jak EFS+, Erasmus+ i Fundusz na rzecz Sprawiedliwej Transformacji, aby wspierać ukierunkowane podnoszenie i zmianę kwalifikacji w regionach przemysłowych przechodzących transformację, w tym na obszarach wiejskich;</w:t>
      </w:r>
    </w:p>
    <w:p w14:paraId="7BF6E90B" w14:textId="77777777" w:rsidR="00716E49" w:rsidRPr="00665353" w:rsidRDefault="00716E49" w:rsidP="00716E49">
      <w:pPr>
        <w:pStyle w:val="NormalHanging12a"/>
        <w:rPr>
          <w:rFonts w:eastAsia="Calibri"/>
          <w:szCs w:val="24"/>
        </w:rPr>
      </w:pPr>
      <w:r w:rsidRPr="00665353">
        <w:t>14.</w:t>
      </w:r>
      <w:r w:rsidRPr="00665353">
        <w:tab/>
        <w:t xml:space="preserve">pozytywnie odnosi się do rynków pionierskich dla wytwarzanych w Europie czystych, niskoemisyjnych produktów o obiegu zamkniętym; podkreśla konieczność stymulowania popytu przez zamówienia publiczne i prywatne oraz, w stosownych przypadkach, wprowadzenie kryteriów i standardów zrównoważonego rozwoju i odporności; popiera utworzenie dobrowolnych etykiet intensywności emisji dwutlenku węgla dla produktów przemysłowych (np. dla stali i cementu), które powinny odzwierciedlać wydajność emisyjną, a nie tendencyjność procesu, oraz popiera dostosowanie do istniejącego prawodawstwa UE, w tym rozporządzenia w sprawie </w:t>
      </w:r>
      <w:proofErr w:type="spellStart"/>
      <w:r w:rsidRPr="00665353">
        <w:t>ekoprojektu</w:t>
      </w:r>
      <w:proofErr w:type="spellEnd"/>
      <w:r w:rsidRPr="00665353">
        <w:t xml:space="preserve"> dla zrównoważonych produktów</w:t>
      </w:r>
      <w:r w:rsidRPr="00665353">
        <w:rPr>
          <w:rStyle w:val="FootnoteReference"/>
          <w:rFonts w:eastAsia="Calibri"/>
          <w:bCs/>
          <w:iCs/>
          <w:szCs w:val="24"/>
          <w:lang w:eastAsia="en-US"/>
        </w:rPr>
        <w:footnoteReference w:id="9"/>
      </w:r>
      <w:r w:rsidRPr="00665353">
        <w:t xml:space="preserve"> i rozporządzenia w sprawie wyrobów budowlanych</w:t>
      </w:r>
      <w:r w:rsidRPr="00665353">
        <w:rPr>
          <w:rStyle w:val="FootnoteReference"/>
          <w:rFonts w:eastAsia="Calibri"/>
          <w:bCs/>
          <w:iCs/>
          <w:szCs w:val="24"/>
          <w:lang w:eastAsia="en-US"/>
        </w:rPr>
        <w:footnoteReference w:id="10"/>
      </w:r>
      <w:r w:rsidRPr="00665353">
        <w:t>; wzywa Komisję do zbadania innych wymogów, aby zagwarantować popyt na czyste produkty wytwarzane w UE;</w:t>
      </w:r>
    </w:p>
    <w:p w14:paraId="4A574F65" w14:textId="77777777" w:rsidR="00716E49" w:rsidRPr="00665353" w:rsidRDefault="00716E49" w:rsidP="00716E49">
      <w:pPr>
        <w:pStyle w:val="NormalHanging12a"/>
        <w:rPr>
          <w:rFonts w:eastAsia="Calibri"/>
          <w:szCs w:val="24"/>
        </w:rPr>
      </w:pPr>
      <w:r w:rsidRPr="00665353">
        <w:t>15.</w:t>
      </w:r>
      <w:r w:rsidRPr="00665353">
        <w:tab/>
        <w:t xml:space="preserve">z zadowoleniem przyjmuje proponowane działania wspierające gospodarkę o obiegu zamkniętym i </w:t>
      </w:r>
      <w:proofErr w:type="spellStart"/>
      <w:r w:rsidRPr="00665353">
        <w:t>biogospodarkę</w:t>
      </w:r>
      <w:proofErr w:type="spellEnd"/>
      <w:r w:rsidRPr="00665353">
        <w:t xml:space="preserve"> przez zapewnienie dostępu do materiałów i zasobów; zachęca do włączenia do aktu w sprawie gospodarki o obiegu zamkniętym środków zwiększających wykorzystanie i przystępność cenową strategicznych surowców </w:t>
      </w:r>
      <w:r w:rsidRPr="00665353">
        <w:lastRenderedPageBreak/>
        <w:t>wtórnych w UE, z uwzględnieniem celów aktu w sprawie surowców krytycznych</w:t>
      </w:r>
      <w:r w:rsidRPr="00665353">
        <w:rPr>
          <w:rStyle w:val="FootnoteReference"/>
          <w:rFonts w:eastAsia="Calibri"/>
          <w:szCs w:val="24"/>
          <w:lang w:eastAsia="en-US"/>
        </w:rPr>
        <w:footnoteReference w:id="11"/>
      </w:r>
      <w:r w:rsidRPr="00665353">
        <w:t>; podkreśla potrzebę zdefiniowania tych surowców wtórnych, które mają strategiczne znaczenie i powinny podlegać monitorowaniu wywozu, np. stali i złomu, oraz wyeliminowania zakłóceń równowagi w ich podaży i popycie, w tym przez rozważenie ograniczeń wywozowych; nalega na skuteczne egzekwowanie rozporządzenia w sprawie przemieszczania odpadów</w:t>
      </w:r>
      <w:r w:rsidRPr="00665353">
        <w:rPr>
          <w:rStyle w:val="FootnoteReference"/>
          <w:rFonts w:eastAsia="Calibri"/>
          <w:szCs w:val="24"/>
          <w:lang w:eastAsia="en-US"/>
        </w:rPr>
        <w:footnoteReference w:id="12"/>
      </w:r>
      <w:r w:rsidRPr="00665353">
        <w:t>; apeluje o przewidywalne ramy regulacyjne, które odblokowują modele biznesowe oparte na obiegu zamkniętym, w szczególności na zapobieganiu powstawaniu odpadów, ponownym wykorzystaniu i wysokiej jakości recyklingu;</w:t>
      </w:r>
    </w:p>
    <w:p w14:paraId="128DAE09" w14:textId="77777777" w:rsidR="00716E49" w:rsidRPr="00665353" w:rsidRDefault="00716E49" w:rsidP="00716E49">
      <w:pPr>
        <w:pStyle w:val="NormalHanging12a"/>
        <w:rPr>
          <w:rFonts w:eastAsia="Calibri"/>
          <w:szCs w:val="24"/>
        </w:rPr>
      </w:pPr>
      <w:r w:rsidRPr="00665353">
        <w:t>16.</w:t>
      </w:r>
      <w:r w:rsidRPr="00665353">
        <w:tab/>
        <w:t xml:space="preserve">podkreśla konieczność ochrony rynku europejskiego przed nieuczciwą konkurencją i dumpingiem nadwyżek mocy produkcyjnych w przemyśle z krajów spoza UE przez pełne wykorzystanie mechanizmów ochrony handlu; wzywa Komisję do systematycznego, proaktywnego i proporcjonalnego stosowania instrumentów ochrony handlu, w tym dochodzeń antydumpingowych i </w:t>
      </w:r>
      <w:proofErr w:type="spellStart"/>
      <w:r w:rsidRPr="00665353">
        <w:t>antysubsydyjnych</w:t>
      </w:r>
      <w:proofErr w:type="spellEnd"/>
      <w:r w:rsidRPr="00665353">
        <w:t>; domaga się wzmocnienia zdolności egzekwowania rozporządzenia w sprawie subsydiów zagranicznych</w:t>
      </w:r>
      <w:r w:rsidRPr="00665353">
        <w:rPr>
          <w:rStyle w:val="FootnoteReference"/>
          <w:rFonts w:eastAsia="Calibri"/>
          <w:bCs/>
          <w:iCs/>
          <w:szCs w:val="24"/>
          <w:lang w:eastAsia="en-US"/>
        </w:rPr>
        <w:footnoteReference w:id="13"/>
      </w:r>
      <w:r w:rsidRPr="00665353">
        <w:t xml:space="preserve"> i ubolewa, że narzędzie to nie jest jeszcze systematycznie uruchamiane w kluczowych sektorach; wzywa Komisję do traktowania nadwyżki mocy produkcyjnych w przemyśle i strategicznych zależności jako podstawowych zagrożeń dla konkurencji, wymagających skoordynowanej reakcji na szczeblu unijnym oraz odpowiednich narzędzi; apeluje do Komisji, aby zadbała o to, by dostęp do rynku wewnętrznego UE lub europejskich projektów przemysłowych nie był przyznawany podmiotom przyczyniającym się do strukturalnych zakłóceń na rynku lub nieuczciwej konkurencji;</w:t>
      </w:r>
    </w:p>
    <w:p w14:paraId="605A48AA" w14:textId="77777777" w:rsidR="00716E49" w:rsidRPr="00665353" w:rsidRDefault="00716E49" w:rsidP="00716E49">
      <w:pPr>
        <w:pStyle w:val="NormalHanging12a"/>
        <w:rPr>
          <w:rFonts w:eastAsia="Calibri"/>
          <w:szCs w:val="24"/>
        </w:rPr>
      </w:pPr>
      <w:r w:rsidRPr="00665353">
        <w:t>17.</w:t>
      </w:r>
      <w:r w:rsidRPr="00665353">
        <w:tab/>
        <w:t>z zadowoleniem przyjmuje proponowane uproszczenie mechanizmu dostosowywania cen na granicach z uwzględnieniem emisji CO</w:t>
      </w:r>
      <w:r w:rsidRPr="00665353">
        <w:rPr>
          <w:vertAlign w:val="subscript"/>
        </w:rPr>
        <w:t>2</w:t>
      </w:r>
      <w:r w:rsidRPr="00665353">
        <w:t xml:space="preserve"> (CBAM) w pierwszym pakiecie zbiorczym jako ważny krok w kierunku dalszego zwiększenia skuteczności CBAM w przeciwdziałaniu ucieczce emisji; ponawia swoje wezwanie do opracowania realnego rozwiązania eksportowego, aby wyeliminować ryzyko ucieczki emisji w przypadku towarów CBAM wywożonych z UE do państw trzecich; zwraca się do Komisji o dokładne przeanalizowanie ryzyka związanego z niezweryfikowanymi certyfikatami spoza UE, które mogłyby zaszkodzić uczciwości i konkurencyjności; z zadowoleniem przyjmuje zamiar Komisji dotyczący przedstawienia przed końcem roku strategii przeciwdziałania obchodzeniu przepisów oraz rozważenia rozszerzenia CBAM na dodatkowe sektory w ramach zbliżającego się przeglądu; podkreśla znaczenie skutecznego CBAM w kontekście stopniowego wycofywania bezpłatnych uprawnień w </w:t>
      </w:r>
      <w:r w:rsidRPr="00665353">
        <w:lastRenderedPageBreak/>
        <w:t>unijnym systemie handlu uprawnieniami do emisji;</w:t>
      </w:r>
    </w:p>
    <w:p w14:paraId="02A280D9" w14:textId="77777777" w:rsidR="00716E49" w:rsidRPr="00665353" w:rsidRDefault="00716E49" w:rsidP="00716E49">
      <w:pPr>
        <w:pStyle w:val="NormalHanging12a"/>
        <w:rPr>
          <w:rFonts w:eastAsia="Calibri"/>
          <w:szCs w:val="24"/>
        </w:rPr>
      </w:pPr>
      <w:r w:rsidRPr="00665353">
        <w:t>18.</w:t>
      </w:r>
      <w:r w:rsidRPr="00665353">
        <w:tab/>
        <w:t>w kontekście wdrażania strategii UE na rzecz przemysłowego zarządzania emisjami dwutlenku węgla z zadowoleniem przyjmuje włączenie uzasadnienia biznesowego dla trwałego pochłaniania dwutlenku węgla do przyszłych (przeglądów) przepisów; dostrzega, że zarządzanie emisjami dwutlenku węgla, w tym wychwytywanie, składowanie, transport i utylizacja, może być potrzebne w sektorach, w których trudno jest zredukować emisje; podkreśla potrzebę zaproponowania pakietu ramowego dla rynku CO</w:t>
      </w:r>
      <w:r w:rsidRPr="00665353">
        <w:rPr>
          <w:vertAlign w:val="subscript"/>
        </w:rPr>
        <w:t>2</w:t>
      </w:r>
      <w:r w:rsidRPr="00665353">
        <w:t xml:space="preserve"> w odniesieniu do transportu i infrastruktury CO</w:t>
      </w:r>
      <w:r w:rsidRPr="00665353">
        <w:rPr>
          <w:vertAlign w:val="subscript"/>
        </w:rPr>
        <w:t>2</w:t>
      </w:r>
      <w:r w:rsidRPr="00665353">
        <w:t>;</w:t>
      </w:r>
    </w:p>
    <w:p w14:paraId="2F35A534" w14:textId="77777777" w:rsidR="00716E49" w:rsidRPr="00665353" w:rsidRDefault="00716E49" w:rsidP="00716E49">
      <w:pPr>
        <w:pStyle w:val="NormalHanging12a"/>
        <w:rPr>
          <w:rFonts w:eastAsia="Calibri"/>
          <w:szCs w:val="24"/>
        </w:rPr>
      </w:pPr>
      <w:r w:rsidRPr="00665353">
        <w:t>19.</w:t>
      </w:r>
      <w:r w:rsidRPr="00665353">
        <w:tab/>
        <w:t>apeluje o zapewnienie dostępnego finansowania dla MŚP; z zadowoleniem przyjmuje przyspieszone zatwierdzanie i wydatkowanie środków w ramach instrumentów takich jak Fundusz Innowacyjny i NZIA oraz podkreśla, że MŚP muszą mieć dostęp do inicjatywy dotyczącej ważnych projektów stanowiących przedmiot wspólnego europejskiego zainteresowania (IPCEI); apeluje o dalsze usprawnienia i harmonizację, aby uprościć wnioski o finansowanie, ograniczyć obowiązki sprawozdawcze i przyspieszyć realizację małych projektów;</w:t>
      </w:r>
    </w:p>
    <w:p w14:paraId="380F815A" w14:textId="77777777" w:rsidR="00716E49" w:rsidRPr="00665353" w:rsidRDefault="00716E49" w:rsidP="00716E49">
      <w:pPr>
        <w:pStyle w:val="NormalHanging12a"/>
        <w:rPr>
          <w:rFonts w:eastAsia="Calibri"/>
          <w:szCs w:val="24"/>
        </w:rPr>
      </w:pPr>
      <w:r w:rsidRPr="00665353">
        <w:t>20.</w:t>
      </w:r>
      <w:r w:rsidRPr="00665353">
        <w:tab/>
        <w:t xml:space="preserve">podkreśla znaczenie, jakie podejścia sektorowe mają dla skutecznego wdrażania Paktu dla czystego przemysłu w całym spektrum ekosystemów przemysłowych; z zadowoleniem przyjmuje Plan działania dla przemysłu motoryzacyjnego, plan działania w zakresie stali i metali, ogłoszenie pakietu dotyczącego przemysłu chemicznego, Plan inwestycyjny na rzecz zrównoważonego transportu i strategię dotyczącą </w:t>
      </w:r>
      <w:proofErr w:type="spellStart"/>
      <w:r w:rsidRPr="00665353">
        <w:t>biogospodarki</w:t>
      </w:r>
      <w:proofErr w:type="spellEnd"/>
      <w:r w:rsidRPr="00665353">
        <w:t xml:space="preserve"> jako kluczowe elementy składowe spójnej transformacji przemysłowej; apeluje o uwzględnienie w Planie inwestycyjnym na rzecz zrównoważonego transportu szczegółowych strategii dekarbonizacji, odzwierciedlających konkretne potrzeby technologiczne i inwestycyjne różnych rodzajów transportu; apeluje o włączenie innych sektorów, takich jak europejski sektor lotniczy i kosmiczny oraz sektor paliw alternatywnych, do ram Paktu dla czystego przemysłu; </w:t>
      </w:r>
      <w:r w:rsidRPr="00665353">
        <w:rPr>
          <w:shd w:val="clear" w:color="auto" w:fill="FFFFFF"/>
        </w:rPr>
        <w:t>apeluje o opracowanie konkretnego planu działania na rzecz czystych technologii;</w:t>
      </w:r>
    </w:p>
    <w:p w14:paraId="45E232C9" w14:textId="77777777" w:rsidR="00665353" w:rsidRPr="00665353" w:rsidRDefault="00716E49" w:rsidP="00665353">
      <w:pPr>
        <w:pStyle w:val="NormalHanging12a"/>
      </w:pPr>
      <w:r w:rsidRPr="00665353">
        <w:t>21.</w:t>
      </w:r>
      <w:r w:rsidRPr="00665353">
        <w:tab/>
        <w:t>zobowiązuje swoją przewodniczącą do przekazania niniejszej rezolucji Komisji, Radzie oraz rządom i parlamentom państw członkowskich.</w:t>
      </w:r>
    </w:p>
    <w:p w14:paraId="11C321BD" w14:textId="77777777" w:rsidR="00E365E1" w:rsidRPr="00665353" w:rsidRDefault="00E365E1" w:rsidP="0094461E"/>
    <w:sectPr w:rsidR="00E365E1" w:rsidRPr="00665353" w:rsidSect="0066535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3D9990" w14:textId="77777777" w:rsidR="0094461E" w:rsidRPr="00665353" w:rsidRDefault="0094461E">
      <w:r w:rsidRPr="00665353">
        <w:separator/>
      </w:r>
    </w:p>
  </w:endnote>
  <w:endnote w:type="continuationSeparator" w:id="0">
    <w:p w14:paraId="10F9D463" w14:textId="77777777" w:rsidR="0094461E" w:rsidRPr="00665353" w:rsidRDefault="0094461E">
      <w:r w:rsidRPr="0066535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E862B" w14:textId="77777777" w:rsidR="00064002" w:rsidRPr="0066535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BE320" w14:textId="77777777" w:rsidR="00064002" w:rsidRPr="0066535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546E67" w14:textId="77777777" w:rsidR="00064002" w:rsidRPr="0066535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BDA9C6" w14:textId="77777777" w:rsidR="0094461E" w:rsidRPr="00665353" w:rsidRDefault="0094461E">
      <w:r w:rsidRPr="00665353">
        <w:separator/>
      </w:r>
    </w:p>
  </w:footnote>
  <w:footnote w:type="continuationSeparator" w:id="0">
    <w:p w14:paraId="2A48ED6A" w14:textId="77777777" w:rsidR="0094461E" w:rsidRPr="00665353" w:rsidRDefault="0094461E">
      <w:r w:rsidRPr="00665353">
        <w:continuationSeparator/>
      </w:r>
    </w:p>
  </w:footnote>
  <w:footnote w:id="1">
    <w:p w14:paraId="08488C70" w14:textId="77777777" w:rsidR="00716E49" w:rsidRPr="00665353" w:rsidRDefault="00716E49" w:rsidP="00665353">
      <w:pPr>
        <w:pStyle w:val="FootnoteText"/>
        <w:ind w:left="567" w:hanging="567"/>
        <w:rPr>
          <w:i/>
          <w:sz w:val="24"/>
          <w:lang w:val="pl-PL"/>
        </w:rPr>
      </w:pPr>
      <w:r w:rsidRPr="00665353">
        <w:rPr>
          <w:rStyle w:val="FootnoteReference"/>
          <w:sz w:val="24"/>
          <w:lang w:val="pl-PL"/>
        </w:rPr>
        <w:footnoteRef/>
      </w:r>
      <w:r w:rsidR="00665353" w:rsidRPr="00665353">
        <w:rPr>
          <w:sz w:val="24"/>
          <w:lang w:val="pl-PL"/>
        </w:rPr>
        <w:t xml:space="preserve"> </w:t>
      </w:r>
      <w:r w:rsidR="00665353" w:rsidRPr="00665353">
        <w:rPr>
          <w:sz w:val="24"/>
          <w:lang w:val="pl-PL"/>
        </w:rPr>
        <w:tab/>
      </w:r>
      <w:r w:rsidRPr="00F058F3">
        <w:rPr>
          <w:sz w:val="24"/>
          <w:lang w:val="pl-PL"/>
        </w:rPr>
        <w:t>Dz.U. C 125 z 5.4.2023, s. 124.</w:t>
      </w:r>
    </w:p>
  </w:footnote>
  <w:footnote w:id="2">
    <w:p w14:paraId="62404CC6" w14:textId="77777777" w:rsidR="00716E49" w:rsidRPr="00665353" w:rsidRDefault="00716E49" w:rsidP="00665353">
      <w:pPr>
        <w:pStyle w:val="FootnoteText"/>
        <w:ind w:left="567" w:hanging="567"/>
        <w:rPr>
          <w:sz w:val="24"/>
          <w:lang w:val="pl-PL"/>
        </w:rPr>
      </w:pPr>
      <w:r w:rsidRPr="00665353">
        <w:rPr>
          <w:rStyle w:val="FootnoteReference"/>
          <w:sz w:val="24"/>
          <w:lang w:val="pl-PL"/>
        </w:rPr>
        <w:footnoteRef/>
      </w:r>
      <w:r w:rsidR="00665353" w:rsidRPr="00665353">
        <w:rPr>
          <w:sz w:val="24"/>
          <w:lang w:val="pl-PL"/>
        </w:rPr>
        <w:t xml:space="preserve"> </w:t>
      </w:r>
      <w:r w:rsidR="00665353" w:rsidRPr="00665353">
        <w:rPr>
          <w:sz w:val="24"/>
          <w:lang w:val="pl-PL"/>
        </w:rPr>
        <w:tab/>
      </w:r>
      <w:r w:rsidRPr="00665353">
        <w:rPr>
          <w:sz w:val="24"/>
          <w:lang w:val="pl-PL"/>
        </w:rPr>
        <w:t>Teksty przyjęte, P10_TA(2025)0065.</w:t>
      </w:r>
    </w:p>
  </w:footnote>
  <w:footnote w:id="3">
    <w:p w14:paraId="57CE2896" w14:textId="77777777" w:rsidR="00716E49" w:rsidRPr="00665353" w:rsidRDefault="00716E49" w:rsidP="00665353">
      <w:pPr>
        <w:pStyle w:val="FootnoteText"/>
        <w:ind w:left="567" w:hanging="567"/>
        <w:rPr>
          <w:sz w:val="24"/>
          <w:lang w:val="pl-PL"/>
        </w:rPr>
      </w:pPr>
      <w:r w:rsidRPr="00665353">
        <w:rPr>
          <w:rStyle w:val="FootnoteReference"/>
          <w:sz w:val="24"/>
          <w:lang w:val="pl-PL"/>
        </w:rPr>
        <w:footnoteRef/>
      </w:r>
      <w:r w:rsidR="00665353" w:rsidRPr="00665353">
        <w:rPr>
          <w:sz w:val="24"/>
          <w:lang w:val="pl-PL"/>
        </w:rPr>
        <w:t xml:space="preserve"> </w:t>
      </w:r>
      <w:r w:rsidR="00665353" w:rsidRPr="00665353">
        <w:rPr>
          <w:sz w:val="24"/>
          <w:lang w:val="pl-PL"/>
        </w:rPr>
        <w:tab/>
      </w:r>
      <w:r w:rsidRPr="00665353">
        <w:rPr>
          <w:sz w:val="24"/>
          <w:lang w:val="pl-PL"/>
        </w:rPr>
        <w:t xml:space="preserve">Rozporządzenie Parlamentu Europejskiego i Rady (UE) 2018/1999 z dnia 11 grudnia 2018 r. w sprawie zarządzania unią energetyczną i działaniami w dziedzinie klimatu, zmiany rozporządzeń Parlamentu Europejskiego i Rady (WE) nr 663/2009 i (WE) nr 715/2009, dyrektyw Parlamentu Europejskiego i Rady 94/22/WE, 98/70/WE, 2009/31/WE, 2009/73/WE, 2010/31/UE, 2012/27/UE i 2013/30/UE, dyrektyw Rady 2009/119/WE i (EU) 2015/652 oraz uchylenia rozporządzenia Parlamentu Europejskiego i Rady (UE) nr 525/2013 (Dz.U. L 328 z 21.12.2018, s. 1, </w:t>
      </w:r>
      <w:proofErr w:type="spellStart"/>
      <w:r w:rsidRPr="00665353">
        <w:rPr>
          <w:sz w:val="24"/>
          <w:lang w:val="pl-PL"/>
        </w:rPr>
        <w:t>ELI:</w:t>
      </w:r>
      <w:hyperlink r:id="rId1" w:history="1">
        <w:r w:rsidRPr="00665353">
          <w:rPr>
            <w:rStyle w:val="Hyperlink"/>
            <w:sz w:val="24"/>
            <w:lang w:val="pl-PL"/>
          </w:rPr>
          <w:t>http</w:t>
        </w:r>
        <w:proofErr w:type="spellEnd"/>
        <w:r w:rsidRPr="00665353">
          <w:rPr>
            <w:rStyle w:val="Hyperlink"/>
            <w:sz w:val="24"/>
            <w:lang w:val="pl-PL"/>
          </w:rPr>
          <w:t>://data.europa.eu/</w:t>
        </w:r>
        <w:proofErr w:type="spellStart"/>
        <w:r w:rsidRPr="00665353">
          <w:rPr>
            <w:rStyle w:val="Hyperlink"/>
            <w:sz w:val="24"/>
            <w:lang w:val="pl-PL"/>
          </w:rPr>
          <w:t>eli</w:t>
        </w:r>
        <w:proofErr w:type="spellEnd"/>
        <w:r w:rsidRPr="00665353">
          <w:rPr>
            <w:rStyle w:val="Hyperlink"/>
            <w:sz w:val="24"/>
            <w:lang w:val="pl-PL"/>
          </w:rPr>
          <w:t>/</w:t>
        </w:r>
        <w:proofErr w:type="spellStart"/>
        <w:r w:rsidRPr="00665353">
          <w:rPr>
            <w:rStyle w:val="Hyperlink"/>
            <w:sz w:val="24"/>
            <w:lang w:val="pl-PL"/>
          </w:rPr>
          <w:t>reg</w:t>
        </w:r>
        <w:proofErr w:type="spellEnd"/>
        <w:r w:rsidRPr="00665353">
          <w:rPr>
            <w:rStyle w:val="Hyperlink"/>
            <w:sz w:val="24"/>
            <w:lang w:val="pl-PL"/>
          </w:rPr>
          <w:t>/2018/1999/oj)</w:t>
        </w:r>
      </w:hyperlink>
      <w:r w:rsidRPr="00665353">
        <w:rPr>
          <w:sz w:val="24"/>
          <w:lang w:val="pl-PL"/>
        </w:rPr>
        <w:t>.</w:t>
      </w:r>
    </w:p>
  </w:footnote>
  <w:footnote w:id="4">
    <w:p w14:paraId="1AF7E879" w14:textId="77777777" w:rsidR="00716E49" w:rsidRPr="00665353" w:rsidRDefault="00716E49" w:rsidP="00665353">
      <w:pPr>
        <w:pStyle w:val="FootnoteText"/>
        <w:ind w:left="567" w:hanging="567"/>
        <w:rPr>
          <w:sz w:val="24"/>
          <w:lang w:val="pl-PL"/>
        </w:rPr>
      </w:pPr>
      <w:r w:rsidRPr="00665353">
        <w:rPr>
          <w:rStyle w:val="FootnoteReference"/>
          <w:sz w:val="24"/>
          <w:lang w:val="pl-PL"/>
        </w:rPr>
        <w:footnoteRef/>
      </w:r>
      <w:r w:rsidR="00665353" w:rsidRPr="00665353">
        <w:rPr>
          <w:sz w:val="24"/>
          <w:lang w:val="pl-PL"/>
        </w:rPr>
        <w:t xml:space="preserve"> </w:t>
      </w:r>
      <w:r w:rsidR="00665353" w:rsidRPr="00665353">
        <w:rPr>
          <w:sz w:val="24"/>
          <w:lang w:val="pl-PL"/>
        </w:rPr>
        <w:tab/>
      </w:r>
      <w:r w:rsidRPr="00665353">
        <w:rPr>
          <w:sz w:val="24"/>
          <w:lang w:val="pl-PL"/>
        </w:rPr>
        <w:t>Dyrektywa Rady 2003/96/WE z dnia 27 października 2003 r. w sprawie restrukturyzacji wspólnotowych przepisów ramowych dotyczących opodatkowania produktów energetycznych i energii elektrycznej (Dz.U. L 283 z 31.10.2003, s. 51, ELI:</w:t>
      </w:r>
      <w:r w:rsidR="00F058F3">
        <w:rPr>
          <w:sz w:val="24"/>
          <w:lang w:val="pl-PL"/>
        </w:rPr>
        <w:t xml:space="preserve"> </w:t>
      </w:r>
      <w:hyperlink r:id="rId2" w:history="1">
        <w:r w:rsidRPr="00665353">
          <w:rPr>
            <w:rStyle w:val="Hyperlink"/>
            <w:sz w:val="24"/>
            <w:lang w:val="pl-PL"/>
          </w:rPr>
          <w:t>http://data.europa.eu/eli/dir/2003/96/oj</w:t>
        </w:r>
      </w:hyperlink>
      <w:r w:rsidRPr="00665353">
        <w:rPr>
          <w:sz w:val="24"/>
          <w:lang w:val="pl-PL"/>
        </w:rPr>
        <w:t>).</w:t>
      </w:r>
    </w:p>
  </w:footnote>
  <w:footnote w:id="5">
    <w:p w14:paraId="339E259A" w14:textId="77777777" w:rsidR="00716E49" w:rsidRPr="00665353" w:rsidRDefault="00716E49" w:rsidP="00665353">
      <w:pPr>
        <w:pStyle w:val="FootnoteText"/>
        <w:ind w:left="567" w:hanging="567"/>
        <w:rPr>
          <w:sz w:val="24"/>
          <w:lang w:val="pl-PL"/>
        </w:rPr>
      </w:pPr>
      <w:r w:rsidRPr="00665353">
        <w:rPr>
          <w:rStyle w:val="FootnoteReference"/>
          <w:sz w:val="24"/>
          <w:lang w:val="pl-PL"/>
        </w:rPr>
        <w:footnoteRef/>
      </w:r>
      <w:r w:rsidR="00665353" w:rsidRPr="00665353">
        <w:rPr>
          <w:sz w:val="24"/>
          <w:lang w:val="pl-PL"/>
        </w:rPr>
        <w:t xml:space="preserve"> </w:t>
      </w:r>
      <w:r w:rsidR="00665353" w:rsidRPr="00665353">
        <w:rPr>
          <w:sz w:val="24"/>
          <w:lang w:val="pl-PL"/>
        </w:rPr>
        <w:tab/>
      </w:r>
      <w:r w:rsidRPr="00665353">
        <w:rPr>
          <w:sz w:val="24"/>
          <w:lang w:val="pl-PL"/>
        </w:rPr>
        <w:t>Dyrektywa Parlamentu Europejskiego i Rady (UE) 2023/2413 z dnia 18 października 2023 r. zmieniająca dyrektywę (UE) 2018/2001, rozporządzenie (UE) 2018/1999 i dyrektywę 98/70/WE w odniesieniu do promowania energii ze źródeł odnawialnych oraz uchylająca dyrektywę Rady (UE) 2015/652 (Dz.U. L, 2023/2413, 31.10.2023, ELI:</w:t>
      </w:r>
      <w:r w:rsidR="00F058F3">
        <w:rPr>
          <w:sz w:val="24"/>
          <w:lang w:val="pl-PL"/>
        </w:rPr>
        <w:t xml:space="preserve"> </w:t>
      </w:r>
      <w:hyperlink r:id="rId3" w:history="1">
        <w:r w:rsidRPr="00665353">
          <w:rPr>
            <w:rStyle w:val="Hyperlink"/>
            <w:sz w:val="24"/>
            <w:lang w:val="pl-PL"/>
          </w:rPr>
          <w:t>http://data.europa.eu/eli/dir/2023/2413/oj</w:t>
        </w:r>
      </w:hyperlink>
      <w:r w:rsidRPr="00665353">
        <w:rPr>
          <w:sz w:val="24"/>
          <w:lang w:val="pl-PL"/>
        </w:rPr>
        <w:t>).</w:t>
      </w:r>
    </w:p>
  </w:footnote>
  <w:footnote w:id="6">
    <w:p w14:paraId="55154EE6" w14:textId="77777777" w:rsidR="00716E49" w:rsidRPr="00665353" w:rsidRDefault="00716E49" w:rsidP="00665353">
      <w:pPr>
        <w:pStyle w:val="FootnoteText"/>
        <w:ind w:left="567" w:hanging="567"/>
        <w:rPr>
          <w:sz w:val="24"/>
          <w:lang w:val="pl-PL"/>
        </w:rPr>
      </w:pPr>
      <w:r w:rsidRPr="00665353">
        <w:rPr>
          <w:rStyle w:val="FootnoteReference"/>
          <w:sz w:val="24"/>
          <w:lang w:val="pl-PL"/>
        </w:rPr>
        <w:footnoteRef/>
      </w:r>
      <w:r w:rsidR="00665353" w:rsidRPr="00665353">
        <w:rPr>
          <w:sz w:val="24"/>
          <w:lang w:val="pl-PL"/>
        </w:rPr>
        <w:t xml:space="preserve"> </w:t>
      </w:r>
      <w:r w:rsidR="00665353" w:rsidRPr="00665353">
        <w:rPr>
          <w:sz w:val="24"/>
          <w:lang w:val="pl-PL"/>
        </w:rPr>
        <w:tab/>
      </w:r>
      <w:r w:rsidRPr="00665353">
        <w:rPr>
          <w:sz w:val="24"/>
          <w:lang w:val="pl-PL"/>
        </w:rPr>
        <w:t>Rozporządzenie Parlamentu Europejskiego i Rady (UE) 2024/1735 z dnia 13 czerwca 2024 r. w sprawie ustanowienia ram środków na rzecz wzmocnienia europejskiego ekosystemu produkcji technologii neutralnych emisyjnie i zmieniające rozporządzenie (UE) 2018/1724, (Dz.U. L, 2024/1735, 28.6.2024, ELI:</w:t>
      </w:r>
      <w:r w:rsidR="00F058F3">
        <w:rPr>
          <w:sz w:val="24"/>
          <w:lang w:val="pl-PL"/>
        </w:rPr>
        <w:t xml:space="preserve"> </w:t>
      </w:r>
      <w:hyperlink r:id="rId4" w:history="1">
        <w:r w:rsidRPr="00665353">
          <w:rPr>
            <w:rStyle w:val="Hyperlink"/>
            <w:sz w:val="24"/>
            <w:lang w:val="pl-PL"/>
          </w:rPr>
          <w:t>http://data.europa.eu/eli/reg/2024/1735/oj</w:t>
        </w:r>
      </w:hyperlink>
      <w:r w:rsidRPr="00665353">
        <w:rPr>
          <w:sz w:val="24"/>
          <w:lang w:val="pl-PL"/>
        </w:rPr>
        <w:t>). </w:t>
      </w:r>
    </w:p>
  </w:footnote>
  <w:footnote w:id="7">
    <w:p w14:paraId="2D80B21C" w14:textId="77777777" w:rsidR="00716E49" w:rsidRPr="00665353" w:rsidRDefault="00716E49" w:rsidP="00665353">
      <w:pPr>
        <w:pStyle w:val="FootnoteText"/>
        <w:ind w:left="567" w:hanging="567"/>
        <w:rPr>
          <w:sz w:val="24"/>
          <w:lang w:val="pl-PL"/>
        </w:rPr>
      </w:pPr>
      <w:r w:rsidRPr="00665353">
        <w:rPr>
          <w:rStyle w:val="FootnoteReference"/>
          <w:sz w:val="24"/>
          <w:lang w:val="pl-PL"/>
        </w:rPr>
        <w:footnoteRef/>
      </w:r>
      <w:r w:rsidR="00665353" w:rsidRPr="00665353">
        <w:rPr>
          <w:sz w:val="24"/>
          <w:lang w:val="pl-PL"/>
        </w:rPr>
        <w:t xml:space="preserve"> </w:t>
      </w:r>
      <w:r w:rsidR="00665353" w:rsidRPr="00665353">
        <w:rPr>
          <w:sz w:val="24"/>
          <w:lang w:val="pl-PL"/>
        </w:rPr>
        <w:tab/>
      </w:r>
      <w:r w:rsidRPr="00665353">
        <w:rPr>
          <w:sz w:val="24"/>
          <w:lang w:val="pl-PL"/>
        </w:rPr>
        <w:t>Dyrektywa Parlamentu Europejskiego i Rady (UE) 2024/</w:t>
      </w:r>
      <w:proofErr w:type="gramStart"/>
      <w:r w:rsidRPr="00665353">
        <w:rPr>
          <w:sz w:val="24"/>
          <w:lang w:val="pl-PL"/>
        </w:rPr>
        <w:t>1788  z</w:t>
      </w:r>
      <w:proofErr w:type="gramEnd"/>
      <w:r w:rsidRPr="00665353">
        <w:rPr>
          <w:sz w:val="24"/>
          <w:lang w:val="pl-PL"/>
        </w:rPr>
        <w:t xml:space="preserve"> dnia 13 czerwca 2024 r. w sprawie wspólnych zasad rynków wewnętrznych gazu odnawialnego, gazu ziemnego i wodoru, zmieniająca dyrektywę (UE) 2023/1791 i uchylająca dyrektywę 2009/73/WE  (Dz.U. L, 2024/1788, 15.7.2024, ELI: </w:t>
      </w:r>
      <w:hyperlink r:id="rId5" w:history="1">
        <w:r w:rsidRPr="00665353">
          <w:rPr>
            <w:rStyle w:val="Hyperlink"/>
            <w:sz w:val="24"/>
            <w:lang w:val="pl-PL"/>
          </w:rPr>
          <w:t>http://data.europa.eu/eli/dir/2024/1788/oj</w:t>
        </w:r>
      </w:hyperlink>
      <w:r w:rsidRPr="00665353">
        <w:rPr>
          <w:sz w:val="24"/>
          <w:lang w:val="pl-PL"/>
        </w:rPr>
        <w:t>).</w:t>
      </w:r>
    </w:p>
  </w:footnote>
  <w:footnote w:id="8">
    <w:p w14:paraId="3D3DACDF" w14:textId="77777777" w:rsidR="00716E49" w:rsidRPr="00665353" w:rsidRDefault="00716E49" w:rsidP="00665353">
      <w:pPr>
        <w:pStyle w:val="FootnoteText"/>
        <w:ind w:left="567" w:hanging="567"/>
        <w:rPr>
          <w:sz w:val="24"/>
          <w:lang w:val="pl-PL"/>
        </w:rPr>
      </w:pPr>
      <w:r w:rsidRPr="00665353">
        <w:rPr>
          <w:rStyle w:val="FootnoteReference"/>
          <w:sz w:val="24"/>
          <w:lang w:val="pl-PL"/>
        </w:rPr>
        <w:footnoteRef/>
      </w:r>
      <w:r w:rsidR="00665353" w:rsidRPr="00665353">
        <w:rPr>
          <w:sz w:val="24"/>
          <w:lang w:val="pl-PL"/>
        </w:rPr>
        <w:t xml:space="preserve"> </w:t>
      </w:r>
      <w:r w:rsidR="00665353" w:rsidRPr="00665353">
        <w:rPr>
          <w:sz w:val="24"/>
          <w:lang w:val="pl-PL"/>
        </w:rPr>
        <w:tab/>
      </w:r>
      <w:r w:rsidRPr="00665353">
        <w:rPr>
          <w:sz w:val="24"/>
          <w:lang w:val="pl-PL"/>
        </w:rPr>
        <w:t xml:space="preserve">Rozporządzenie delegowane Komisji (UE) 2023/1184 z dnia 10 lutego 2023 r. uzupełniające dyrektywę Parlamentu Europejskiego i Rady (UE) 2018/2001 przez ustanowienie unijnej metodyki określającej szczegółowe zasady produkcji odnawialnych ciekłych i gazowych paliw transportowych pochodzenia </w:t>
      </w:r>
      <w:proofErr w:type="spellStart"/>
      <w:r w:rsidRPr="00665353">
        <w:rPr>
          <w:sz w:val="24"/>
          <w:lang w:val="pl-PL"/>
        </w:rPr>
        <w:t>niebiologicznego</w:t>
      </w:r>
      <w:proofErr w:type="spellEnd"/>
      <w:r w:rsidRPr="00665353">
        <w:rPr>
          <w:sz w:val="24"/>
          <w:lang w:val="pl-PL"/>
        </w:rPr>
        <w:t xml:space="preserve"> (Dz.U. L 157 z 20.6.2023, s. 11, ELI: </w:t>
      </w:r>
      <w:hyperlink r:id="rId6" w:history="1">
        <w:r w:rsidRPr="00665353">
          <w:rPr>
            <w:rStyle w:val="Hyperlink"/>
            <w:sz w:val="24"/>
            <w:lang w:val="pl-PL"/>
          </w:rPr>
          <w:t>http://data.europa.eu/eli/reg_del/2023/1184/oj</w:t>
        </w:r>
      </w:hyperlink>
      <w:r w:rsidRPr="00665353">
        <w:rPr>
          <w:sz w:val="24"/>
          <w:lang w:val="pl-PL"/>
        </w:rPr>
        <w:t>).</w:t>
      </w:r>
    </w:p>
  </w:footnote>
  <w:footnote w:id="9">
    <w:p w14:paraId="021DB28B" w14:textId="77777777" w:rsidR="00716E49" w:rsidRPr="00665353" w:rsidRDefault="00716E49" w:rsidP="00665353">
      <w:pPr>
        <w:pStyle w:val="FootnoteText"/>
        <w:ind w:left="567" w:hanging="567"/>
        <w:rPr>
          <w:sz w:val="24"/>
          <w:lang w:val="pl-PL"/>
        </w:rPr>
      </w:pPr>
      <w:r w:rsidRPr="00665353">
        <w:rPr>
          <w:rStyle w:val="FootnoteReference"/>
          <w:sz w:val="24"/>
          <w:lang w:val="pl-PL"/>
        </w:rPr>
        <w:footnoteRef/>
      </w:r>
      <w:r w:rsidR="00665353" w:rsidRPr="00665353">
        <w:rPr>
          <w:sz w:val="24"/>
          <w:lang w:val="pl-PL"/>
        </w:rPr>
        <w:t xml:space="preserve"> </w:t>
      </w:r>
      <w:r w:rsidR="00665353" w:rsidRPr="00665353">
        <w:rPr>
          <w:sz w:val="24"/>
          <w:lang w:val="pl-PL"/>
        </w:rPr>
        <w:tab/>
      </w:r>
      <w:r w:rsidRPr="00665353">
        <w:rPr>
          <w:sz w:val="24"/>
          <w:lang w:val="pl-PL"/>
        </w:rPr>
        <w:t xml:space="preserve">Rozporządzenie Parlamentu Europejskiego i Rady (UE) 2024/1781 z dnia 13 czerwca 2024 r. w sprawie ustanowienia ram ustalania wymogów </w:t>
      </w:r>
      <w:proofErr w:type="spellStart"/>
      <w:r w:rsidRPr="00665353">
        <w:rPr>
          <w:sz w:val="24"/>
          <w:lang w:val="pl-PL"/>
        </w:rPr>
        <w:t>ekoprojektu</w:t>
      </w:r>
      <w:proofErr w:type="spellEnd"/>
      <w:r w:rsidRPr="00665353">
        <w:rPr>
          <w:sz w:val="24"/>
          <w:lang w:val="pl-PL"/>
        </w:rPr>
        <w:t xml:space="preserve"> w odniesieniu do zrównoważonych produktów oraz zmiany dyrektywy (UE) 2020/1828 i rozporządzenia (UE) 2023/1542 i uchylenia dyrektywy 2009/125/WE, (Dz.U. L, 2024/1781, 28.6.2024, ELI: </w:t>
      </w:r>
      <w:hyperlink r:id="rId7" w:history="1">
        <w:r w:rsidRPr="00665353">
          <w:rPr>
            <w:rStyle w:val="Hyperlink"/>
            <w:sz w:val="24"/>
            <w:lang w:val="pl-PL"/>
          </w:rPr>
          <w:t>http://data.europa.eu/eli/reg/2024/1781/oj</w:t>
        </w:r>
      </w:hyperlink>
      <w:r w:rsidRPr="00665353">
        <w:rPr>
          <w:sz w:val="24"/>
          <w:lang w:val="pl-PL"/>
        </w:rPr>
        <w:t>).</w:t>
      </w:r>
    </w:p>
  </w:footnote>
  <w:footnote w:id="10">
    <w:p w14:paraId="48573591" w14:textId="77777777" w:rsidR="00716E49" w:rsidRPr="00665353" w:rsidRDefault="00716E49" w:rsidP="00665353">
      <w:pPr>
        <w:pStyle w:val="FootnoteText"/>
        <w:ind w:left="567" w:hanging="567"/>
        <w:rPr>
          <w:sz w:val="24"/>
          <w:lang w:val="pl-PL"/>
        </w:rPr>
      </w:pPr>
      <w:r w:rsidRPr="00665353">
        <w:rPr>
          <w:sz w:val="24"/>
          <w:vertAlign w:val="superscript"/>
          <w:lang w:val="pl-PL"/>
        </w:rPr>
        <w:footnoteRef/>
      </w:r>
      <w:r w:rsidR="00665353" w:rsidRPr="00665353">
        <w:rPr>
          <w:sz w:val="24"/>
          <w:lang w:val="pl-PL"/>
        </w:rPr>
        <w:t xml:space="preserve"> </w:t>
      </w:r>
      <w:r w:rsidR="00665353" w:rsidRPr="00665353">
        <w:rPr>
          <w:sz w:val="24"/>
          <w:lang w:val="pl-PL"/>
        </w:rPr>
        <w:tab/>
      </w:r>
      <w:r w:rsidRPr="00665353">
        <w:rPr>
          <w:sz w:val="24"/>
          <w:lang w:val="pl-PL"/>
        </w:rPr>
        <w:t>Rozporządzenie Parlamentu Europejskiego i Rady (UE) 2024/3110 z dnia 27 listopada 2024 r. w sprawie ustanowienia zharmonizowanych zasad wprowadzania do obrotu wyrobów budowlanych i uchylenia rozporządzenia (UE) nr 305/2011 (Dz.U. L, 2024/3110, 18.12.2024, ELI: </w:t>
      </w:r>
      <w:hyperlink r:id="rId8" w:history="1">
        <w:r w:rsidRPr="00665353">
          <w:rPr>
            <w:rStyle w:val="Hyperlink"/>
            <w:sz w:val="24"/>
            <w:lang w:val="pl-PL"/>
          </w:rPr>
          <w:t>http://data.europa.eu/eli/reg/2024/3110/oj</w:t>
        </w:r>
      </w:hyperlink>
      <w:r w:rsidRPr="00665353">
        <w:rPr>
          <w:sz w:val="24"/>
          <w:lang w:val="pl-PL"/>
        </w:rPr>
        <w:t>).</w:t>
      </w:r>
    </w:p>
  </w:footnote>
  <w:footnote w:id="11">
    <w:p w14:paraId="54AEE8EC" w14:textId="77777777" w:rsidR="00716E49" w:rsidRPr="00665353" w:rsidRDefault="00716E49" w:rsidP="00665353">
      <w:pPr>
        <w:pStyle w:val="FootnoteText"/>
        <w:ind w:left="567" w:hanging="567"/>
        <w:rPr>
          <w:sz w:val="24"/>
          <w:lang w:val="pl-PL"/>
        </w:rPr>
      </w:pPr>
      <w:r w:rsidRPr="00665353">
        <w:rPr>
          <w:rStyle w:val="FootnoteReference"/>
          <w:sz w:val="24"/>
          <w:lang w:val="pl-PL"/>
        </w:rPr>
        <w:footnoteRef/>
      </w:r>
      <w:r w:rsidR="00665353" w:rsidRPr="00665353">
        <w:rPr>
          <w:sz w:val="24"/>
          <w:lang w:val="pl-PL"/>
        </w:rPr>
        <w:t xml:space="preserve"> </w:t>
      </w:r>
      <w:r w:rsidR="00665353" w:rsidRPr="00665353">
        <w:rPr>
          <w:sz w:val="24"/>
          <w:lang w:val="pl-PL"/>
        </w:rPr>
        <w:tab/>
      </w:r>
      <w:r w:rsidRPr="00665353">
        <w:rPr>
          <w:sz w:val="24"/>
          <w:lang w:val="pl-PL"/>
        </w:rPr>
        <w:t>Rozporządzenie Parlamentu Europejskiego i Rady (UE) 2024/1252 z dnia 11 kwietnia 2024 r. w sprawie ustanowienia ram na potrzeby zapewnienia bezpiecznych i zrównoważonych dostaw surowców krytycznych oraz zmiany rozporządzeń (UE) nr 168/2013, (UE) 2018/858, (UE) 2018/1724 i (UE) 2019/1020 (Dz.U. L, 2024/1252, 3.5.2024, ELI: </w:t>
      </w:r>
      <w:hyperlink r:id="rId9" w:history="1">
        <w:r w:rsidRPr="00665353">
          <w:rPr>
            <w:rStyle w:val="Hyperlink"/>
            <w:sz w:val="24"/>
            <w:lang w:val="pl-PL"/>
          </w:rPr>
          <w:t>http://data.europa.eu/eli/reg/2024/1252/oj</w:t>
        </w:r>
      </w:hyperlink>
      <w:r w:rsidRPr="00665353">
        <w:rPr>
          <w:sz w:val="24"/>
          <w:lang w:val="pl-PL"/>
        </w:rPr>
        <w:t>).</w:t>
      </w:r>
    </w:p>
  </w:footnote>
  <w:footnote w:id="12">
    <w:p w14:paraId="552A9022" w14:textId="77777777" w:rsidR="00716E49" w:rsidRPr="00665353" w:rsidRDefault="00716E49" w:rsidP="00665353">
      <w:pPr>
        <w:pStyle w:val="FootnoteText"/>
        <w:ind w:left="567" w:hanging="567"/>
        <w:rPr>
          <w:sz w:val="24"/>
          <w:lang w:val="pl-PL"/>
        </w:rPr>
      </w:pPr>
      <w:r w:rsidRPr="00665353">
        <w:rPr>
          <w:rStyle w:val="FootnoteReference"/>
          <w:sz w:val="24"/>
          <w:lang w:val="pl-PL"/>
        </w:rPr>
        <w:footnoteRef/>
      </w:r>
      <w:r w:rsidR="00665353" w:rsidRPr="00665353">
        <w:rPr>
          <w:sz w:val="24"/>
          <w:lang w:val="pl-PL"/>
        </w:rPr>
        <w:t xml:space="preserve"> </w:t>
      </w:r>
      <w:r w:rsidR="00665353" w:rsidRPr="00665353">
        <w:rPr>
          <w:sz w:val="24"/>
          <w:lang w:val="pl-PL"/>
        </w:rPr>
        <w:tab/>
      </w:r>
      <w:r w:rsidRPr="00665353">
        <w:rPr>
          <w:sz w:val="24"/>
          <w:lang w:val="pl-PL"/>
        </w:rPr>
        <w:t>Rozporządzenie Parlamentu Europejskiego i Rady (UE) 2024/1157 z dnia 11 kwietnia 2024 r. w sprawie przemieszczania odpadów, zmiany rozporządzeń (UE) nr 1257/2013 i (UE) 2020/1056 oraz uchylenia rozporządzenia (WE) nr 1013/2006 (Dz.U. L, 2024/1157, 30.4.2024, ELI:</w:t>
      </w:r>
      <w:r w:rsidR="00F058F3">
        <w:rPr>
          <w:sz w:val="24"/>
          <w:lang w:val="pl-PL"/>
        </w:rPr>
        <w:t xml:space="preserve"> </w:t>
      </w:r>
      <w:hyperlink r:id="rId10" w:history="1">
        <w:r w:rsidRPr="00665353">
          <w:rPr>
            <w:rStyle w:val="Hyperlink"/>
            <w:sz w:val="24"/>
            <w:lang w:val="pl-PL"/>
          </w:rPr>
          <w:t>http://data.europa.eu/eli/reg/2024/1157/oj</w:t>
        </w:r>
      </w:hyperlink>
      <w:r w:rsidRPr="00665353">
        <w:rPr>
          <w:sz w:val="24"/>
          <w:lang w:val="pl-PL"/>
        </w:rPr>
        <w:t>).</w:t>
      </w:r>
    </w:p>
  </w:footnote>
  <w:footnote w:id="13">
    <w:p w14:paraId="5CE83F7E" w14:textId="77777777" w:rsidR="00716E49" w:rsidRPr="00665353" w:rsidRDefault="00716E49" w:rsidP="00665353">
      <w:pPr>
        <w:pStyle w:val="FootnoteText"/>
        <w:ind w:left="567" w:hanging="567"/>
        <w:rPr>
          <w:sz w:val="24"/>
          <w:lang w:val="pl-PL"/>
        </w:rPr>
      </w:pPr>
      <w:r w:rsidRPr="00665353">
        <w:rPr>
          <w:rStyle w:val="FootnoteReference"/>
          <w:sz w:val="24"/>
          <w:lang w:val="pl-PL"/>
        </w:rPr>
        <w:footnoteRef/>
      </w:r>
      <w:r w:rsidR="00665353" w:rsidRPr="00665353">
        <w:rPr>
          <w:sz w:val="24"/>
          <w:lang w:val="pl-PL"/>
        </w:rPr>
        <w:t xml:space="preserve"> </w:t>
      </w:r>
      <w:r w:rsidR="00665353" w:rsidRPr="00665353">
        <w:rPr>
          <w:sz w:val="24"/>
          <w:lang w:val="pl-PL"/>
        </w:rPr>
        <w:tab/>
      </w:r>
      <w:r w:rsidRPr="00665353">
        <w:rPr>
          <w:sz w:val="24"/>
          <w:lang w:val="pl-PL"/>
        </w:rPr>
        <w:t>Rozporządzenie Parlamentu Europejskiego i Rady (UE) 2022/2560 z dnia 14 grudnia 2022 r. w sprawie subsydiów zagranicznych zakłócających rynek wewnętrzny (Dz.U. L 330 z 23.12.2022, s. 1, ELI:</w:t>
      </w:r>
      <w:r w:rsidR="00F058F3">
        <w:rPr>
          <w:sz w:val="24"/>
          <w:lang w:val="pl-PL"/>
        </w:rPr>
        <w:t xml:space="preserve"> </w:t>
      </w:r>
      <w:r w:rsidR="00810A06">
        <w:fldChar w:fldCharType="begin"/>
      </w:r>
      <w:r w:rsidR="00810A06" w:rsidRPr="0069584A">
        <w:rPr>
          <w:lang w:val="pl-PL"/>
        </w:rPr>
        <w:instrText>HYPERLINK "http://data.europa.eu/eli/reg/2022/2560/oj"</w:instrText>
      </w:r>
      <w:r w:rsidR="00810A06">
        <w:fldChar w:fldCharType="separate"/>
      </w:r>
      <w:r w:rsidRPr="00665353">
        <w:rPr>
          <w:rStyle w:val="Hyperlink"/>
          <w:sz w:val="24"/>
          <w:lang w:val="pl-PL"/>
        </w:rPr>
        <w:t>http://data.europa.eu/eli/reg/2022/2560/oj</w:t>
      </w:r>
      <w:r w:rsidR="00810A06">
        <w:rPr>
          <w:rStyle w:val="Hyperlink"/>
          <w:sz w:val="24"/>
          <w:lang w:val="pl-PL"/>
        </w:rPr>
        <w:fldChar w:fldCharType="end"/>
      </w:r>
      <w:r w:rsidRPr="00665353">
        <w:rPr>
          <w:sz w:val="24"/>
          <w:lang w:val="pl-PL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3605F" w14:textId="77777777" w:rsidR="00064002" w:rsidRPr="0066535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E9AE9F" w14:textId="77777777" w:rsidR="00064002" w:rsidRPr="0066535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49DF8" w14:textId="77777777" w:rsidR="00064002" w:rsidRPr="0066535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49719686">
    <w:abstractNumId w:val="9"/>
  </w:num>
  <w:num w:numId="2" w16cid:durableId="1279802035">
    <w:abstractNumId w:val="9"/>
  </w:num>
  <w:num w:numId="3" w16cid:durableId="526797718">
    <w:abstractNumId w:val="7"/>
  </w:num>
  <w:num w:numId="4" w16cid:durableId="1809781495">
    <w:abstractNumId w:val="7"/>
  </w:num>
  <w:num w:numId="5" w16cid:durableId="1293632272">
    <w:abstractNumId w:val="6"/>
  </w:num>
  <w:num w:numId="6" w16cid:durableId="995383145">
    <w:abstractNumId w:val="6"/>
  </w:num>
  <w:num w:numId="7" w16cid:durableId="1268847113">
    <w:abstractNumId w:val="5"/>
  </w:num>
  <w:num w:numId="8" w16cid:durableId="211498534">
    <w:abstractNumId w:val="5"/>
  </w:num>
  <w:num w:numId="9" w16cid:durableId="2011567631">
    <w:abstractNumId w:val="4"/>
  </w:num>
  <w:num w:numId="10" w16cid:durableId="586184440">
    <w:abstractNumId w:val="4"/>
  </w:num>
  <w:num w:numId="11" w16cid:durableId="1010985315">
    <w:abstractNumId w:val="8"/>
  </w:num>
  <w:num w:numId="12" w16cid:durableId="763384384">
    <w:abstractNumId w:val="8"/>
  </w:num>
  <w:num w:numId="13" w16cid:durableId="859705887">
    <w:abstractNumId w:val="3"/>
  </w:num>
  <w:num w:numId="14" w16cid:durableId="2022006363">
    <w:abstractNumId w:val="3"/>
  </w:num>
  <w:num w:numId="15" w16cid:durableId="465242717">
    <w:abstractNumId w:val="2"/>
  </w:num>
  <w:num w:numId="16" w16cid:durableId="1586302938">
    <w:abstractNumId w:val="2"/>
  </w:num>
  <w:num w:numId="17" w16cid:durableId="1440761084">
    <w:abstractNumId w:val="1"/>
  </w:num>
  <w:num w:numId="18" w16cid:durableId="1578588969">
    <w:abstractNumId w:val="1"/>
  </w:num>
  <w:num w:numId="19" w16cid:durableId="594479601">
    <w:abstractNumId w:val="0"/>
  </w:num>
  <w:num w:numId="20" w16cid:durableId="1340044178">
    <w:abstractNumId w:val="0"/>
  </w:num>
  <w:num w:numId="21" w16cid:durableId="647513104">
    <w:abstractNumId w:val="9"/>
  </w:num>
  <w:num w:numId="22" w16cid:durableId="1170871990">
    <w:abstractNumId w:val="7"/>
  </w:num>
  <w:num w:numId="23" w16cid:durableId="1373848117">
    <w:abstractNumId w:val="6"/>
  </w:num>
  <w:num w:numId="24" w16cid:durableId="1076320907">
    <w:abstractNumId w:val="5"/>
  </w:num>
  <w:num w:numId="25" w16cid:durableId="1391077593">
    <w:abstractNumId w:val="4"/>
  </w:num>
  <w:num w:numId="26" w16cid:durableId="607546619">
    <w:abstractNumId w:val="8"/>
  </w:num>
  <w:num w:numId="27" w16cid:durableId="1472939636">
    <w:abstractNumId w:val="3"/>
  </w:num>
  <w:num w:numId="28" w16cid:durableId="1336347429">
    <w:abstractNumId w:val="2"/>
  </w:num>
  <w:num w:numId="29" w16cid:durableId="692264532">
    <w:abstractNumId w:val="1"/>
  </w:num>
  <w:num w:numId="30" w16cid:durableId="964198386">
    <w:abstractNumId w:val="0"/>
  </w:num>
  <w:num w:numId="31" w16cid:durableId="1242254529">
    <w:abstractNumId w:val="9"/>
  </w:num>
  <w:num w:numId="32" w16cid:durableId="1103498030">
    <w:abstractNumId w:val="7"/>
  </w:num>
  <w:num w:numId="33" w16cid:durableId="1890149240">
    <w:abstractNumId w:val="6"/>
  </w:num>
  <w:num w:numId="34" w16cid:durableId="1621952125">
    <w:abstractNumId w:val="5"/>
  </w:num>
  <w:num w:numId="35" w16cid:durableId="1847088542">
    <w:abstractNumId w:val="4"/>
  </w:num>
  <w:num w:numId="36" w16cid:durableId="398865361">
    <w:abstractNumId w:val="8"/>
  </w:num>
  <w:num w:numId="37" w16cid:durableId="1412505058">
    <w:abstractNumId w:val="3"/>
  </w:num>
  <w:num w:numId="38" w16cid:durableId="9069813">
    <w:abstractNumId w:val="2"/>
  </w:num>
  <w:num w:numId="39" w16cid:durableId="157814222">
    <w:abstractNumId w:val="1"/>
  </w:num>
  <w:num w:numId="40" w16cid:durableId="1210654664">
    <w:abstractNumId w:val="0"/>
  </w:num>
  <w:num w:numId="41" w16cid:durableId="2032023885">
    <w:abstractNumId w:val="10"/>
  </w:num>
  <w:num w:numId="42" w16cid:durableId="233011675">
    <w:abstractNumId w:val="10"/>
  </w:num>
  <w:num w:numId="43" w16cid:durableId="898637762">
    <w:abstractNumId w:val="10"/>
  </w:num>
  <w:num w:numId="44" w16cid:durableId="25462979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B10-0277/2025"/>
    <w:docVar w:name="dvlangue" w:val="PL"/>
    <w:docVar w:name="dvnumam" w:val="0"/>
    <w:docVar w:name="dvpe" w:val="773.358"/>
    <w:docVar w:name="dvtitre" w:val="Rezolucja Parlamentu Europejskiego z dnia  2025 r. w sprawie Paktu dla czystego przemysłu(2025/2656(RSP))"/>
  </w:docVars>
  <w:rsids>
    <w:rsidRoot w:val="0094461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79A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65353"/>
    <w:rsid w:val="00680577"/>
    <w:rsid w:val="0069584A"/>
    <w:rsid w:val="006F74FA"/>
    <w:rsid w:val="00716E49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0A06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461E"/>
    <w:rsid w:val="009509D8"/>
    <w:rsid w:val="00950B64"/>
    <w:rsid w:val="00981893"/>
    <w:rsid w:val="009D390E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58F3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148741"/>
  <w15:chartTrackingRefBased/>
  <w15:docId w15:val="{3C8E890F-E654-4407-8611-6A6758A3F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716E49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716E4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24/3110/oj" TargetMode="External"/><Relationship Id="rId3" Type="http://schemas.openxmlformats.org/officeDocument/2006/relationships/hyperlink" Target="http://data.europa.eu/eli/dir/2023/2413/oj" TargetMode="External"/><Relationship Id="rId7" Type="http://schemas.openxmlformats.org/officeDocument/2006/relationships/hyperlink" Target="http://data.europa.eu/eli/reg/2024/1781/oj" TargetMode="External"/><Relationship Id="rId2" Type="http://schemas.openxmlformats.org/officeDocument/2006/relationships/hyperlink" Target="http://data.europa.eu/eli/dir/2003/96/oj" TargetMode="External"/><Relationship Id="rId1" Type="http://schemas.openxmlformats.org/officeDocument/2006/relationships/hyperlink" Target="http://data.europa.eu/eli/reg/2018/1999/oj" TargetMode="External"/><Relationship Id="rId6" Type="http://schemas.openxmlformats.org/officeDocument/2006/relationships/hyperlink" Target="http://data.europa.eu/eli/reg_del/2023/1184/oj" TargetMode="External"/><Relationship Id="rId5" Type="http://schemas.openxmlformats.org/officeDocument/2006/relationships/hyperlink" Target="http://data.europa.eu/eli/dir/2024/1788/oj" TargetMode="External"/><Relationship Id="rId10" Type="http://schemas.openxmlformats.org/officeDocument/2006/relationships/hyperlink" Target="http://data.europa.eu/eli/reg/2024/1157/oj" TargetMode="External"/><Relationship Id="rId4" Type="http://schemas.openxmlformats.org/officeDocument/2006/relationships/hyperlink" Target="http://data.europa.eu/eli/reg/2024/1735/oj" TargetMode="External"/><Relationship Id="rId9" Type="http://schemas.openxmlformats.org/officeDocument/2006/relationships/hyperlink" Target="http://data.europa.eu/eli/reg/2024/125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1BD7C6-8572-472C-A241-357740B0F9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2488</Words>
  <Characters>17648</Characters>
  <Application>Microsoft Office Word</Application>
  <DocSecurity>0</DocSecurity>
  <Lines>147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ZALESKI Tomasz</cp:lastModifiedBy>
  <cp:revision>2</cp:revision>
  <cp:lastPrinted>2004-11-19T15:42:00Z</cp:lastPrinted>
  <dcterms:created xsi:type="dcterms:W3CDTF">2025-07-14T09:56:00Z</dcterms:created>
  <dcterms:modified xsi:type="dcterms:W3CDTF">2025-07-14T09:56:00Z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P10_TA(2025)0137_</vt:lpwstr>
  </property>
  <property fmtid="{D5CDD505-2E9C-101B-9397-08002B2CF9AE}" pid="4" name="&lt;Type&gt;">
    <vt:lpwstr>RR</vt:lpwstr>
  </property>
</Properties>
</file>