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77DF3" w14:paraId="2781AFA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C27FE51" w14:textId="77777777" w:rsidR="00751A4A" w:rsidRPr="00277DF3" w:rsidRDefault="0054234C" w:rsidP="0010095E">
            <w:pPr>
              <w:pStyle w:val="EPName"/>
            </w:pPr>
            <w:r w:rsidRPr="00277DF3">
              <w:t>Európsky parlament</w:t>
            </w:r>
          </w:p>
          <w:p w14:paraId="75541B40" w14:textId="77777777" w:rsidR="00751A4A" w:rsidRPr="00277DF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77DF3">
              <w:t>2024</w:t>
            </w:r>
            <w:r w:rsidR="00817416" w:rsidRPr="00277DF3">
              <w:t>-202</w:t>
            </w:r>
            <w:r w:rsidRPr="00277DF3">
              <w:t>9</w:t>
            </w:r>
          </w:p>
        </w:tc>
        <w:tc>
          <w:tcPr>
            <w:tcW w:w="2268" w:type="dxa"/>
            <w:shd w:val="clear" w:color="auto" w:fill="auto"/>
          </w:tcPr>
          <w:p w14:paraId="36A65E70" w14:textId="77777777" w:rsidR="00751A4A" w:rsidRPr="00277DF3" w:rsidRDefault="00187494" w:rsidP="0010095E">
            <w:pPr>
              <w:pStyle w:val="EPLogo"/>
            </w:pPr>
            <w:r w:rsidRPr="00277DF3">
              <w:rPr>
                <w:noProof/>
                <w:lang w:val="en-GB"/>
              </w:rPr>
              <w:drawing>
                <wp:inline distT="0" distB="0" distL="0" distR="0" wp14:anchorId="4DB70434" wp14:editId="0129119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53C5FA7" w14:textId="77777777" w:rsidR="00D058B8" w:rsidRPr="00277DF3" w:rsidRDefault="00D058B8" w:rsidP="004C5D52">
      <w:pPr>
        <w:pStyle w:val="LineTop"/>
      </w:pPr>
    </w:p>
    <w:p w14:paraId="682E562B" w14:textId="77777777" w:rsidR="00680577" w:rsidRPr="00277DF3" w:rsidRDefault="0054234C" w:rsidP="00680577">
      <w:pPr>
        <w:pStyle w:val="EPBodyTA1"/>
      </w:pPr>
      <w:r w:rsidRPr="00277DF3">
        <w:t>PRIJATÉ TEXTY</w:t>
      </w:r>
    </w:p>
    <w:p w14:paraId="54AC9AEB" w14:textId="77777777" w:rsidR="00D058B8" w:rsidRPr="00277DF3" w:rsidRDefault="00D058B8" w:rsidP="00D058B8">
      <w:pPr>
        <w:pStyle w:val="LineBottom"/>
      </w:pPr>
    </w:p>
    <w:p w14:paraId="7CC00767" w14:textId="48003D12" w:rsidR="0054234C" w:rsidRPr="00277DF3" w:rsidRDefault="0054234C" w:rsidP="0054234C">
      <w:pPr>
        <w:pStyle w:val="ATHeading1"/>
      </w:pPr>
      <w:bookmarkStart w:id="0" w:name="TANumber"/>
      <w:r w:rsidRPr="00277DF3">
        <w:t>P10_TA(2025)0</w:t>
      </w:r>
      <w:r w:rsidR="00DF02D9">
        <w:t>137</w:t>
      </w:r>
      <w:bookmarkEnd w:id="0"/>
    </w:p>
    <w:p w14:paraId="6DE8F90B" w14:textId="77777777" w:rsidR="0054234C" w:rsidRPr="00277DF3" w:rsidRDefault="0054234C" w:rsidP="0054234C">
      <w:pPr>
        <w:pStyle w:val="ATHeading2"/>
      </w:pPr>
      <w:bookmarkStart w:id="1" w:name="title"/>
      <w:r w:rsidRPr="00277DF3">
        <w:t>Dohoda o čistom priemysle</w:t>
      </w:r>
      <w:bookmarkEnd w:id="1"/>
    </w:p>
    <w:p w14:paraId="1DA71A4D" w14:textId="77777777" w:rsidR="0054234C" w:rsidRPr="00277DF3" w:rsidRDefault="0054234C" w:rsidP="0054234C">
      <w:pPr>
        <w:rPr>
          <w:i/>
          <w:vanish/>
        </w:rPr>
      </w:pPr>
      <w:r w:rsidRPr="00277DF3">
        <w:rPr>
          <w:i/>
        </w:rPr>
        <w:fldChar w:fldCharType="begin"/>
      </w:r>
      <w:r w:rsidRPr="00277DF3">
        <w:rPr>
          <w:i/>
        </w:rPr>
        <w:instrText xml:space="preserve"> TC"(</w:instrText>
      </w:r>
      <w:bookmarkStart w:id="2" w:name="DocNumber"/>
      <w:r w:rsidRPr="00277DF3">
        <w:rPr>
          <w:i/>
        </w:rPr>
        <w:instrText>B10-0277/2025</w:instrText>
      </w:r>
      <w:bookmarkEnd w:id="2"/>
      <w:r w:rsidRPr="00277DF3">
        <w:rPr>
          <w:i/>
        </w:rPr>
        <w:instrText xml:space="preserve">)"\l3 \n&gt; \* MERGEFORMAT </w:instrText>
      </w:r>
      <w:r w:rsidRPr="00277DF3">
        <w:rPr>
          <w:i/>
        </w:rPr>
        <w:fldChar w:fldCharType="end"/>
      </w:r>
    </w:p>
    <w:p w14:paraId="2EA8C6D4" w14:textId="77777777" w:rsidR="0054234C" w:rsidRPr="00277DF3" w:rsidRDefault="0054234C" w:rsidP="0054234C">
      <w:pPr>
        <w:rPr>
          <w:vanish/>
        </w:rPr>
      </w:pPr>
      <w:bookmarkStart w:id="3" w:name="PE"/>
      <w:r w:rsidRPr="00277DF3">
        <w:rPr>
          <w:vanish/>
        </w:rPr>
        <w:t>PE773.358</w:t>
      </w:r>
      <w:bookmarkEnd w:id="3"/>
    </w:p>
    <w:p w14:paraId="1BE0781A" w14:textId="7F15B7AF" w:rsidR="0054234C" w:rsidRPr="00277DF3" w:rsidRDefault="0054234C" w:rsidP="0054234C">
      <w:pPr>
        <w:pStyle w:val="ATHeading3"/>
      </w:pPr>
      <w:bookmarkStart w:id="4" w:name="Sujet"/>
      <w:r w:rsidRPr="00277DF3">
        <w:t>Uznesenie Európskeho parlamentu z</w:t>
      </w:r>
      <w:r w:rsidR="00821C5B">
        <w:t> 19</w:t>
      </w:r>
      <w:r w:rsidRPr="00277DF3">
        <w:t>. júna 2025 o dohode o čistom priemysle</w:t>
      </w:r>
      <w:bookmarkEnd w:id="4"/>
      <w:r w:rsidRPr="00277DF3">
        <w:t xml:space="preserve"> </w:t>
      </w:r>
      <w:bookmarkStart w:id="5" w:name="References"/>
      <w:r w:rsidRPr="00277DF3">
        <w:t>(2025/2656(RSP))</w:t>
      </w:r>
      <w:bookmarkEnd w:id="5"/>
    </w:p>
    <w:p w14:paraId="0D6C430F" w14:textId="77777777" w:rsidR="0054234C" w:rsidRPr="00277DF3" w:rsidRDefault="0054234C" w:rsidP="0054234C"/>
    <w:p w14:paraId="6E11A37A" w14:textId="6639EEC3" w:rsidR="009517BF" w:rsidRPr="00332155" w:rsidRDefault="009517BF" w:rsidP="009517BF">
      <w:pPr>
        <w:widowControl/>
        <w:suppressAutoHyphens/>
        <w:autoSpaceDN w:val="0"/>
        <w:spacing w:after="240"/>
        <w:jc w:val="both"/>
        <w:textAlignment w:val="baseline"/>
        <w:rPr>
          <w:i/>
          <w:iCs/>
          <w:szCs w:val="24"/>
        </w:rPr>
      </w:pPr>
      <w:bookmarkStart w:id="6" w:name="TextBodyBegin"/>
      <w:bookmarkEnd w:id="6"/>
      <w:r w:rsidRPr="00332155">
        <w:rPr>
          <w:i/>
          <w:iCs/>
        </w:rPr>
        <w:t>Európsky parlament,</w:t>
      </w:r>
    </w:p>
    <w:p w14:paraId="35B9678C" w14:textId="77777777" w:rsidR="009517BF" w:rsidRPr="00277DF3" w:rsidRDefault="009517BF" w:rsidP="009517BF">
      <w:pPr>
        <w:pStyle w:val="NormalHanging12a"/>
      </w:pPr>
      <w:r w:rsidRPr="00277DF3">
        <w:t>–</w:t>
      </w:r>
      <w:r w:rsidRPr="00277DF3">
        <w:tab/>
        <w:t>so zreteľom na oznámenie Komisie z 26. februára 2025 s názvom Dohoda o čistom priemysle: spoločný plán konkurencieschopnosti a dekarbonizácie (COM(2025)0085),</w:t>
      </w:r>
    </w:p>
    <w:p w14:paraId="24C632D0" w14:textId="77777777" w:rsidR="009517BF" w:rsidRPr="00277DF3" w:rsidRDefault="009517BF" w:rsidP="009517BF">
      <w:pPr>
        <w:pStyle w:val="NormalHanging12a"/>
      </w:pPr>
      <w:r w:rsidRPr="00277DF3">
        <w:t>–</w:t>
      </w:r>
      <w:r w:rsidRPr="00277DF3">
        <w:tab/>
        <w:t>so zreteľom na oznámenie Komisie z 26. februára 2025 s názvom Akčný plán pre cenovo dostupnú energiu – Využitie skutočnej hodnoty našej energetickej únie na zabezpečenie cenovo dostupnej, efektívnej a čistej energie pre všetkých európskych občanov (COM(2025)0079),</w:t>
      </w:r>
    </w:p>
    <w:p w14:paraId="62981DF1" w14:textId="77777777" w:rsidR="009517BF" w:rsidRPr="00277DF3" w:rsidRDefault="009517BF" w:rsidP="009517BF">
      <w:pPr>
        <w:pStyle w:val="NormalHanging12a"/>
        <w:rPr>
          <w:szCs w:val="24"/>
        </w:rPr>
      </w:pPr>
      <w:r w:rsidRPr="00277DF3">
        <w:t>–</w:t>
      </w:r>
      <w:r w:rsidRPr="00277DF3">
        <w:tab/>
        <w:t xml:space="preserve">so zreteľom na správu Maria </w:t>
      </w:r>
      <w:proofErr w:type="spellStart"/>
      <w:r w:rsidRPr="00277DF3">
        <w:t>Draghiho</w:t>
      </w:r>
      <w:proofErr w:type="spellEnd"/>
      <w:r w:rsidRPr="00277DF3">
        <w:t xml:space="preserve"> z 9. septembra 2024 s názvom Budúcnosť európskej konkurencieschopnosti,</w:t>
      </w:r>
    </w:p>
    <w:p w14:paraId="00C1923A" w14:textId="77777777" w:rsidR="009517BF" w:rsidRPr="00277DF3" w:rsidRDefault="009517BF" w:rsidP="009517BF">
      <w:pPr>
        <w:pStyle w:val="NormalHanging12a"/>
        <w:rPr>
          <w:szCs w:val="24"/>
        </w:rPr>
      </w:pPr>
      <w:r w:rsidRPr="00277DF3">
        <w:t>–</w:t>
      </w:r>
      <w:r w:rsidRPr="00277DF3">
        <w:tab/>
        <w:t xml:space="preserve">so zreteľom na správu </w:t>
      </w:r>
      <w:proofErr w:type="spellStart"/>
      <w:r w:rsidRPr="00277DF3">
        <w:t>Enrica</w:t>
      </w:r>
      <w:proofErr w:type="spellEnd"/>
      <w:r w:rsidRPr="00277DF3">
        <w:t xml:space="preserve"> </w:t>
      </w:r>
      <w:proofErr w:type="spellStart"/>
      <w:r w:rsidRPr="00277DF3">
        <w:t>Lettu</w:t>
      </w:r>
      <w:proofErr w:type="spellEnd"/>
      <w:r w:rsidRPr="00277DF3">
        <w:t xml:space="preserve"> z apríla 2024 s názvom Oveľa viac než len trh,</w:t>
      </w:r>
    </w:p>
    <w:p w14:paraId="1D136F39" w14:textId="77777777" w:rsidR="009517BF" w:rsidRPr="00277DF3" w:rsidRDefault="009517BF" w:rsidP="009517BF">
      <w:pPr>
        <w:pStyle w:val="NormalHanging12a"/>
        <w:rPr>
          <w:szCs w:val="24"/>
        </w:rPr>
      </w:pPr>
      <w:r w:rsidRPr="00277DF3">
        <w:t>–</w:t>
      </w:r>
      <w:r w:rsidRPr="00277DF3">
        <w:tab/>
        <w:t>so zreteľom na oznámenie Komisie z 29. januára 2025 s názvom Kompas konkurencieschopnosti pre EÚ (COM(2025)0030),</w:t>
      </w:r>
    </w:p>
    <w:p w14:paraId="0D9EA15F" w14:textId="77777777" w:rsidR="009517BF" w:rsidRPr="00277DF3" w:rsidRDefault="009517BF" w:rsidP="009517BF">
      <w:pPr>
        <w:pStyle w:val="NormalHanging12a"/>
        <w:rPr>
          <w:szCs w:val="24"/>
        </w:rPr>
      </w:pPr>
      <w:r w:rsidRPr="00277DF3">
        <w:t>–</w:t>
      </w:r>
      <w:r w:rsidRPr="00277DF3">
        <w:tab/>
        <w:t>so zreteľom na oznámenie Komisie z 19. marca 2025 s názvom Európsky akčný plán pre oceľ a kovy (COM(2025)0125),</w:t>
      </w:r>
    </w:p>
    <w:p w14:paraId="19A17951" w14:textId="77777777" w:rsidR="009517BF" w:rsidRPr="00277DF3" w:rsidRDefault="009517BF" w:rsidP="009517BF">
      <w:pPr>
        <w:pStyle w:val="NormalHanging12a"/>
        <w:rPr>
          <w:szCs w:val="24"/>
        </w:rPr>
      </w:pPr>
      <w:r w:rsidRPr="00277DF3">
        <w:t>–</w:t>
      </w:r>
      <w:r w:rsidRPr="00277DF3">
        <w:tab/>
        <w:t>so zreteľom na svoje uznesenie z 15. septembra 2022 o vykonávaní aktualizovanej novej priemyselnej stratégie pre Európu: zosúladenie výdavkov s politikou</w:t>
      </w:r>
      <w:r w:rsidRPr="00277DF3">
        <w:rPr>
          <w:rStyle w:val="FootnoteReference"/>
          <w:szCs w:val="24"/>
        </w:rPr>
        <w:footnoteReference w:id="1"/>
      </w:r>
      <w:r w:rsidRPr="00277DF3">
        <w:t>,</w:t>
      </w:r>
    </w:p>
    <w:p w14:paraId="62B7D24E" w14:textId="61296967" w:rsidR="009517BF" w:rsidRPr="00277DF3" w:rsidRDefault="009517BF" w:rsidP="009517BF">
      <w:pPr>
        <w:pStyle w:val="NormalHanging12a"/>
        <w:rPr>
          <w:szCs w:val="24"/>
        </w:rPr>
      </w:pPr>
      <w:r w:rsidRPr="00277DF3">
        <w:t>–</w:t>
      </w:r>
      <w:r w:rsidRPr="00277DF3">
        <w:tab/>
        <w:t>so zreteľom na svoje uznesenie z 3. apríla 2025 o energeticky náročných odvetviach</w:t>
      </w:r>
      <w:r w:rsidRPr="00277DF3">
        <w:rPr>
          <w:rStyle w:val="FootnoteReference"/>
          <w:szCs w:val="24"/>
        </w:rPr>
        <w:footnoteReference w:id="2"/>
      </w:r>
      <w:r w:rsidRPr="00277DF3">
        <w:t xml:space="preserve"> a súvisiacu otázku na ústne zodpovedanie O-00010/2025,</w:t>
      </w:r>
    </w:p>
    <w:p w14:paraId="410BF388" w14:textId="77777777" w:rsidR="009517BF" w:rsidRPr="00277DF3" w:rsidRDefault="009517BF" w:rsidP="009517BF">
      <w:pPr>
        <w:pStyle w:val="NormalHanging12a"/>
        <w:rPr>
          <w:bCs/>
          <w:iCs/>
          <w:szCs w:val="24"/>
        </w:rPr>
      </w:pPr>
      <w:r w:rsidRPr="00277DF3">
        <w:t>–</w:t>
      </w:r>
      <w:r w:rsidRPr="00277DF3">
        <w:tab/>
        <w:t>so zreteľom na oznámenie Komisie z 11. decembra 2019 o Európskej zelenej dohode (COM(2019)0640),</w:t>
      </w:r>
    </w:p>
    <w:p w14:paraId="028A8DDD" w14:textId="77777777" w:rsidR="009517BF" w:rsidRPr="00277DF3" w:rsidRDefault="009517BF" w:rsidP="009517BF">
      <w:pPr>
        <w:pStyle w:val="NormalHanging12a"/>
      </w:pPr>
      <w:r w:rsidRPr="00277DF3">
        <w:lastRenderedPageBreak/>
        <w:t>–</w:t>
      </w:r>
      <w:r w:rsidRPr="00277DF3">
        <w:tab/>
        <w:t>so zreteľom na správu Výboru pre priemysel, výskum a energetiku z 13. mája 2025 o elektrických sieťach: pilier energetického systému EÚ,</w:t>
      </w:r>
    </w:p>
    <w:p w14:paraId="18710884" w14:textId="051B3123" w:rsidR="009517BF" w:rsidRPr="00277DF3" w:rsidRDefault="009517BF" w:rsidP="009517BF">
      <w:pPr>
        <w:pStyle w:val="NormalHanging12a"/>
        <w:rPr>
          <w:szCs w:val="24"/>
        </w:rPr>
      </w:pPr>
      <w:r w:rsidRPr="00277DF3">
        <w:t>–</w:t>
      </w:r>
      <w:r w:rsidRPr="00277DF3">
        <w:tab/>
        <w:t>so zreteľom na otázku pre Komisiu O-000020/2025,</w:t>
      </w:r>
    </w:p>
    <w:p w14:paraId="43607065" w14:textId="77777777" w:rsidR="009517BF" w:rsidRPr="00277DF3" w:rsidRDefault="009517BF" w:rsidP="009517BF">
      <w:pPr>
        <w:pStyle w:val="NormalHanging12a"/>
        <w:rPr>
          <w:szCs w:val="24"/>
        </w:rPr>
      </w:pPr>
      <w:r w:rsidRPr="00277DF3">
        <w:t>–</w:t>
      </w:r>
      <w:r w:rsidRPr="00277DF3">
        <w:tab/>
        <w:t>so zreteľom na článok 142 ods. 5 a článok 136 ods. 2 rokovacieho poriadku,</w:t>
      </w:r>
    </w:p>
    <w:p w14:paraId="65C4A543" w14:textId="77777777" w:rsidR="009517BF" w:rsidRPr="00277DF3" w:rsidRDefault="009517BF" w:rsidP="009517BF">
      <w:pPr>
        <w:pStyle w:val="NormalHanging12a"/>
      </w:pPr>
      <w:r w:rsidRPr="00277DF3">
        <w:t>–</w:t>
      </w:r>
      <w:r w:rsidRPr="00277DF3">
        <w:tab/>
        <w:t>so zreteľom na návrh uznesenia Výboru pre priemysel, výskum a energetiku,</w:t>
      </w:r>
    </w:p>
    <w:p w14:paraId="4404DB9F" w14:textId="77777777" w:rsidR="009517BF" w:rsidRPr="00277DF3" w:rsidRDefault="009517BF" w:rsidP="009517BF">
      <w:pPr>
        <w:pStyle w:val="NormalHanging12a"/>
        <w:rPr>
          <w:szCs w:val="24"/>
        </w:rPr>
      </w:pPr>
      <w:r w:rsidRPr="00277DF3">
        <w:t>A.</w:t>
      </w:r>
      <w:r w:rsidRPr="00277DF3">
        <w:tab/>
        <w:t>keďže cieľom dohody o čistom priemysle (CID) je spojiť opatrenia v oblasti klímy a konkurencieschopnosť do jednej zastrešujúcej stratégie rastu zameranej na podporu energeticky náročných odvetví a sektora čistých technológií; keďže je to veľmi potrebné, keďže prechod na dekarbonizované a obehové hospodárstvo môže byť úspešný len vtedy, ak sa zachová konkurencieschopnosť;</w:t>
      </w:r>
    </w:p>
    <w:p w14:paraId="096A4C44" w14:textId="77777777" w:rsidR="009517BF" w:rsidRPr="00277DF3" w:rsidRDefault="009517BF" w:rsidP="009517BF">
      <w:pPr>
        <w:pStyle w:val="NormalHanging12a"/>
        <w:rPr>
          <w:szCs w:val="24"/>
        </w:rPr>
      </w:pPr>
      <w:r w:rsidRPr="00277DF3">
        <w:t>B.</w:t>
      </w:r>
      <w:r w:rsidRPr="00277DF3">
        <w:tab/>
        <w:t>keďže cieľom akčného plánu pre cenovo dostupnú energiu je zabezpečiť cenovo dostupnú čistú energiu a krátkodobú úľavu znížením účtov za energiu a zároveň urýchliť vykonávanie štrukturálnych reforiem a posilniť naše energetické systémy s cieľom zmierniť budúce cenové šoky;</w:t>
      </w:r>
    </w:p>
    <w:p w14:paraId="4DFC7696" w14:textId="77777777" w:rsidR="009517BF" w:rsidRPr="00277DF3" w:rsidRDefault="009517BF" w:rsidP="009517BF">
      <w:pPr>
        <w:pStyle w:val="NormalHanging12a"/>
        <w:rPr>
          <w:szCs w:val="24"/>
        </w:rPr>
      </w:pPr>
      <w:r w:rsidRPr="00277DF3">
        <w:t>C.</w:t>
      </w:r>
      <w:r w:rsidRPr="00277DF3">
        <w:tab/>
        <w:t>keďže európsky priemysel v súčasnosti čelí obrovským výzvam v súvislosti s vysokými cenami energie z fosílnych palív, nekalou medzinárodnou konkurenciou, stratou pracovných miest a nedostatkom kvalifikovaných pracovníkov, čo vedie k obmedzovaniu výroby, premiestňovaniu a zatváraniu závodov, čím sa zvyšuje naša závislosť od externých dodávateľov a oslabuje strategická autonómia, pričom hrozí, že inovácie, výroba a súvisiace emisie sa budú presúvať namiesto toho, aby sa riešili priamo pri zdroji;</w:t>
      </w:r>
    </w:p>
    <w:p w14:paraId="695E46EF" w14:textId="77777777" w:rsidR="009517BF" w:rsidRPr="00277DF3" w:rsidRDefault="009517BF" w:rsidP="009517BF">
      <w:pPr>
        <w:pStyle w:val="NormalHanging12a"/>
        <w:rPr>
          <w:szCs w:val="24"/>
        </w:rPr>
      </w:pPr>
      <w:r w:rsidRPr="00277DF3">
        <w:t>D.</w:t>
      </w:r>
      <w:r w:rsidRPr="00277DF3">
        <w:tab/>
        <w:t>keďže európsky priemysel je ochotný prejsť na udržateľnosť a prispieť k dosiahnutiu klimatickej neutrality do roku 2050, pričom dekarbonizovaná priemyselná základňa odolná voči budúcnosti môže ponúknuť významné príležitosti, ale hrozí, že projekty dekarbonizácie budú odložené, pretože ich podnikateľské opodstatnenie v rámci Európy už nie je výhodné;</w:t>
      </w:r>
    </w:p>
    <w:p w14:paraId="60D434FC" w14:textId="77777777" w:rsidR="009517BF" w:rsidRPr="00277DF3" w:rsidRDefault="009517BF" w:rsidP="009517BF">
      <w:pPr>
        <w:pStyle w:val="NormalHanging12a"/>
        <w:rPr>
          <w:rFonts w:eastAsia="Calibri"/>
          <w:szCs w:val="24"/>
        </w:rPr>
      </w:pPr>
      <w:r w:rsidRPr="00277DF3">
        <w:t>1.</w:t>
      </w:r>
      <w:r w:rsidRPr="00277DF3">
        <w:tab/>
        <w:t>víta dohodu o čistom priemysle ako dlho očakávaný prvý krok k posilneniu konkurencieschopnosti európskeho priemyslu a inovácií, strategickej autonómie, dekarbonizácie, prosperity a čistého rastu; naliehavo vyzýva Komisiu, aby urýchlene prešla od stratégie k činnosti a realizácii; uznáva, že navrhované opatrenia sa musia rozšíriť o ďalšie opatrenia; zdôrazňuje, že silná a dobre cielená priemyselná politika má zásadný význam pre zabezpečenie silnej a udržateľnej priemyselnej základne v Európe a pre vytváranie a udržanie kvalitných pracovných miest pri súčasnom znižovaní emisií uhlíka v našom hospodárstve, znižovaní znečistenia a posilňovaní odolnosti Európy;</w:t>
      </w:r>
    </w:p>
    <w:p w14:paraId="4801928B" w14:textId="77777777" w:rsidR="009517BF" w:rsidRPr="00277DF3" w:rsidRDefault="009517BF" w:rsidP="009517BF">
      <w:pPr>
        <w:pStyle w:val="NormalHanging12a"/>
        <w:rPr>
          <w:rFonts w:eastAsia="Calibri"/>
          <w:szCs w:val="24"/>
        </w:rPr>
      </w:pPr>
      <w:r w:rsidRPr="00277DF3">
        <w:t>2.</w:t>
      </w:r>
      <w:r w:rsidRPr="00277DF3">
        <w:tab/>
        <w:t xml:space="preserve">víta zriadenie banky pre dekarbonizáciu priemyslu s cieľom mobilizovať finančné prostriedky vo výške 100 miliárd EUR, ako aj ohlásený pilotný projekt s aukciou vo výške 1 miliardy EUR na dekarbonizáciu kľúčových priemyselných procesov v rôznych odvetviach podporujúcich dekarbonizáciu a elektrifikáciu priemyslu; zdôrazňuje význam zvýšenia investícií do výroby čistých technológií a prístupu ku kapitálu pre túto výrobu, a to aj prostredníctvom dodatočného financovania z inovačného fondu; vyzýva členské štáty na širšiu účasť na systémoch aukcií ako služby; vyzýva na prijatie investičných kritérií založených na vplyve na emisie uhlíka, škálovateľnosti a </w:t>
      </w:r>
      <w:r w:rsidRPr="00277DF3">
        <w:lastRenderedPageBreak/>
        <w:t>bezpečnosti dodávok; podporuje rozdielové zmluvy v oblasti uhlíka pri odstraňovaní rozdielov medzi cenou uhlíka a nákladmi na projekty priemyselného riadenia emisií oxidu uhličitého v odvetviach náročných na znižovanie emisií; zvažuje jej zriadenie ako rozpočtovej položky na zavádzanie priemyselných dekarbonizačných technológií v rámci riadenia Fondu pre konkurencieschopnosť;</w:t>
      </w:r>
    </w:p>
    <w:p w14:paraId="7F5FC704" w14:textId="77777777" w:rsidR="009517BF" w:rsidRPr="00277DF3" w:rsidRDefault="009517BF" w:rsidP="009517BF">
      <w:pPr>
        <w:pStyle w:val="NormalHanging12a"/>
        <w:rPr>
          <w:rFonts w:eastAsia="Calibri"/>
          <w:szCs w:val="24"/>
        </w:rPr>
      </w:pPr>
      <w:r w:rsidRPr="00277DF3">
        <w:t>3.</w:t>
      </w:r>
      <w:r w:rsidRPr="00277DF3">
        <w:tab/>
        <w:t>podporuje Akčný plán pre cenovo dostupnú energiu a jeho zameranie na realizáciu koncepcie trhu s elektrinou, posilnenie nástrojov, ako sú zmluvy o nákupe elektriny a dvojsmerné rozdielové zmluvy, s cieľom znížiť vplyv cien fosílnych palív na ceny elektriny; víta pilotný program pre podnikové zmluvy o nákupe elektriny prostredníctvom Európskej investičnej banky a zdôrazňuje potrebu využiť zmluvy o nákupe elektriny na rozšírenie kapacity a dosiahnutie skutočnej dekarbonizácie; vyzýva Komisiu, aby zaviedla nástroje na zníženie rizika, ktoré by riešili hlavné prekážky, s ktorými sa stretávajú energeticky náročné odvetvia pri podpisovaní zmlúv o nákupe elektriny, najmä zmlúv o nákupe elektriny z obnoviteľných zdrojov, ako aj zmlúv o nákupe elektriny na zníženie rizika na strane dopytu pre odberateľov energie, a aby preskúmala, ako stimulovať rozvoj hybridných zmlúv o nákupe elektriny so zodpovedajúcimi produktmi flexibility;</w:t>
      </w:r>
    </w:p>
    <w:p w14:paraId="1862F392" w14:textId="77777777" w:rsidR="009517BF" w:rsidRPr="00277DF3" w:rsidRDefault="009517BF" w:rsidP="009517BF">
      <w:pPr>
        <w:pStyle w:val="NormalHanging12a"/>
        <w:rPr>
          <w:rFonts w:eastAsia="Calibri"/>
          <w:szCs w:val="24"/>
        </w:rPr>
      </w:pPr>
      <w:r w:rsidRPr="00277DF3">
        <w:t>4.</w:t>
      </w:r>
      <w:r w:rsidRPr="00277DF3">
        <w:tab/>
        <w:t>zdôrazňuje potrebu posilniť energetickú infraštruktúru, najmä cezhraničnú, vrátane prepojení, a dobudovať energetickú úniu; vyzýva na dosiahnutie ambiciózneho výsledku budúceho dialógu o hlbšej integrácii trhu s elektrinou, keďže súčasná roztrieštenosť regulačného dohľadu a plánovania investícií vo všetkých členských štátoch bráni integrácii a elektrifikácii; vyzýva členské štáty, prevádzkovateľov prenosových sústav a Komisiu, aby posilnili cezhraničné obchodovanie s elektrinou s cieľom uvoľniť výhody integrácie trhu a zvýšiť spoľahlivosť dodávok pre všetky prepojené strany; vyzýva členské štáty, aby sa usilovali o dosiahnutie súčasného cieľa prepojenia na úrovni 15 %, ako je stanovené v nariadení (EÚ) 2018/1999</w:t>
      </w:r>
      <w:r w:rsidRPr="00277DF3">
        <w:rPr>
          <w:rStyle w:val="FootnoteReference"/>
          <w:bCs/>
          <w:iCs/>
          <w:szCs w:val="24"/>
          <w:lang w:eastAsia="en-US"/>
        </w:rPr>
        <w:footnoteReference w:id="3"/>
      </w:r>
      <w:r w:rsidRPr="00277DF3">
        <w:t>;</w:t>
      </w:r>
    </w:p>
    <w:p w14:paraId="2726D91E" w14:textId="77777777" w:rsidR="009517BF" w:rsidRPr="00277DF3" w:rsidRDefault="009517BF" w:rsidP="009517BF">
      <w:pPr>
        <w:pStyle w:val="NormalHanging12a"/>
        <w:rPr>
          <w:rFonts w:eastAsia="Calibri"/>
          <w:szCs w:val="24"/>
        </w:rPr>
      </w:pPr>
      <w:r w:rsidRPr="00277DF3">
        <w:t>5.</w:t>
      </w:r>
      <w:r w:rsidRPr="00277DF3">
        <w:tab/>
        <w:t>zdôrazňuje, že je potrebné dokončiť prácu na revízii smernice o zdaňovaní energie</w:t>
      </w:r>
      <w:r w:rsidRPr="00277DF3">
        <w:rPr>
          <w:rStyle w:val="FootnoteReference"/>
          <w:rFonts w:eastAsia="Calibri"/>
          <w:szCs w:val="24"/>
          <w:lang w:eastAsia="en-US"/>
        </w:rPr>
        <w:footnoteReference w:id="4"/>
      </w:r>
      <w:r w:rsidRPr="00277DF3">
        <w:t>, ktorej cieľom je zosúladiť zdaňovanie energetických výrobkov s cieľmi energetickej a klimatickej politiky EÚ a harmonizovať návrh metodík stanovovania sieťových poplatkov za predpokladu, že tieto opatrenia nebudú na úkor konečných spotrebiteľov; vyzýva členské štáty, aby urýchlene poskytli krátkodobé úľavy priemyslu a domácnostiam, napríklad znížením daní a odvodov za elektrinu a upustením od neodôvodnených dodatočných požiadaviek („</w:t>
      </w:r>
      <w:proofErr w:type="spellStart"/>
      <w:r w:rsidRPr="00277DF3">
        <w:t>gold-plating</w:t>
      </w:r>
      <w:proofErr w:type="spellEnd"/>
      <w:r w:rsidRPr="00277DF3">
        <w:t>“ právnych predpisov EÚ), ak narúšajú rovnaké podmienky;</w:t>
      </w:r>
    </w:p>
    <w:p w14:paraId="18642CC4" w14:textId="77777777" w:rsidR="009517BF" w:rsidRPr="00277DF3" w:rsidRDefault="009517BF" w:rsidP="009517BF">
      <w:pPr>
        <w:pStyle w:val="NormalHanging12a"/>
        <w:rPr>
          <w:rFonts w:eastAsia="Calibri"/>
          <w:szCs w:val="24"/>
        </w:rPr>
      </w:pPr>
      <w:r w:rsidRPr="00277DF3">
        <w:t>6.</w:t>
      </w:r>
      <w:r w:rsidRPr="00277DF3">
        <w:tab/>
        <w:t xml:space="preserve">nabáda Komisiu a členské štáty, aby zlepšili koordináciu výdavkov štátnej pomoci na spoločné európske priemyselné priority, a vyzýva členské štáty, aby to využili na </w:t>
      </w:r>
      <w:r w:rsidRPr="00277DF3">
        <w:lastRenderedPageBreak/>
        <w:t>podporu priemyslu na ceste k čistej transformácii, pričom by mali zohľadniť rôzne fiškálne možnosti; zdôrazňuje potrebu zabezpečenia rovnakých podmienok pre všetkých; zdôrazňuje, že je potrebné zlepšiť koordináciu priemyselnej politiky v celej Únii, a to tak medzi členskými štátmi, ako aj medzi členskými štátmi a Komisiou; podporuje zavedenie nástroja na koordináciu konkurencieschopnosti, ktorý bude usmerňovať a zosúlaďovať úsilie na vnútroštátnej úrovni; domnieva sa, že verejná podpora by mala prispieť k zachovaniu pracovných miest a priemyselnej činnosti v Európe a že príjemcovia takejto podpory by sa mali zaviazať k zachovaniu dôstojnej zamestnanosti a pracovných podmienok a zapojiť sa do sociálneho dialógu;</w:t>
      </w:r>
    </w:p>
    <w:p w14:paraId="56161F03" w14:textId="77777777" w:rsidR="009517BF" w:rsidRPr="00277DF3" w:rsidRDefault="009517BF" w:rsidP="009517BF">
      <w:pPr>
        <w:pStyle w:val="NormalHanging12a"/>
        <w:rPr>
          <w:rFonts w:eastAsia="Calibri"/>
          <w:szCs w:val="24"/>
        </w:rPr>
      </w:pPr>
      <w:r w:rsidRPr="00277DF3">
        <w:t>7.</w:t>
      </w:r>
      <w:r w:rsidRPr="00277DF3">
        <w:tab/>
        <w:t>podporuje zjednodušenie a digitalizáciu s cieľom urýchliť postupy udeľovania povolení pri súčasnom dodržiavaní environmentálnych záruk a ochrane ľudského zdravia; vyzýva Komisiu, aby ďalej riešila prekážky pri udeľovaní povolení pre priemyselný prístup k energii a dekarbonizáciu priemyslu v akte na urýchlenie dekarbonizácie priemyslu, a to aj prijatím opatrení na urýchlenie súdnych a administratívnych postupov, a aby posúdila kritériá cielených výnimiek pre emisie a depozície zo stavieb pre čisté a emisne neutrálne projekty, projekty v oblasti sietí a uskladňovania energie; naliehavo vyzýva členské štáty, aby zlepšili svoje administratívne kapacity s cieľom zabezpečiť včasné spracovanie povolení a plne vykonávali smernicu o energii z obnoviteľných zdrojov</w:t>
      </w:r>
      <w:r w:rsidRPr="00277DF3">
        <w:rPr>
          <w:rStyle w:val="FootnoteReference"/>
          <w:rFonts w:eastAsia="Calibri"/>
          <w:bCs/>
          <w:iCs/>
          <w:szCs w:val="24"/>
          <w:lang w:eastAsia="en-US"/>
        </w:rPr>
        <w:footnoteReference w:id="5"/>
      </w:r>
      <w:r w:rsidRPr="00277DF3">
        <w:t>, vrátane zásady nadradeného verejného záujmu, a akt o emisne neutrálnom priemysle (NZIA)</w:t>
      </w:r>
      <w:r w:rsidRPr="00277DF3">
        <w:rPr>
          <w:rStyle w:val="FootnoteReference"/>
          <w:rFonts w:eastAsia="Calibri"/>
          <w:bCs/>
          <w:iCs/>
          <w:szCs w:val="24"/>
          <w:lang w:eastAsia="en-US"/>
        </w:rPr>
        <w:footnoteReference w:id="6"/>
      </w:r>
      <w:r w:rsidRPr="00277DF3">
        <w:t>;</w:t>
      </w:r>
    </w:p>
    <w:p w14:paraId="29B09EB1" w14:textId="77777777" w:rsidR="009517BF" w:rsidRPr="00277DF3" w:rsidRDefault="009517BF" w:rsidP="009517BF">
      <w:pPr>
        <w:pStyle w:val="NormalHanging12a"/>
        <w:rPr>
          <w:rFonts w:eastAsia="Calibri"/>
          <w:szCs w:val="24"/>
        </w:rPr>
      </w:pPr>
      <w:r w:rsidRPr="00277DF3">
        <w:t>8.</w:t>
      </w:r>
      <w:r w:rsidRPr="00277DF3">
        <w:tab/>
        <w:t>vyzýva Komisiu, aby pri zabezpečovaní bezpečnosti dodávok a cenovej dostupnosti zohľadnila všetky dostupné technológie, ktoré prispievajú k dosiahnutiu cieľa EÚ v oblasti klimatickej neutrality do roku 2050 nákladovo efektívnym spôsobom v snahe o čistejší, stabilnejší, bezpečnejší a nezávislejší energetický mix; uznáva, že energia z obnoviteľných zdrojov je popri jadrovej energii pre tie členské štáty, ktoré sa ju rozhodnú využívať, nevyhnutná pre čistý a bezpečný energetický mix; vyzýva Komisiu, aby posilnila spoluprácu v oblasti bezpečného vývoja a výroby malých modulárnych reaktorov v Európe a aby pokročila vo výskume jadrovej fúzie ako budúcej energetickej technológie; víta ohlásené posúdenie možnosti zefektívnenia postupov udeľovania licencií pre nové technológie v oblasti jadrovej energie;</w:t>
      </w:r>
    </w:p>
    <w:p w14:paraId="77C4B5A7" w14:textId="77777777" w:rsidR="009517BF" w:rsidRPr="00277DF3" w:rsidRDefault="009517BF" w:rsidP="009517BF">
      <w:pPr>
        <w:pStyle w:val="NormalHanging12a"/>
        <w:rPr>
          <w:rFonts w:eastAsia="Calibri"/>
          <w:szCs w:val="24"/>
        </w:rPr>
      </w:pPr>
      <w:r w:rsidRPr="00277DF3">
        <w:t>9.</w:t>
      </w:r>
      <w:r w:rsidRPr="00277DF3">
        <w:tab/>
        <w:t>zdôrazňuje úlohu elektrifikácie, ale konštatuje, že je potrebné výrazné rozšírenie a modernizácia sietí; vyzýva na „stratégiu EÚ pre energetickú flexibilitu“ so zameraním na reakciu na strane dopytu a uskladňovanie energie; víta zámer aktualizovať stratégiu týkajúcu sa vykurovania a chladenia a akčný plán elektrifikácie; vyzýva Komisiu, aby uznala odvetvie energetickej efektívnosti za kľúčové strategické odvetvie pre dekarbonizáciu priemyslu a európsku konkurencieschopnosť;</w:t>
      </w:r>
    </w:p>
    <w:p w14:paraId="5079C133" w14:textId="77777777" w:rsidR="009517BF" w:rsidRPr="00277DF3" w:rsidRDefault="009517BF" w:rsidP="009517BF">
      <w:pPr>
        <w:pStyle w:val="NormalHanging12a"/>
        <w:rPr>
          <w:rFonts w:eastAsia="Calibri"/>
          <w:szCs w:val="24"/>
        </w:rPr>
      </w:pPr>
      <w:r w:rsidRPr="00277DF3">
        <w:t>10.</w:t>
      </w:r>
      <w:r w:rsidRPr="00277DF3">
        <w:tab/>
        <w:t xml:space="preserve">zdôrazňuje dôležitú úlohu, ktorú môže zohrávať </w:t>
      </w:r>
      <w:proofErr w:type="spellStart"/>
      <w:r w:rsidRPr="00277DF3">
        <w:t>nízkouhlíkový</w:t>
      </w:r>
      <w:proofErr w:type="spellEnd"/>
      <w:r w:rsidRPr="00277DF3">
        <w:t xml:space="preserve"> vodík z obnoviteľných </w:t>
      </w:r>
      <w:r w:rsidRPr="00277DF3">
        <w:lastRenderedPageBreak/>
        <w:t xml:space="preserve">zdrojov pri dekarbonizácii priemyslu; vyzýva na urýchlené prijatie a zavedenie jednoduchej, technologicky neutrálnej a investične priaznivej definície </w:t>
      </w:r>
      <w:proofErr w:type="spellStart"/>
      <w:r w:rsidRPr="00277DF3">
        <w:t>nízkouhlíkového</w:t>
      </w:r>
      <w:proofErr w:type="spellEnd"/>
      <w:r w:rsidRPr="00277DF3">
        <w:t xml:space="preserve"> vodíka v pripravovanom delegovanom nariadení, ktorým sa doplní smernica (EÚ) 2024/1788</w:t>
      </w:r>
      <w:r w:rsidRPr="00277DF3">
        <w:rPr>
          <w:rStyle w:val="FootnoteReference"/>
          <w:rFonts w:eastAsia="Calibri"/>
          <w:szCs w:val="24"/>
          <w:lang w:eastAsia="en-US"/>
        </w:rPr>
        <w:footnoteReference w:id="7"/>
      </w:r>
      <w:r w:rsidRPr="00277DF3">
        <w:t xml:space="preserve">, a to stanovením metodiky na posúdenie úspor emisií skleníkových plynov z </w:t>
      </w:r>
      <w:proofErr w:type="spellStart"/>
      <w:r w:rsidRPr="00277DF3">
        <w:t>nízkouhlíkových</w:t>
      </w:r>
      <w:proofErr w:type="spellEnd"/>
      <w:r w:rsidRPr="00277DF3">
        <w:t xml:space="preserve"> palív, pričom treba zabezpečiť, aby takáto definícia bola spoľahlivá, vedecky podložená a motivovala k výrobe a využívaniu vodíka s cieľom zabezpečiť zníženie emisií; podporuje oznámenie štúdie o pravidlách pre palivá z obnoviteľných zdrojov nebiologického pôvodu (RFNBO); vyzýva Komisiu, aby zohľadnila výsledky tejto štúdie a obavy zainteresovaných strán a prípadne navrhla zmeny delegovaného aktu o palivách z obnoviteľných zdrojov nebiologického pôvodu</w:t>
      </w:r>
      <w:r w:rsidRPr="00277DF3">
        <w:rPr>
          <w:rStyle w:val="FootnoteReference"/>
          <w:rFonts w:eastAsia="Calibri"/>
          <w:szCs w:val="24"/>
          <w:lang w:eastAsia="en-US"/>
        </w:rPr>
        <w:footnoteReference w:id="8"/>
      </w:r>
      <w:r w:rsidRPr="00277DF3">
        <w:t xml:space="preserve"> s cieľom zvýšiť výrobu vodíka z obnoviteľných zdrojov a znížiť jeho ceny pre spotrebiteľov;</w:t>
      </w:r>
    </w:p>
    <w:p w14:paraId="69F5B357" w14:textId="77777777" w:rsidR="009517BF" w:rsidRPr="00277DF3" w:rsidRDefault="009517BF" w:rsidP="009517BF">
      <w:pPr>
        <w:pStyle w:val="NormalHanging12a"/>
        <w:rPr>
          <w:rFonts w:eastAsia="Calibri"/>
          <w:szCs w:val="24"/>
        </w:rPr>
      </w:pPr>
      <w:r w:rsidRPr="00277DF3">
        <w:t>11.</w:t>
      </w:r>
      <w:r w:rsidRPr="00277DF3">
        <w:tab/>
        <w:t xml:space="preserve">opakuje, že je potrebné vypracovať opatrenia na zabezpečenie dodávok plynu pri zmiernených nákladoch pre tie odvetvia, ktoré sa v krátkodobom až strednodobom horizonte nemôžu v podstatnej miere spoliehať na elektrifikáciu; vyzýva na diverzifikované a spoľahlivé partnerstvá v súlade s bezpečnosťou a záujmami Únie a plánom </w:t>
      </w:r>
      <w:proofErr w:type="spellStart"/>
      <w:r w:rsidRPr="00277DF3">
        <w:t>RePowerEU</w:t>
      </w:r>
      <w:proofErr w:type="spellEnd"/>
      <w:r w:rsidRPr="00277DF3">
        <w:t>;</w:t>
      </w:r>
    </w:p>
    <w:p w14:paraId="11EE0D70" w14:textId="77777777" w:rsidR="009517BF" w:rsidRPr="00277DF3" w:rsidRDefault="009517BF" w:rsidP="009517BF">
      <w:pPr>
        <w:pStyle w:val="NormalHanging12a"/>
        <w:rPr>
          <w:rFonts w:eastAsia="Calibri"/>
          <w:szCs w:val="24"/>
        </w:rPr>
      </w:pPr>
      <w:r w:rsidRPr="00277DF3">
        <w:t>12.</w:t>
      </w:r>
      <w:r w:rsidRPr="00277DF3">
        <w:tab/>
        <w:t>naliehavo vyzýva Komisiu, aby sa zapojila do odvetvových dialógov s priemyselnými odvetviami, akademickou obcou, sociálnymi partnermi a príslušnými zainteresovanými stranami z odvetví čistých technológií a energeticky náročných odvetví a (cezhraničných) regionálnych priemyselných zoskupení s cieľom posilniť ich konkurencieschopnosť a uľahčiť im cestu k transformácii; zdôrazňuje, že priemyselné ekosystémy sú navzájom veľmi prepojené a efektívne, pričom zatvorenie jedného zariadenia má vplyv na celé zoskupenie; požaduje každoročné monitorovanie a podávanie správ o konkurencieschopnosti a odolnosti našich priemyselných ekosystémov a o pokroku dosiahnutom v rámci postupov transformácie, aby sa nástroje mohli v prípade potreby rýchlo prispôsobiť s podporou prispôsobenou na mieru;</w:t>
      </w:r>
    </w:p>
    <w:p w14:paraId="74864CB0" w14:textId="77777777" w:rsidR="009517BF" w:rsidRPr="00277DF3" w:rsidRDefault="009517BF" w:rsidP="009517BF">
      <w:pPr>
        <w:pStyle w:val="NormalHanging12a"/>
        <w:rPr>
          <w:bCs/>
          <w:iCs/>
          <w:szCs w:val="24"/>
        </w:rPr>
      </w:pPr>
      <w:r w:rsidRPr="00277DF3">
        <w:t>13.</w:t>
      </w:r>
      <w:r w:rsidRPr="00277DF3">
        <w:tab/>
        <w:t xml:space="preserve">zdôrazňuje, že úspech prechodu na čistý priemysel závisí od kvalifikovanej pracovnej sily; vyzýva Komisiu a členské štáty, aby vypracovali koordinovanú stratégiu priemyselných zručností v súlade s prioritami aktu o emisne neutrálnom priemysle a čistých technológií; podporuje rýchle zavádzanie a rozširovanie európskych akadémií pre emisne neutrálny priemysel a centier </w:t>
      </w:r>
      <w:proofErr w:type="spellStart"/>
      <w:r w:rsidRPr="00277DF3">
        <w:t>excelentnosti</w:t>
      </w:r>
      <w:proofErr w:type="spellEnd"/>
      <w:r w:rsidRPr="00277DF3">
        <w:t xml:space="preserve"> odborného vzdelávania a prípravy; podporuje využívanie nástrojov EÚ, ako sú ESF+, Erasmus+ a Fond na spravodlivú transformáciu, na podporu cieleného zvyšovania úrovne zručností a rekvalifikácie v priemyselných regiónoch, ktoré prechádzajú transformáciou, vrátane vidieckych oblastí;</w:t>
      </w:r>
    </w:p>
    <w:p w14:paraId="5F38F552" w14:textId="77777777" w:rsidR="009517BF" w:rsidRPr="00277DF3" w:rsidRDefault="009517BF" w:rsidP="009517BF">
      <w:pPr>
        <w:pStyle w:val="NormalHanging12a"/>
        <w:rPr>
          <w:rFonts w:eastAsia="Calibri"/>
          <w:szCs w:val="24"/>
        </w:rPr>
      </w:pPr>
      <w:r w:rsidRPr="00277DF3">
        <w:t>14.</w:t>
      </w:r>
      <w:r w:rsidRPr="00277DF3">
        <w:tab/>
        <w:t xml:space="preserve">víta vedúce trhy pre čisté, obehové a </w:t>
      </w:r>
      <w:proofErr w:type="spellStart"/>
      <w:r w:rsidRPr="00277DF3">
        <w:t>nízkouhlíkové</w:t>
      </w:r>
      <w:proofErr w:type="spellEnd"/>
      <w:r w:rsidRPr="00277DF3">
        <w:t xml:space="preserve"> výrobky vyrobené v Európe; zdôrazňuje potrebu stimulovať dopyt prostredníctvom verejného a súkromného </w:t>
      </w:r>
      <w:r w:rsidRPr="00277DF3">
        <w:lastRenderedPageBreak/>
        <w:t xml:space="preserve">obstarávania a zavedením kritérií a noriem udržateľnosti a odolnosti, ak je to vhodné; podporuje vytvorenie dobrovoľného označovania uhlíkovej náročnosti priemyselných výrobkov (napr. ocele a cementu), ktoré by malo odrážať uhlíkovú náročnosť, a nie procesné skreslenie, a zosúladenie s existujúcimi právnymi predpismi EÚ vrátane nariadenia o </w:t>
      </w:r>
      <w:proofErr w:type="spellStart"/>
      <w:r w:rsidRPr="00277DF3">
        <w:t>ekodizajne</w:t>
      </w:r>
      <w:proofErr w:type="spellEnd"/>
      <w:r w:rsidRPr="00277DF3">
        <w:t xml:space="preserve"> udržateľných výrobkov</w:t>
      </w:r>
      <w:r w:rsidRPr="00277DF3">
        <w:rPr>
          <w:rStyle w:val="FootnoteReference"/>
          <w:rFonts w:eastAsia="Calibri"/>
          <w:bCs/>
          <w:iCs/>
          <w:szCs w:val="24"/>
          <w:lang w:eastAsia="en-US"/>
        </w:rPr>
        <w:footnoteReference w:id="9"/>
      </w:r>
      <w:r w:rsidRPr="00277DF3">
        <w:t xml:space="preserve"> a nariadenia o stavebných výrobkoch</w:t>
      </w:r>
      <w:r w:rsidRPr="00277DF3">
        <w:rPr>
          <w:rStyle w:val="FootnoteReference"/>
          <w:rFonts w:eastAsia="Calibri"/>
          <w:bCs/>
          <w:iCs/>
          <w:szCs w:val="24"/>
          <w:lang w:eastAsia="en-US"/>
        </w:rPr>
        <w:footnoteReference w:id="10"/>
      </w:r>
      <w:r w:rsidRPr="00277DF3">
        <w:t>; vyzýva Komisiu, aby preskúmala ďalšie požiadavky na zabezpečenie dopytu po čistých výrobkoch vyrobených v EÚ;</w:t>
      </w:r>
    </w:p>
    <w:p w14:paraId="27282E85" w14:textId="77777777" w:rsidR="009517BF" w:rsidRPr="00277DF3" w:rsidRDefault="009517BF" w:rsidP="009517BF">
      <w:pPr>
        <w:pStyle w:val="NormalHanging12a"/>
        <w:rPr>
          <w:rFonts w:eastAsia="Calibri"/>
          <w:szCs w:val="24"/>
        </w:rPr>
      </w:pPr>
      <w:r w:rsidRPr="00277DF3">
        <w:t>15.</w:t>
      </w:r>
      <w:r w:rsidRPr="00277DF3">
        <w:tab/>
        <w:t xml:space="preserve">víta navrhované opatrenia na podporu obehového hospodárstva a </w:t>
      </w:r>
      <w:proofErr w:type="spellStart"/>
      <w:r w:rsidRPr="00277DF3">
        <w:t>biohospodárstva</w:t>
      </w:r>
      <w:proofErr w:type="spellEnd"/>
      <w:r w:rsidRPr="00277DF3">
        <w:t xml:space="preserve"> prostredníctvom zabezpečenia prístupu k materiálom a zdrojom; nabáda, aby sa do aktu o obehovom hospodárstve zahrnuli opatrenia na zvýšenie využívania a cenovej dostupnosti strategických druhotných surovín v EÚ, pričom sa zohľadnia ciele aktu o kritických surovinách</w:t>
      </w:r>
      <w:r w:rsidRPr="00277DF3">
        <w:rPr>
          <w:rStyle w:val="FootnoteReference"/>
          <w:rFonts w:eastAsia="Calibri"/>
          <w:szCs w:val="24"/>
          <w:lang w:eastAsia="en-US"/>
        </w:rPr>
        <w:footnoteReference w:id="11"/>
      </w:r>
      <w:r w:rsidRPr="00277DF3">
        <w:t>; zdôrazňuje, že je potrebné vymedziť tie druhotné suroviny, ktoré sú strategické a ktoré by mali podliehať monitorovaniu vývozu, ako je oceľ a kovový šrot, a riešiť akúkoľvek nerovnováhu v ich ponuke a dopyte, a to aj preskúmaním vývozných obmedzení; trvá na účinnom presadzovaní nariadenia o preprave odpadu</w:t>
      </w:r>
      <w:r w:rsidRPr="00277DF3">
        <w:rPr>
          <w:rStyle w:val="FootnoteReference"/>
          <w:rFonts w:eastAsia="Calibri"/>
          <w:szCs w:val="24"/>
          <w:lang w:eastAsia="en-US"/>
        </w:rPr>
        <w:footnoteReference w:id="12"/>
      </w:r>
      <w:r w:rsidRPr="00277DF3">
        <w:t>; vyzýva na vytvorenie predvídateľného regulačného rámca, ktorý by umožnil využívanie obehových obchodných modelov, najmä tých, ktoré sú založené na predchádzaní vzniku odpadu, opätovnom použití a kvalitnej recyklácii;</w:t>
      </w:r>
    </w:p>
    <w:p w14:paraId="4B8D7517" w14:textId="77777777" w:rsidR="009517BF" w:rsidRPr="00277DF3" w:rsidRDefault="009517BF" w:rsidP="009517BF">
      <w:pPr>
        <w:pStyle w:val="NormalHanging12a"/>
        <w:rPr>
          <w:rFonts w:eastAsia="Calibri"/>
          <w:szCs w:val="24"/>
        </w:rPr>
      </w:pPr>
      <w:r w:rsidRPr="00277DF3">
        <w:t>16.</w:t>
      </w:r>
      <w:r w:rsidRPr="00277DF3">
        <w:tab/>
        <w:t xml:space="preserve">zdôrazňuje, že je potrebné chrániť európsky trh pred nekalou konkurenciou a dumpingom nadmernej priemyselnej kapacity z krajín mimo EÚ, a to prostredníctvom plného využitia mechanizmov na ochranu obchodu; vyzýva Komisiu, aby systematicky, proaktívne a primerane využívala nástroje na ochranu obchodu vrátane antidumpingových a </w:t>
      </w:r>
      <w:proofErr w:type="spellStart"/>
      <w:r w:rsidRPr="00277DF3">
        <w:t>antisubvenčných</w:t>
      </w:r>
      <w:proofErr w:type="spellEnd"/>
      <w:r w:rsidRPr="00277DF3">
        <w:t xml:space="preserve"> vyšetrovaní; žiada, aby sa posilnila kapacita na presadzovanie nariadenia o zahraničných subvenciách</w:t>
      </w:r>
      <w:r w:rsidRPr="00277DF3">
        <w:rPr>
          <w:rStyle w:val="FootnoteReference"/>
          <w:rFonts w:eastAsia="Calibri"/>
          <w:bCs/>
          <w:iCs/>
          <w:szCs w:val="24"/>
          <w:lang w:eastAsia="en-US"/>
        </w:rPr>
        <w:footnoteReference w:id="13"/>
      </w:r>
      <w:r w:rsidRPr="00277DF3">
        <w:t xml:space="preserve">, a vyjadruje poľutovanie nad tým, že tento nástroj sa zatiaľ systematicky neaktivoval v kľúčových odvetviach; vyzýva Komisiu, aby nadmernú priemyselnú kapacitu a strategické závislosti považovala za hlavné riziká pre hospodársku súťaž, ktoré si vyžadujú koordinovanú reakciu na úrovni EÚ a vhodné nástroje; vyzýva Komisiu, aby zabezpečila, že prístup </w:t>
      </w:r>
      <w:r w:rsidRPr="00277DF3">
        <w:lastRenderedPageBreak/>
        <w:t>na vnútorný trh EÚ alebo k európskym priemyselným projektom nebude poskytnutý subjektom, ktoré prispievajú k štrukturálnemu narušeniu trhu alebo nekalej hospodárskej súťaži;</w:t>
      </w:r>
    </w:p>
    <w:p w14:paraId="0CD1C5DB" w14:textId="77777777" w:rsidR="009517BF" w:rsidRPr="00277DF3" w:rsidRDefault="009517BF" w:rsidP="009517BF">
      <w:pPr>
        <w:pStyle w:val="NormalHanging12a"/>
        <w:rPr>
          <w:rFonts w:eastAsia="Calibri"/>
          <w:szCs w:val="24"/>
        </w:rPr>
      </w:pPr>
      <w:r w:rsidRPr="00277DF3">
        <w:t>17.</w:t>
      </w:r>
      <w:r w:rsidRPr="00277DF3">
        <w:tab/>
        <w:t>víta navrhované zjednodušenie mechanizmu uhlíkovej kompenzácie na hraniciach (CBAM) v prvom súhrnnom balíku ako dôležitý krok na ďalšie zvýšenie účinnosti CBAM pri riešení úniku uhlíka; opakuje svoju požiadavku na funkčné riešenie vývozu, ktoré by riešilo riziko úniku uhlíka v prípade tovaru CBAM vyvážaného z EÚ do krajín mimo EÚ; žiada Komisiu, aby dôkladne analyzovala riziká spojené s neoverenými certifikátmi z krajín mimo EÚ, ktoré by mohli poškodiť spravodlivosť a konkurencieschopnosť; víta zámer Komisie predložiť do konca roka stratégiu proti obchádzaniu a v rámci nadchádzajúceho preskúmania zvážiť rozšírenie CBAM na ďalšie odvetvia; zdôrazňuje význam účinného CBAM v súvislosti s postupným rušením bezplatných kvót v systéme EÚ na obchodovanie s emisiami;</w:t>
      </w:r>
    </w:p>
    <w:p w14:paraId="66A01582" w14:textId="77777777" w:rsidR="009517BF" w:rsidRPr="00277DF3" w:rsidRDefault="009517BF" w:rsidP="009517BF">
      <w:pPr>
        <w:pStyle w:val="NormalHanging12a"/>
        <w:rPr>
          <w:rFonts w:eastAsia="Calibri"/>
          <w:szCs w:val="24"/>
        </w:rPr>
      </w:pPr>
      <w:r w:rsidRPr="00277DF3">
        <w:t>18.</w:t>
      </w:r>
      <w:r w:rsidRPr="00277DF3">
        <w:tab/>
        <w:t>víta, že v súvislosti s vykonávaním stratégie priemyselného riadenia uhlíka sa do pripravovaných (revízií) právnych predpisov začleňujú obchodné argumenty pre trvalé odstraňovanie uhlíka; uznáva, že v odvetviach náročných na znižovanie emisií môže byť potrebné riadenie uhlíka vrátane zachytávania, uskladňovania, prepravy a využívania; zdôrazňuje, že je potrebné navrhnúť rámcový balík pre dopravu a infraštruktúru CO</w:t>
      </w:r>
      <w:r w:rsidRPr="00277DF3">
        <w:rPr>
          <w:vertAlign w:val="subscript"/>
        </w:rPr>
        <w:t>2</w:t>
      </w:r>
      <w:r w:rsidRPr="00277DF3">
        <w:t>;</w:t>
      </w:r>
    </w:p>
    <w:p w14:paraId="266609D9" w14:textId="77777777" w:rsidR="009517BF" w:rsidRPr="00277DF3" w:rsidRDefault="009517BF" w:rsidP="009517BF">
      <w:pPr>
        <w:pStyle w:val="NormalHanging12a"/>
        <w:rPr>
          <w:rFonts w:eastAsia="Calibri"/>
          <w:szCs w:val="24"/>
        </w:rPr>
      </w:pPr>
      <w:r w:rsidRPr="00277DF3">
        <w:t>19.</w:t>
      </w:r>
      <w:r w:rsidRPr="00277DF3">
        <w:tab/>
        <w:t>naliehavo žiada o dostupné financovanie pre MSP; víta zrýchlené schvaľovanie a vyplácanie prostriedkov v rámci nástrojov, ako sú inovačný fond a akt o emisne neutrálnom priemysle, a zdôrazňuje, že iniciatíva Dôležité projekty spoločného európskeho záujmu (IPCEI) musí byť prístupná pre MSP; vyzýva na ďalšie zlepšenia a harmonizáciu s cieľom zjednodušiť žiadosti o financovanie, znížiť povinnosti podávania správ a urýchliť realizáciu malých projektov;</w:t>
      </w:r>
    </w:p>
    <w:p w14:paraId="339499B5" w14:textId="77777777" w:rsidR="009517BF" w:rsidRPr="00277DF3" w:rsidRDefault="009517BF" w:rsidP="009517BF">
      <w:pPr>
        <w:pStyle w:val="NormalHanging12a"/>
        <w:rPr>
          <w:rFonts w:eastAsia="Calibri"/>
          <w:szCs w:val="24"/>
        </w:rPr>
      </w:pPr>
      <w:r w:rsidRPr="00277DF3">
        <w:t>20.</w:t>
      </w:r>
      <w:r w:rsidRPr="00277DF3">
        <w:tab/>
        <w:t xml:space="preserve">zdôrazňuje význam odvetvových prístupov na účinné vykonávanie dohody o čistom priemysle v celej škále priemyselných ekosystémov; víta Odvetvový akčný plán pre automobilový priemysel, Akčný plán pre oceľ a kovy, oznámenie balíka opatrení pre chemický priemysel, investičný plán pre udržateľnú dopravu a stratégiu pre </w:t>
      </w:r>
      <w:proofErr w:type="spellStart"/>
      <w:r w:rsidRPr="00277DF3">
        <w:t>biohospodárstvo</w:t>
      </w:r>
      <w:proofErr w:type="spellEnd"/>
      <w:r w:rsidRPr="00277DF3">
        <w:t xml:space="preserve"> ako kľúčové stavebné prvky súdržnej priemyselnej transformácie; žiada, aby investičný plán pre udržateľnú dopravu obsahoval podrobné stratégie dekarbonizácie, ktoré by odrážali špecifické technologické a investičné potreby pre rôzne druhy dopravy; žiada, aby sa do rámca dohody o čistom priemysle zahrnuli aj ďalšie odvetvia, ako napríklad európsky letecký priemysel a alternatívne palivá; v</w:t>
      </w:r>
      <w:r w:rsidRPr="00277DF3">
        <w:rPr>
          <w:shd w:val="clear" w:color="auto" w:fill="FFFFFF"/>
        </w:rPr>
        <w:t>yzýva na vypracovanie osobitného akčného plánu v oblasti čistých technológií;</w:t>
      </w:r>
    </w:p>
    <w:p w14:paraId="66D9805B" w14:textId="7826B46A" w:rsidR="00277DF3" w:rsidRPr="00277DF3" w:rsidRDefault="009517BF" w:rsidP="00277DF3">
      <w:pPr>
        <w:pStyle w:val="NormalHanging12a"/>
      </w:pPr>
      <w:r w:rsidRPr="00277DF3">
        <w:t>21.</w:t>
      </w:r>
      <w:r w:rsidRPr="00277DF3">
        <w:tab/>
        <w:t>poveruje svoju predsedníčku, aby postúpila toto uznesenie Komisii, Rade a vládam a parlamentom členských štátov.</w:t>
      </w:r>
    </w:p>
    <w:p w14:paraId="1A894BB7" w14:textId="55CA5479" w:rsidR="00E365E1" w:rsidRPr="00277DF3" w:rsidRDefault="00E365E1" w:rsidP="0054234C"/>
    <w:sectPr w:rsidR="00E365E1" w:rsidRPr="00277DF3" w:rsidSect="00277DF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C75FE7" w14:textId="77777777" w:rsidR="0054234C" w:rsidRPr="00277DF3" w:rsidRDefault="0054234C">
      <w:r w:rsidRPr="00277DF3">
        <w:separator/>
      </w:r>
    </w:p>
  </w:endnote>
  <w:endnote w:type="continuationSeparator" w:id="0">
    <w:p w14:paraId="75EC5D0E" w14:textId="77777777" w:rsidR="0054234C" w:rsidRPr="00277DF3" w:rsidRDefault="0054234C">
      <w:r w:rsidRPr="00277DF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D67FC5" w14:textId="77777777" w:rsidR="00064002" w:rsidRPr="00277DF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D889A8" w14:textId="77777777" w:rsidR="00064002" w:rsidRPr="00277DF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3F8FF7" w14:textId="77777777" w:rsidR="00064002" w:rsidRPr="00277DF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BEBB16" w14:textId="77777777" w:rsidR="0054234C" w:rsidRPr="00277DF3" w:rsidRDefault="0054234C">
      <w:r w:rsidRPr="00277DF3">
        <w:separator/>
      </w:r>
    </w:p>
  </w:footnote>
  <w:footnote w:type="continuationSeparator" w:id="0">
    <w:p w14:paraId="24BE0C80" w14:textId="77777777" w:rsidR="0054234C" w:rsidRPr="00277DF3" w:rsidRDefault="0054234C">
      <w:r w:rsidRPr="00277DF3">
        <w:continuationSeparator/>
      </w:r>
    </w:p>
  </w:footnote>
  <w:footnote w:id="1">
    <w:p w14:paraId="381122FE" w14:textId="09FEB9C6" w:rsidR="009517BF" w:rsidRPr="00332155" w:rsidRDefault="009517BF" w:rsidP="00277DF3">
      <w:pPr>
        <w:pStyle w:val="FootnoteText"/>
        <w:ind w:left="567" w:hanging="567"/>
        <w:rPr>
          <w:sz w:val="24"/>
          <w:szCs w:val="24"/>
          <w:lang w:val="sk-SK"/>
        </w:rPr>
      </w:pPr>
      <w:r w:rsidRPr="00332155">
        <w:rPr>
          <w:rStyle w:val="FootnoteReference"/>
          <w:sz w:val="24"/>
          <w:szCs w:val="24"/>
          <w:lang w:val="sk-SK"/>
        </w:rPr>
        <w:footnoteRef/>
      </w:r>
      <w:r w:rsidR="00277DF3" w:rsidRPr="00332155">
        <w:rPr>
          <w:sz w:val="24"/>
          <w:szCs w:val="24"/>
          <w:lang w:val="sk-SK"/>
        </w:rPr>
        <w:t xml:space="preserve"> </w:t>
      </w:r>
      <w:r w:rsidR="00277DF3" w:rsidRPr="00332155">
        <w:rPr>
          <w:sz w:val="24"/>
          <w:szCs w:val="24"/>
          <w:lang w:val="sk-SK"/>
        </w:rPr>
        <w:tab/>
      </w:r>
      <w:r w:rsidR="00821C5B" w:rsidRPr="00332155">
        <w:rPr>
          <w:sz w:val="24"/>
          <w:szCs w:val="24"/>
          <w:lang w:val="fi-FI"/>
        </w:rPr>
        <w:t>Ú. v. EÚ C 125, 5.4.2023, s. 124</w:t>
      </w:r>
      <w:r w:rsidRPr="00332155">
        <w:rPr>
          <w:sz w:val="24"/>
          <w:szCs w:val="24"/>
          <w:lang w:val="sk-SK"/>
        </w:rPr>
        <w:t>.</w:t>
      </w:r>
    </w:p>
  </w:footnote>
  <w:footnote w:id="2">
    <w:p w14:paraId="04783E0C" w14:textId="0B4EFE0B" w:rsidR="009517BF" w:rsidRPr="00332155" w:rsidRDefault="009517BF" w:rsidP="00277DF3">
      <w:pPr>
        <w:pStyle w:val="FootnoteText"/>
        <w:ind w:left="567" w:hanging="567"/>
        <w:rPr>
          <w:sz w:val="24"/>
          <w:szCs w:val="24"/>
          <w:lang w:val="sk-SK"/>
        </w:rPr>
      </w:pPr>
      <w:r w:rsidRPr="00332155">
        <w:rPr>
          <w:rStyle w:val="FootnoteReference"/>
          <w:sz w:val="24"/>
          <w:szCs w:val="24"/>
          <w:lang w:val="sk-SK"/>
        </w:rPr>
        <w:footnoteRef/>
      </w:r>
      <w:r w:rsidR="00277DF3" w:rsidRPr="00332155">
        <w:rPr>
          <w:sz w:val="24"/>
          <w:szCs w:val="24"/>
          <w:lang w:val="sk-SK"/>
        </w:rPr>
        <w:t xml:space="preserve"> </w:t>
      </w:r>
      <w:r w:rsidR="00277DF3" w:rsidRPr="00332155">
        <w:rPr>
          <w:sz w:val="24"/>
          <w:szCs w:val="24"/>
          <w:lang w:val="sk-SK"/>
        </w:rPr>
        <w:tab/>
      </w:r>
      <w:r w:rsidRPr="00332155">
        <w:rPr>
          <w:sz w:val="24"/>
          <w:szCs w:val="24"/>
          <w:lang w:val="sk-SK"/>
        </w:rPr>
        <w:t>Prijaté texty, P10_TA(2025)0065.</w:t>
      </w:r>
    </w:p>
  </w:footnote>
  <w:footnote w:id="3">
    <w:p w14:paraId="13F108AF" w14:textId="0C299947" w:rsidR="009517BF" w:rsidRPr="00332155" w:rsidRDefault="009517BF" w:rsidP="00277DF3">
      <w:pPr>
        <w:pStyle w:val="FootnoteText"/>
        <w:ind w:left="567" w:hanging="567"/>
        <w:rPr>
          <w:sz w:val="24"/>
          <w:szCs w:val="24"/>
          <w:lang w:val="sk-SK"/>
        </w:rPr>
      </w:pPr>
      <w:r w:rsidRPr="00332155">
        <w:rPr>
          <w:rStyle w:val="FootnoteReference"/>
          <w:sz w:val="24"/>
          <w:szCs w:val="24"/>
          <w:lang w:val="sk-SK"/>
        </w:rPr>
        <w:footnoteRef/>
      </w:r>
      <w:r w:rsidR="00277DF3" w:rsidRPr="00332155">
        <w:rPr>
          <w:sz w:val="24"/>
          <w:szCs w:val="24"/>
          <w:lang w:val="sk-SK"/>
        </w:rPr>
        <w:t xml:space="preserve"> </w:t>
      </w:r>
      <w:r w:rsidR="00277DF3" w:rsidRPr="00332155">
        <w:rPr>
          <w:sz w:val="24"/>
          <w:szCs w:val="24"/>
          <w:lang w:val="sk-SK"/>
        </w:rPr>
        <w:tab/>
      </w:r>
      <w:r w:rsidRPr="00332155">
        <w:rPr>
          <w:sz w:val="24"/>
          <w:szCs w:val="24"/>
          <w:lang w:val="sk-SK"/>
        </w:rPr>
        <w:t>Nariadenie Európskeho parlamentu a Rady (EÚ) 2018/1999 z 11. decembra 2018 o riadení energetickej únie a opatrení v oblasti klímy, ktorým sa menia nariadenia Európskeho parlamentu a Rady (ES) č. 663/2009 a (ES) č. 715/2009, smernice Európskeho parlamentu a Rady 94/22/ES, 98/70/ES, 2009/31/ES, 2009/73/ES, 2010/31/EÚ, 2012/27/EÚ a 2013/30/EÚ, smernice Rady 2009/119/ES a (EÚ) 2015/652 a ktorým sa zrušuje nariadenie Európskeho parlamentu a Rady (EÚ) č. 525/2013 (Ú. v. EÚ L 328, 21.12.2018, s. 1, ELI: </w:t>
      </w:r>
      <w:hyperlink r:id="rId1" w:history="1">
        <w:r w:rsidR="00821C5B" w:rsidRPr="00332155">
          <w:rPr>
            <w:rStyle w:val="Hyperlink"/>
            <w:sz w:val="24"/>
            <w:szCs w:val="24"/>
            <w:lang w:val="sk-SK"/>
          </w:rPr>
          <w:t>http://data.europa.eu/eli/reg/2018/1999/oj</w:t>
        </w:r>
      </w:hyperlink>
      <w:r w:rsidRPr="00332155">
        <w:rPr>
          <w:sz w:val="24"/>
          <w:szCs w:val="24"/>
          <w:lang w:val="sk-SK"/>
        </w:rPr>
        <w:t>).</w:t>
      </w:r>
    </w:p>
  </w:footnote>
  <w:footnote w:id="4">
    <w:p w14:paraId="20E6EF80" w14:textId="32EA030C" w:rsidR="009517BF" w:rsidRPr="00332155" w:rsidRDefault="009517BF" w:rsidP="00277DF3">
      <w:pPr>
        <w:pStyle w:val="FootnoteText"/>
        <w:ind w:left="567" w:hanging="567"/>
        <w:rPr>
          <w:sz w:val="24"/>
          <w:szCs w:val="24"/>
          <w:lang w:val="sk-SK"/>
        </w:rPr>
      </w:pPr>
      <w:r w:rsidRPr="00332155">
        <w:rPr>
          <w:rStyle w:val="FootnoteReference"/>
          <w:sz w:val="24"/>
          <w:szCs w:val="24"/>
          <w:lang w:val="sk-SK"/>
        </w:rPr>
        <w:footnoteRef/>
      </w:r>
      <w:r w:rsidR="00277DF3" w:rsidRPr="00332155">
        <w:rPr>
          <w:sz w:val="24"/>
          <w:szCs w:val="24"/>
          <w:lang w:val="sk-SK"/>
        </w:rPr>
        <w:t xml:space="preserve"> </w:t>
      </w:r>
      <w:r w:rsidR="00277DF3" w:rsidRPr="00332155">
        <w:rPr>
          <w:sz w:val="24"/>
          <w:szCs w:val="24"/>
          <w:lang w:val="sk-SK"/>
        </w:rPr>
        <w:tab/>
      </w:r>
      <w:r w:rsidRPr="00332155">
        <w:rPr>
          <w:sz w:val="24"/>
          <w:szCs w:val="24"/>
          <w:lang w:val="sk-SK"/>
        </w:rPr>
        <w:t>Smernica Rady 2003/96/ES z 27. októbra 2003 o reštrukturalizácii právneho rámca Spoločenstva pre zdaňovanie energetických výrobkov a elektriny (Ú. v. EÚ L 283, 31.10.2003, s. </w:t>
      </w:r>
      <w:r w:rsidRPr="00332155">
        <w:rPr>
          <w:sz w:val="24"/>
          <w:szCs w:val="24"/>
          <w:lang w:val="sk-SK"/>
        </w:rPr>
        <w:t>51, ELI: </w:t>
      </w:r>
      <w:hyperlink r:id="rId2" w:history="1">
        <w:r w:rsidR="00821C5B" w:rsidRPr="00332155">
          <w:rPr>
            <w:rStyle w:val="Hyperlink"/>
            <w:sz w:val="24"/>
            <w:szCs w:val="24"/>
            <w:lang w:val="sk-SK"/>
          </w:rPr>
          <w:t>http://data.europa.eu/eli/dir/2003/96/oj</w:t>
        </w:r>
      </w:hyperlink>
      <w:r w:rsidRPr="00332155">
        <w:rPr>
          <w:sz w:val="24"/>
          <w:szCs w:val="24"/>
          <w:lang w:val="sk-SK"/>
        </w:rPr>
        <w:t>).</w:t>
      </w:r>
    </w:p>
  </w:footnote>
  <w:footnote w:id="5">
    <w:p w14:paraId="567ED7BE" w14:textId="5683BD6C" w:rsidR="009517BF" w:rsidRPr="00332155" w:rsidRDefault="009517BF" w:rsidP="00277DF3">
      <w:pPr>
        <w:pStyle w:val="FootnoteText"/>
        <w:ind w:left="567" w:hanging="567"/>
        <w:rPr>
          <w:sz w:val="24"/>
          <w:szCs w:val="24"/>
          <w:lang w:val="sk-SK"/>
        </w:rPr>
      </w:pPr>
      <w:r w:rsidRPr="00332155">
        <w:rPr>
          <w:rStyle w:val="FootnoteReference"/>
          <w:sz w:val="24"/>
          <w:szCs w:val="24"/>
          <w:lang w:val="sk-SK"/>
        </w:rPr>
        <w:footnoteRef/>
      </w:r>
      <w:r w:rsidR="00277DF3" w:rsidRPr="00332155">
        <w:rPr>
          <w:sz w:val="24"/>
          <w:szCs w:val="24"/>
          <w:lang w:val="sk-SK"/>
        </w:rPr>
        <w:t xml:space="preserve"> </w:t>
      </w:r>
      <w:r w:rsidR="00277DF3" w:rsidRPr="00332155">
        <w:rPr>
          <w:sz w:val="24"/>
          <w:szCs w:val="24"/>
          <w:lang w:val="sk-SK"/>
        </w:rPr>
        <w:tab/>
      </w:r>
      <w:r w:rsidRPr="00332155">
        <w:rPr>
          <w:sz w:val="24"/>
          <w:szCs w:val="24"/>
          <w:lang w:val="sk-SK"/>
        </w:rPr>
        <w:t xml:space="preserve">Smernica Európskeho parlamentu a Rady (EÚ) 2023/2413 z 18. októbra 2023, ktorou sa mení smernica (EÚ) 2018/2001, nariadenie (EÚ) 2018/1999 a smernica 98/70/ES, pokiaľ ide o podporu energie z obnoviteľných zdrojov, a ktorou sa zrušuje smernica Rady (EÚ) 2015/652 (Ú. v. </w:t>
      </w:r>
      <w:r w:rsidRPr="00332155">
        <w:rPr>
          <w:sz w:val="24"/>
          <w:szCs w:val="24"/>
          <w:lang w:val="sk-SK"/>
        </w:rPr>
        <w:t>EÚ L, 2023/2413, 31.10.2023, ELI: </w:t>
      </w:r>
      <w:hyperlink w:history="1"/>
      <w:hyperlink r:id="rId3" w:history="1">
        <w:r w:rsidR="00821C5B" w:rsidRPr="00332155">
          <w:rPr>
            <w:rStyle w:val="Hyperlink"/>
            <w:sz w:val="24"/>
            <w:szCs w:val="24"/>
            <w:lang w:val="sk-SK"/>
          </w:rPr>
          <w:t>http://data.europa.eu/eli/dir/2023/2413/oj</w:t>
        </w:r>
      </w:hyperlink>
      <w:r w:rsidRPr="00332155">
        <w:rPr>
          <w:sz w:val="24"/>
          <w:szCs w:val="24"/>
          <w:lang w:val="sk-SK"/>
        </w:rPr>
        <w:t>).</w:t>
      </w:r>
    </w:p>
  </w:footnote>
  <w:footnote w:id="6">
    <w:p w14:paraId="5B27707C" w14:textId="78D2FE96" w:rsidR="009517BF" w:rsidRPr="00332155" w:rsidRDefault="009517BF" w:rsidP="00277DF3">
      <w:pPr>
        <w:pStyle w:val="FootnoteText"/>
        <w:ind w:left="567" w:hanging="567"/>
        <w:rPr>
          <w:sz w:val="24"/>
          <w:szCs w:val="24"/>
          <w:lang w:val="sk-SK"/>
        </w:rPr>
      </w:pPr>
      <w:r w:rsidRPr="00332155">
        <w:rPr>
          <w:rStyle w:val="FootnoteReference"/>
          <w:sz w:val="24"/>
          <w:szCs w:val="24"/>
          <w:lang w:val="sk-SK"/>
        </w:rPr>
        <w:footnoteRef/>
      </w:r>
      <w:r w:rsidR="00277DF3" w:rsidRPr="00332155">
        <w:rPr>
          <w:sz w:val="24"/>
          <w:szCs w:val="24"/>
          <w:lang w:val="sk-SK"/>
        </w:rPr>
        <w:t xml:space="preserve"> </w:t>
      </w:r>
      <w:r w:rsidR="00277DF3" w:rsidRPr="00332155">
        <w:rPr>
          <w:sz w:val="24"/>
          <w:szCs w:val="24"/>
          <w:lang w:val="sk-SK"/>
        </w:rPr>
        <w:tab/>
      </w:r>
      <w:r w:rsidRPr="00332155">
        <w:rPr>
          <w:sz w:val="24"/>
          <w:szCs w:val="24"/>
          <w:lang w:val="sk-SK"/>
        </w:rPr>
        <w:t>Nariadenie Európskeho parlamentu a Rady (EÚ) 2024/1735 z 13. júna 2024 o zriadení rámca opatrení na posilnenie európskeho ekosystému výroby emisne neutrálnych technológií a o zmene nariadenia (EÚ) 2018/1724, Ú. v. </w:t>
      </w:r>
      <w:r w:rsidRPr="00332155">
        <w:rPr>
          <w:sz w:val="24"/>
          <w:szCs w:val="24"/>
          <w:lang w:val="sk-SK"/>
        </w:rPr>
        <w:t>EÚ L, 2024/1735, 28.6.2024, ELI: </w:t>
      </w:r>
      <w:r w:rsidR="00821C5B" w:rsidRPr="00332155">
        <w:rPr>
          <w:rStyle w:val="Hyperlink"/>
          <w:sz w:val="24"/>
          <w:szCs w:val="24"/>
          <w:lang w:val="sk-SK"/>
        </w:rPr>
        <w:t xml:space="preserve"> </w:t>
      </w:r>
      <w:hyperlink r:id="rId4" w:history="1">
        <w:r w:rsidR="00821C5B" w:rsidRPr="00332155">
          <w:rPr>
            <w:rStyle w:val="Hyperlink"/>
            <w:sz w:val="24"/>
            <w:szCs w:val="24"/>
            <w:lang w:val="sk-SK"/>
          </w:rPr>
          <w:t>http://data.europa.eu/eli/reg/2024/1735/oj</w:t>
        </w:r>
      </w:hyperlink>
      <w:r w:rsidRPr="00332155">
        <w:rPr>
          <w:sz w:val="24"/>
          <w:szCs w:val="24"/>
          <w:lang w:val="sk-SK"/>
        </w:rPr>
        <w:t>).</w:t>
      </w:r>
    </w:p>
  </w:footnote>
  <w:footnote w:id="7">
    <w:p w14:paraId="1313246F" w14:textId="517DB634" w:rsidR="009517BF" w:rsidRPr="00332155" w:rsidRDefault="009517BF" w:rsidP="00277DF3">
      <w:pPr>
        <w:pStyle w:val="FootnoteText"/>
        <w:ind w:left="567" w:hanging="567"/>
        <w:rPr>
          <w:sz w:val="24"/>
          <w:szCs w:val="24"/>
          <w:lang w:val="sk-SK"/>
        </w:rPr>
      </w:pPr>
      <w:r w:rsidRPr="00332155">
        <w:rPr>
          <w:rStyle w:val="FootnoteReference"/>
          <w:sz w:val="24"/>
          <w:szCs w:val="24"/>
          <w:lang w:val="sk-SK"/>
        </w:rPr>
        <w:footnoteRef/>
      </w:r>
      <w:r w:rsidR="00277DF3" w:rsidRPr="00332155">
        <w:rPr>
          <w:sz w:val="24"/>
          <w:szCs w:val="24"/>
          <w:lang w:val="sk-SK"/>
        </w:rPr>
        <w:t xml:space="preserve"> </w:t>
      </w:r>
      <w:r w:rsidR="00277DF3" w:rsidRPr="00332155">
        <w:rPr>
          <w:sz w:val="24"/>
          <w:szCs w:val="24"/>
          <w:lang w:val="sk-SK"/>
        </w:rPr>
        <w:tab/>
      </w:r>
      <w:r w:rsidRPr="00332155">
        <w:rPr>
          <w:sz w:val="24"/>
          <w:szCs w:val="24"/>
          <w:lang w:val="sk-SK"/>
        </w:rPr>
        <w:t>Smernica Európskeho parlamentu a Rady (EÚ) 2024/1788 z 13. júna 2024 o spoločných pravidlách pre vnútorný trh s obnoviteľným plynom, zemným plynom a vodíkom, ktorou sa mení smernica (EÚ) 2023/1791 a zrušuje smernica 2009/73/ES (Ú. v. </w:t>
      </w:r>
      <w:r w:rsidRPr="00332155">
        <w:rPr>
          <w:sz w:val="24"/>
          <w:szCs w:val="24"/>
          <w:lang w:val="sk-SK"/>
        </w:rPr>
        <w:t xml:space="preserve">EÚ L, 2024/1788, 15.7.2024, ELI: </w:t>
      </w:r>
      <w:hyperlink w:history="1"/>
      <w:r w:rsidR="00821C5B" w:rsidRPr="00332155">
        <w:rPr>
          <w:rStyle w:val="Hyperlink"/>
          <w:sz w:val="24"/>
          <w:szCs w:val="24"/>
          <w:lang w:val="sk-SK"/>
        </w:rPr>
        <w:t xml:space="preserve"> </w:t>
      </w:r>
      <w:hyperlink r:id="rId5" w:history="1">
        <w:r w:rsidR="00821C5B" w:rsidRPr="00332155">
          <w:rPr>
            <w:rStyle w:val="Hyperlink"/>
            <w:sz w:val="24"/>
            <w:szCs w:val="24"/>
            <w:lang w:val="sk-SK"/>
          </w:rPr>
          <w:t>http://data.europa.eu/eli/dir/2024/1788/oj</w:t>
        </w:r>
      </w:hyperlink>
      <w:r w:rsidRPr="00332155">
        <w:rPr>
          <w:sz w:val="24"/>
          <w:szCs w:val="24"/>
          <w:lang w:val="sk-SK"/>
        </w:rPr>
        <w:t>).</w:t>
      </w:r>
    </w:p>
  </w:footnote>
  <w:footnote w:id="8">
    <w:p w14:paraId="60697291" w14:textId="5EC3D084" w:rsidR="009517BF" w:rsidRPr="00332155" w:rsidRDefault="009517BF" w:rsidP="00277DF3">
      <w:pPr>
        <w:pStyle w:val="FootnoteText"/>
        <w:ind w:left="567" w:hanging="567"/>
        <w:rPr>
          <w:sz w:val="24"/>
          <w:szCs w:val="24"/>
          <w:lang w:val="sk-SK"/>
        </w:rPr>
      </w:pPr>
      <w:r w:rsidRPr="00332155">
        <w:rPr>
          <w:rStyle w:val="FootnoteReference"/>
          <w:sz w:val="24"/>
          <w:szCs w:val="24"/>
          <w:lang w:val="sk-SK"/>
        </w:rPr>
        <w:footnoteRef/>
      </w:r>
      <w:r w:rsidR="00277DF3" w:rsidRPr="00332155">
        <w:rPr>
          <w:sz w:val="24"/>
          <w:szCs w:val="24"/>
          <w:lang w:val="sk-SK"/>
        </w:rPr>
        <w:t xml:space="preserve"> </w:t>
      </w:r>
      <w:r w:rsidR="00277DF3" w:rsidRPr="00332155">
        <w:rPr>
          <w:sz w:val="24"/>
          <w:szCs w:val="24"/>
          <w:lang w:val="sk-SK"/>
        </w:rPr>
        <w:tab/>
      </w:r>
      <w:r w:rsidRPr="00332155">
        <w:rPr>
          <w:sz w:val="24"/>
          <w:szCs w:val="24"/>
          <w:lang w:val="sk-SK"/>
        </w:rPr>
        <w:t xml:space="preserve">Delegované nariadenie Komisie (EÚ) 2023/1184 z 10. februára 2023, ktorým sa dopĺňa smernica Európskeho parlamentu a Rady (EÚ) 2018/2001 vypracovaním metodiky Únie, ktorou sa stanovujú podrobné pravidlá výroby kvapalných a plynných palív v doprave z obnoviteľných zdrojov nebiologického pôvodu (Ú. v. EÚ L 157, 20.6.2023, s. </w:t>
      </w:r>
      <w:r w:rsidRPr="00332155">
        <w:rPr>
          <w:sz w:val="24"/>
          <w:szCs w:val="24"/>
          <w:lang w:val="sk-SK"/>
        </w:rPr>
        <w:t xml:space="preserve">11, ELI: </w:t>
      </w:r>
      <w:hyperlink r:id="rId6" w:history="1">
        <w:r w:rsidR="00821C5B" w:rsidRPr="00332155">
          <w:rPr>
            <w:rStyle w:val="Hyperlink"/>
            <w:sz w:val="24"/>
            <w:szCs w:val="24"/>
            <w:lang w:val="sk-SK"/>
          </w:rPr>
          <w:t>http://data.europa.eu/eli/reg_del/2023/1184/oj</w:t>
        </w:r>
      </w:hyperlink>
      <w:r w:rsidRPr="00332155">
        <w:rPr>
          <w:sz w:val="24"/>
          <w:szCs w:val="24"/>
          <w:lang w:val="sk-SK"/>
        </w:rPr>
        <w:t>).</w:t>
      </w:r>
    </w:p>
  </w:footnote>
  <w:footnote w:id="9">
    <w:p w14:paraId="485D0003" w14:textId="192339D0" w:rsidR="009517BF" w:rsidRPr="00332155" w:rsidRDefault="009517BF" w:rsidP="00277DF3">
      <w:pPr>
        <w:pStyle w:val="FootnoteText"/>
        <w:ind w:left="567" w:hanging="567"/>
        <w:rPr>
          <w:sz w:val="24"/>
          <w:szCs w:val="24"/>
          <w:lang w:val="sk-SK"/>
        </w:rPr>
      </w:pPr>
      <w:r w:rsidRPr="00332155">
        <w:rPr>
          <w:rStyle w:val="FootnoteReference"/>
          <w:sz w:val="24"/>
          <w:szCs w:val="24"/>
          <w:lang w:val="sk-SK"/>
        </w:rPr>
        <w:footnoteRef/>
      </w:r>
      <w:r w:rsidR="00277DF3" w:rsidRPr="00332155">
        <w:rPr>
          <w:sz w:val="24"/>
          <w:szCs w:val="24"/>
          <w:lang w:val="sk-SK"/>
        </w:rPr>
        <w:t xml:space="preserve"> </w:t>
      </w:r>
      <w:r w:rsidR="00277DF3" w:rsidRPr="00332155">
        <w:rPr>
          <w:sz w:val="24"/>
          <w:szCs w:val="24"/>
          <w:lang w:val="sk-SK"/>
        </w:rPr>
        <w:tab/>
      </w:r>
      <w:r w:rsidRPr="00332155">
        <w:rPr>
          <w:sz w:val="24"/>
          <w:szCs w:val="24"/>
          <w:lang w:val="sk-SK"/>
        </w:rPr>
        <w:t xml:space="preserve">Nariadenie Európskeho parlamentu a Rady (EÚ) 2024/1781 z 13. júna 2024, ktorým sa zriaďuje rámec na stanovenie požiadaviek na </w:t>
      </w:r>
      <w:proofErr w:type="spellStart"/>
      <w:r w:rsidRPr="00332155">
        <w:rPr>
          <w:sz w:val="24"/>
          <w:szCs w:val="24"/>
          <w:lang w:val="sk-SK"/>
        </w:rPr>
        <w:t>ekodizajn</w:t>
      </w:r>
      <w:proofErr w:type="spellEnd"/>
      <w:r w:rsidRPr="00332155">
        <w:rPr>
          <w:sz w:val="24"/>
          <w:szCs w:val="24"/>
          <w:lang w:val="sk-SK"/>
        </w:rPr>
        <w:t xml:space="preserve"> udržateľných výrobkov, mení smernica (EÚ) 2020/1828 a nariadenie (EÚ) 2023/1542 a zrušuje smernica 2009/125/ES (Ú. v. </w:t>
      </w:r>
      <w:r w:rsidRPr="00332155">
        <w:rPr>
          <w:sz w:val="24"/>
          <w:szCs w:val="24"/>
          <w:lang w:val="sk-SK"/>
        </w:rPr>
        <w:t>EÚ L, 2024/1781, 28.6.2024, ELI: </w:t>
      </w:r>
      <w:hyperlink w:history="1"/>
      <w:r w:rsidR="001C0F07" w:rsidRPr="00332155">
        <w:rPr>
          <w:rStyle w:val="Hyperlink"/>
          <w:sz w:val="24"/>
          <w:szCs w:val="24"/>
          <w:lang w:val="sk-SK"/>
        </w:rPr>
        <w:t xml:space="preserve"> </w:t>
      </w:r>
      <w:hyperlink r:id="rId7" w:history="1">
        <w:r w:rsidR="001C0F07" w:rsidRPr="00332155">
          <w:rPr>
            <w:rStyle w:val="Hyperlink"/>
            <w:sz w:val="24"/>
            <w:szCs w:val="24"/>
            <w:lang w:val="sk-SK"/>
          </w:rPr>
          <w:t>http://data.europa.eu/eli/reg/2024/1781/oj</w:t>
        </w:r>
      </w:hyperlink>
      <w:r w:rsidRPr="00332155">
        <w:rPr>
          <w:sz w:val="24"/>
          <w:szCs w:val="24"/>
          <w:lang w:val="sk-SK"/>
        </w:rPr>
        <w:t>).</w:t>
      </w:r>
    </w:p>
  </w:footnote>
  <w:footnote w:id="10">
    <w:p w14:paraId="32D65D0A" w14:textId="303E01AD" w:rsidR="009517BF" w:rsidRPr="00332155" w:rsidRDefault="009517BF" w:rsidP="00277DF3">
      <w:pPr>
        <w:pStyle w:val="FootnoteText"/>
        <w:ind w:left="567" w:hanging="567"/>
        <w:rPr>
          <w:sz w:val="24"/>
          <w:szCs w:val="24"/>
          <w:lang w:val="sk-SK"/>
        </w:rPr>
      </w:pPr>
      <w:r w:rsidRPr="00332155">
        <w:rPr>
          <w:sz w:val="24"/>
          <w:szCs w:val="24"/>
          <w:vertAlign w:val="superscript"/>
          <w:lang w:val="sk-SK"/>
        </w:rPr>
        <w:footnoteRef/>
      </w:r>
      <w:r w:rsidR="00277DF3" w:rsidRPr="00332155">
        <w:rPr>
          <w:sz w:val="24"/>
          <w:szCs w:val="24"/>
          <w:lang w:val="sk-SK"/>
        </w:rPr>
        <w:t xml:space="preserve"> </w:t>
      </w:r>
      <w:r w:rsidR="00277DF3" w:rsidRPr="00332155">
        <w:rPr>
          <w:sz w:val="24"/>
          <w:szCs w:val="24"/>
          <w:lang w:val="sk-SK"/>
        </w:rPr>
        <w:tab/>
      </w:r>
      <w:r w:rsidRPr="00332155">
        <w:rPr>
          <w:sz w:val="24"/>
          <w:szCs w:val="24"/>
          <w:lang w:val="sk-SK"/>
        </w:rPr>
        <w:t>Nariadenie Európskeho parlamentu a Rady (EÚ) 2024/3110 z 27. novembra 2024</w:t>
      </w:r>
      <w:r w:rsidR="00952473">
        <w:rPr>
          <w:sz w:val="24"/>
          <w:szCs w:val="24"/>
          <w:lang w:val="sk-SK"/>
        </w:rPr>
        <w:t xml:space="preserve">, </w:t>
      </w:r>
      <w:r w:rsidRPr="00332155">
        <w:rPr>
          <w:sz w:val="24"/>
          <w:szCs w:val="24"/>
          <w:lang w:val="sk-SK"/>
        </w:rPr>
        <w:t>ktorým sa stanovujú harmonizované pravidlá uvádzania stavebných výrobkov na trh a zrušuje nariadenie (EÚ) č. 305/2011 (Ú. v. </w:t>
      </w:r>
      <w:r w:rsidRPr="00332155">
        <w:rPr>
          <w:sz w:val="24"/>
          <w:szCs w:val="24"/>
          <w:lang w:val="sk-SK"/>
        </w:rPr>
        <w:t>EÚ L, 2024/3110, 18.12.2024, ELI: </w:t>
      </w:r>
      <w:r w:rsidR="001C0F07" w:rsidRPr="00332155">
        <w:rPr>
          <w:rStyle w:val="Hyperlink"/>
          <w:sz w:val="24"/>
          <w:szCs w:val="24"/>
          <w:lang w:val="sk-SK"/>
        </w:rPr>
        <w:t xml:space="preserve"> </w:t>
      </w:r>
      <w:hyperlink r:id="rId8" w:history="1">
        <w:r w:rsidR="001C0F07" w:rsidRPr="00332155">
          <w:rPr>
            <w:rStyle w:val="Hyperlink"/>
            <w:sz w:val="24"/>
            <w:szCs w:val="24"/>
            <w:lang w:val="sk-SK"/>
          </w:rPr>
          <w:t>http://data.europa.eu/eli/reg/2024/3110/oj</w:t>
        </w:r>
      </w:hyperlink>
      <w:r w:rsidRPr="00332155">
        <w:rPr>
          <w:sz w:val="24"/>
          <w:szCs w:val="24"/>
          <w:lang w:val="sk-SK"/>
        </w:rPr>
        <w:t>).</w:t>
      </w:r>
    </w:p>
  </w:footnote>
  <w:footnote w:id="11">
    <w:p w14:paraId="64BC1C53" w14:textId="431CC690" w:rsidR="009517BF" w:rsidRPr="00332155" w:rsidRDefault="009517BF" w:rsidP="00277DF3">
      <w:pPr>
        <w:pStyle w:val="FootnoteText"/>
        <w:ind w:left="567" w:hanging="567"/>
        <w:rPr>
          <w:sz w:val="24"/>
          <w:szCs w:val="24"/>
          <w:lang w:val="sk-SK"/>
        </w:rPr>
      </w:pPr>
      <w:r w:rsidRPr="00332155">
        <w:rPr>
          <w:rStyle w:val="FootnoteReference"/>
          <w:sz w:val="24"/>
          <w:szCs w:val="24"/>
          <w:lang w:val="sk-SK"/>
        </w:rPr>
        <w:footnoteRef/>
      </w:r>
      <w:r w:rsidR="00277DF3" w:rsidRPr="00332155">
        <w:rPr>
          <w:sz w:val="24"/>
          <w:szCs w:val="24"/>
          <w:lang w:val="sk-SK"/>
        </w:rPr>
        <w:t xml:space="preserve"> </w:t>
      </w:r>
      <w:r w:rsidR="00277DF3" w:rsidRPr="00332155">
        <w:rPr>
          <w:sz w:val="24"/>
          <w:szCs w:val="24"/>
          <w:lang w:val="sk-SK"/>
        </w:rPr>
        <w:tab/>
      </w:r>
      <w:r w:rsidRPr="00332155">
        <w:rPr>
          <w:sz w:val="24"/>
          <w:szCs w:val="24"/>
          <w:lang w:val="sk-SK"/>
        </w:rPr>
        <w:t xml:space="preserve">Nariadenie Európskeho parlamentu a Rady (EÚ) 2024/1252 z 11. apríla 2024, ktorým sa stanovuje rámec na zaistenie bezpečných a udržateľných dodávok kritických surovín a ktorým sa menia nariadenia (EÚ) č. 168/2013, (EÚ) 2018/858, (EÚ) 2018/1724 a (EÚ) 2019/1020 (Ú. v. </w:t>
      </w:r>
      <w:r w:rsidRPr="00332155">
        <w:rPr>
          <w:sz w:val="24"/>
          <w:szCs w:val="24"/>
          <w:lang w:val="sk-SK"/>
        </w:rPr>
        <w:t>EÚ L, 2024/1252, 3.5.2024, ELI: </w:t>
      </w:r>
      <w:hyperlink r:id="rId9" w:history="1">
        <w:r w:rsidR="001C0F07" w:rsidRPr="00332155">
          <w:rPr>
            <w:rStyle w:val="Hyperlink"/>
            <w:sz w:val="24"/>
            <w:szCs w:val="24"/>
            <w:lang w:val="sk-SK"/>
          </w:rPr>
          <w:t>http://data.europa.eu/eli/reg/2024/1252/oj</w:t>
        </w:r>
      </w:hyperlink>
      <w:r w:rsidRPr="00332155">
        <w:rPr>
          <w:sz w:val="24"/>
          <w:szCs w:val="24"/>
          <w:lang w:val="sk-SK"/>
        </w:rPr>
        <w:t>).</w:t>
      </w:r>
    </w:p>
  </w:footnote>
  <w:footnote w:id="12">
    <w:p w14:paraId="1F97983C" w14:textId="41FA5243" w:rsidR="009517BF" w:rsidRPr="00332155" w:rsidRDefault="009517BF" w:rsidP="00277DF3">
      <w:pPr>
        <w:pStyle w:val="FootnoteText"/>
        <w:ind w:left="567" w:hanging="567"/>
        <w:rPr>
          <w:sz w:val="24"/>
          <w:szCs w:val="24"/>
          <w:lang w:val="sk-SK"/>
        </w:rPr>
      </w:pPr>
      <w:r w:rsidRPr="00332155">
        <w:rPr>
          <w:rStyle w:val="FootnoteReference"/>
          <w:sz w:val="24"/>
          <w:szCs w:val="24"/>
          <w:lang w:val="sk-SK"/>
        </w:rPr>
        <w:footnoteRef/>
      </w:r>
      <w:r w:rsidR="00277DF3" w:rsidRPr="00332155">
        <w:rPr>
          <w:sz w:val="24"/>
          <w:szCs w:val="24"/>
          <w:lang w:val="sk-SK"/>
        </w:rPr>
        <w:t xml:space="preserve"> </w:t>
      </w:r>
      <w:r w:rsidR="00277DF3" w:rsidRPr="00332155">
        <w:rPr>
          <w:sz w:val="24"/>
          <w:szCs w:val="24"/>
          <w:lang w:val="sk-SK"/>
        </w:rPr>
        <w:tab/>
      </w:r>
      <w:r w:rsidRPr="00332155">
        <w:rPr>
          <w:sz w:val="24"/>
          <w:szCs w:val="24"/>
          <w:lang w:val="sk-SK"/>
        </w:rPr>
        <w:t xml:space="preserve">Nariadenie Európskeho parlamentu a Rady (EÚ) 2024/1157 z 11. apríla 2024 o preprave odpadu, ktorým sa menia nariadenia (EÚ) č. 1257/2013 a (EÚ) 2020/1056 a zrušuje nariadenie (ES) č. 1013/2006 (Ú. v. </w:t>
      </w:r>
      <w:r w:rsidRPr="00332155">
        <w:rPr>
          <w:sz w:val="24"/>
          <w:szCs w:val="24"/>
          <w:lang w:val="sk-SK"/>
        </w:rPr>
        <w:t>EÚ L, 2024/1157, 30.4.2024, ELI: </w:t>
      </w:r>
      <w:r w:rsidR="001C0F07" w:rsidRPr="00332155">
        <w:rPr>
          <w:rStyle w:val="Hyperlink"/>
          <w:sz w:val="24"/>
          <w:szCs w:val="24"/>
          <w:lang w:val="sk-SK"/>
        </w:rPr>
        <w:t xml:space="preserve"> </w:t>
      </w:r>
      <w:hyperlink r:id="rId10" w:history="1">
        <w:r w:rsidR="001C0F07" w:rsidRPr="00332155">
          <w:rPr>
            <w:rStyle w:val="Hyperlink"/>
            <w:sz w:val="24"/>
            <w:szCs w:val="24"/>
            <w:lang w:val="sk-SK"/>
          </w:rPr>
          <w:t>http://data.europa.eu/eli/reg/2024/1157/oj</w:t>
        </w:r>
      </w:hyperlink>
      <w:r w:rsidRPr="00332155">
        <w:rPr>
          <w:sz w:val="24"/>
          <w:szCs w:val="24"/>
          <w:lang w:val="sk-SK"/>
        </w:rPr>
        <w:t>).</w:t>
      </w:r>
    </w:p>
  </w:footnote>
  <w:footnote w:id="13">
    <w:p w14:paraId="15B807D9" w14:textId="2BFA241A" w:rsidR="009517BF" w:rsidRPr="00332155" w:rsidRDefault="009517BF" w:rsidP="00277DF3">
      <w:pPr>
        <w:pStyle w:val="FootnoteText"/>
        <w:ind w:left="567" w:hanging="567"/>
        <w:rPr>
          <w:sz w:val="24"/>
          <w:szCs w:val="24"/>
          <w:lang w:val="sk-SK"/>
        </w:rPr>
      </w:pPr>
      <w:r w:rsidRPr="00332155">
        <w:rPr>
          <w:rStyle w:val="FootnoteReference"/>
          <w:sz w:val="24"/>
          <w:szCs w:val="24"/>
          <w:lang w:val="sk-SK"/>
        </w:rPr>
        <w:footnoteRef/>
      </w:r>
      <w:r w:rsidR="00277DF3" w:rsidRPr="00332155">
        <w:rPr>
          <w:sz w:val="24"/>
          <w:szCs w:val="24"/>
          <w:lang w:val="sk-SK"/>
        </w:rPr>
        <w:t xml:space="preserve"> </w:t>
      </w:r>
      <w:r w:rsidR="00277DF3" w:rsidRPr="00332155">
        <w:rPr>
          <w:sz w:val="24"/>
          <w:szCs w:val="24"/>
          <w:lang w:val="sk-SK"/>
        </w:rPr>
        <w:tab/>
      </w:r>
      <w:r w:rsidRPr="00332155">
        <w:rPr>
          <w:sz w:val="24"/>
          <w:szCs w:val="24"/>
          <w:lang w:val="sk-SK"/>
        </w:rPr>
        <w:t xml:space="preserve">Nariadenie Európskeho parlamentu a Rady (EÚ) 2022/2560 zo 14. decembra 2022 o zahraničných subvenciách narúšajúcich vnútorný trh (Ú. </w:t>
      </w:r>
      <w:r w:rsidRPr="00332155">
        <w:rPr>
          <w:sz w:val="24"/>
          <w:szCs w:val="24"/>
          <w:lang w:val="sk-SK"/>
        </w:rPr>
        <w:t>v</w:t>
      </w:r>
      <w:r w:rsidR="00C51A5E">
        <w:rPr>
          <w:sz w:val="24"/>
          <w:szCs w:val="24"/>
          <w:lang w:val="sk-SK"/>
        </w:rPr>
        <w:t>.</w:t>
      </w:r>
      <w:bookmarkStart w:id="7" w:name="_GoBack"/>
      <w:bookmarkEnd w:id="7"/>
      <w:r w:rsidRPr="00332155">
        <w:rPr>
          <w:sz w:val="24"/>
          <w:szCs w:val="24"/>
          <w:lang w:val="sk-SK"/>
        </w:rPr>
        <w:t> EÚ L 330, 23.12.2022, s. 1, ELI: </w:t>
      </w:r>
      <w:r w:rsidR="001C0F07" w:rsidRPr="00332155">
        <w:rPr>
          <w:rStyle w:val="Hyperlink"/>
          <w:sz w:val="24"/>
          <w:szCs w:val="24"/>
          <w:lang w:val="sk-SK"/>
        </w:rPr>
        <w:t xml:space="preserve"> </w:t>
      </w:r>
      <w:hyperlink r:id="rId11" w:history="1">
        <w:r w:rsidR="001C0F07" w:rsidRPr="00332155">
          <w:rPr>
            <w:rStyle w:val="Hyperlink"/>
            <w:sz w:val="24"/>
            <w:szCs w:val="24"/>
            <w:lang w:val="sk-SK"/>
          </w:rPr>
          <w:t>http://data.europa.eu/eli/reg/2022/2560/oj</w:t>
        </w:r>
      </w:hyperlink>
      <w:r w:rsidRPr="00332155">
        <w:rPr>
          <w:sz w:val="24"/>
          <w:szCs w:val="24"/>
          <w:lang w:val="sk-SK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6278CD" w14:textId="77777777" w:rsidR="00064002" w:rsidRPr="00277DF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89B058" w14:textId="77777777" w:rsidR="00064002" w:rsidRPr="00277DF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52AD05" w14:textId="77777777" w:rsidR="00064002" w:rsidRPr="00277DF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77/2025"/>
    <w:docVar w:name="dvlangue" w:val="SK"/>
    <w:docVar w:name="dvnumam" w:val="0"/>
    <w:docVar w:name="dvpe" w:val="773.358"/>
    <w:docVar w:name="dvtitre" w:val="Uznesenie Európskeho parlamentu z xx. júna 2025 o dohode o čistom priemysle(2025/2656(RSP))"/>
  </w:docVars>
  <w:rsids>
    <w:rsidRoot w:val="0054234C"/>
    <w:rsid w:val="00002272"/>
    <w:rsid w:val="00064002"/>
    <w:rsid w:val="000677B9"/>
    <w:rsid w:val="000831BA"/>
    <w:rsid w:val="000A42CC"/>
    <w:rsid w:val="000E7DD9"/>
    <w:rsid w:val="000F6ECC"/>
    <w:rsid w:val="0010095E"/>
    <w:rsid w:val="00125B37"/>
    <w:rsid w:val="00187494"/>
    <w:rsid w:val="001C0F07"/>
    <w:rsid w:val="001F32AE"/>
    <w:rsid w:val="002767FF"/>
    <w:rsid w:val="00277DF3"/>
    <w:rsid w:val="002B18FE"/>
    <w:rsid w:val="002B5493"/>
    <w:rsid w:val="002B5514"/>
    <w:rsid w:val="00332155"/>
    <w:rsid w:val="00342F35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234C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47A25"/>
    <w:rsid w:val="00751A4A"/>
    <w:rsid w:val="00756632"/>
    <w:rsid w:val="00762C74"/>
    <w:rsid w:val="00786EC0"/>
    <w:rsid w:val="007D1690"/>
    <w:rsid w:val="007E22AD"/>
    <w:rsid w:val="00817416"/>
    <w:rsid w:val="00821C5B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17BF"/>
    <w:rsid w:val="00952473"/>
    <w:rsid w:val="00981893"/>
    <w:rsid w:val="00A11008"/>
    <w:rsid w:val="00A1687D"/>
    <w:rsid w:val="00A43E52"/>
    <w:rsid w:val="00A4678D"/>
    <w:rsid w:val="00A778C7"/>
    <w:rsid w:val="00AB441E"/>
    <w:rsid w:val="00AB6293"/>
    <w:rsid w:val="00AE0928"/>
    <w:rsid w:val="00AF3B82"/>
    <w:rsid w:val="00B05BC8"/>
    <w:rsid w:val="00B12E95"/>
    <w:rsid w:val="00B22876"/>
    <w:rsid w:val="00B558F0"/>
    <w:rsid w:val="00BA3EA3"/>
    <w:rsid w:val="00BD48FE"/>
    <w:rsid w:val="00BD7BD8"/>
    <w:rsid w:val="00BE6ADC"/>
    <w:rsid w:val="00C05BFE"/>
    <w:rsid w:val="00C23CD4"/>
    <w:rsid w:val="00C51A5E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02D9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69FCEB"/>
  <w15:chartTrackingRefBased/>
  <w15:docId w15:val="{12C708B6-B194-47A3-B301-64D61BCBE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9517BF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9517BF"/>
    <w:rPr>
      <w:color w:val="0000FF"/>
      <w:u w:val="single"/>
    </w:rPr>
  </w:style>
  <w:style w:type="paragraph" w:styleId="Revision">
    <w:name w:val="Revision"/>
    <w:hidden/>
    <w:uiPriority w:val="99"/>
    <w:semiHidden/>
    <w:rsid w:val="00821C5B"/>
    <w:rPr>
      <w:sz w:val="24"/>
      <w:lang w:val="sk-SK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21C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24/3110/oj" TargetMode="External"/><Relationship Id="rId3" Type="http://schemas.openxmlformats.org/officeDocument/2006/relationships/hyperlink" Target="http://data.europa.eu/eli/dir/2023/2413/oj" TargetMode="External"/><Relationship Id="rId7" Type="http://schemas.openxmlformats.org/officeDocument/2006/relationships/hyperlink" Target="http://data.europa.eu/eli/reg/2024/1781/oj" TargetMode="External"/><Relationship Id="rId2" Type="http://schemas.openxmlformats.org/officeDocument/2006/relationships/hyperlink" Target="http://data.europa.eu/eli/dir/2003/96/oj" TargetMode="External"/><Relationship Id="rId1" Type="http://schemas.openxmlformats.org/officeDocument/2006/relationships/hyperlink" Target="http://data.europa.eu/eli/reg/2018/1999/oj" TargetMode="External"/><Relationship Id="rId6" Type="http://schemas.openxmlformats.org/officeDocument/2006/relationships/hyperlink" Target="http://data.europa.eu/eli/reg_del/2023/1184/oj" TargetMode="External"/><Relationship Id="rId11" Type="http://schemas.openxmlformats.org/officeDocument/2006/relationships/hyperlink" Target="http://data.europa.eu/eli/reg/2022/2560/oj" TargetMode="External"/><Relationship Id="rId5" Type="http://schemas.openxmlformats.org/officeDocument/2006/relationships/hyperlink" Target="http://data.europa.eu/eli/dir/2024/1788/oj" TargetMode="External"/><Relationship Id="rId10" Type="http://schemas.openxmlformats.org/officeDocument/2006/relationships/hyperlink" Target="http://data.europa.eu/eli/reg/2024/1157/oj" TargetMode="External"/><Relationship Id="rId4" Type="http://schemas.openxmlformats.org/officeDocument/2006/relationships/hyperlink" Target="http://data.europa.eu/eli/reg/2024/1735/oj" TargetMode="External"/><Relationship Id="rId9" Type="http://schemas.openxmlformats.org/officeDocument/2006/relationships/hyperlink" Target="http://data.europa.eu/eli/reg/2024/125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194A8A-A4FC-4EA5-BA44-D65467B1A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2448</Words>
  <Characters>15820</Characters>
  <Application>Microsoft Office Word</Application>
  <DocSecurity>0</DocSecurity>
  <Lines>131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DINGA-SUPOVA Lucia</cp:lastModifiedBy>
  <cp:revision>2</cp:revision>
  <cp:lastPrinted>2004-11-19T15:42:00Z</cp:lastPrinted>
  <dcterms:created xsi:type="dcterms:W3CDTF">2025-07-09T13:16:00Z</dcterms:created>
  <dcterms:modified xsi:type="dcterms:W3CDTF">2025-07-09T13:16:00Z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B10-0277/2025</vt:lpwstr>
  </property>
  <property fmtid="{D5CDD505-2E9C-101B-9397-08002B2CF9AE}" pid="4" name="&lt;Type&gt;">
    <vt:lpwstr>RR</vt:lpwstr>
  </property>
</Properties>
</file>