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7E61" w14:paraId="3097B91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76BBF6" w14:textId="5A6B1630" w:rsidR="00751A4A" w:rsidRPr="00057E61" w:rsidRDefault="00431B9B" w:rsidP="0010095E">
            <w:pPr>
              <w:pStyle w:val="EPName"/>
            </w:pPr>
            <w:r w:rsidRPr="00057E61">
              <w:t>Parlament Europejski</w:t>
            </w:r>
          </w:p>
          <w:p w14:paraId="2415B9B1" w14:textId="77777777" w:rsidR="00751A4A" w:rsidRPr="00057E6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7E61">
              <w:t>2024</w:t>
            </w:r>
            <w:r w:rsidR="00817416" w:rsidRPr="00057E61">
              <w:t>-202</w:t>
            </w:r>
            <w:r w:rsidRPr="00057E61">
              <w:t>9</w:t>
            </w:r>
          </w:p>
        </w:tc>
        <w:tc>
          <w:tcPr>
            <w:tcW w:w="2268" w:type="dxa"/>
            <w:shd w:val="clear" w:color="auto" w:fill="auto"/>
          </w:tcPr>
          <w:p w14:paraId="70816F4C" w14:textId="77777777" w:rsidR="00751A4A" w:rsidRPr="00057E61" w:rsidRDefault="00187494" w:rsidP="0010095E">
            <w:pPr>
              <w:pStyle w:val="EPLogo"/>
            </w:pPr>
            <w:r w:rsidRPr="00057E61">
              <w:rPr>
                <w:noProof/>
                <w:lang w:eastAsia="ja-JP"/>
              </w:rPr>
              <w:drawing>
                <wp:inline distT="0" distB="0" distL="0" distR="0" wp14:anchorId="0DCC1961" wp14:editId="69F659A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A3576E" w14:textId="77777777" w:rsidR="00D058B8" w:rsidRPr="00057E61" w:rsidRDefault="00D058B8" w:rsidP="004C5D52">
      <w:pPr>
        <w:pStyle w:val="LineTop"/>
      </w:pPr>
    </w:p>
    <w:p w14:paraId="605DEEC6" w14:textId="62005E37" w:rsidR="00680577" w:rsidRPr="00057E61" w:rsidRDefault="00431B9B" w:rsidP="00680577">
      <w:pPr>
        <w:pStyle w:val="EPBodyTA1"/>
      </w:pPr>
      <w:r w:rsidRPr="00057E61">
        <w:t>TEKSTY PRZYJĘTE</w:t>
      </w:r>
    </w:p>
    <w:p w14:paraId="0E9E1DA4" w14:textId="77777777" w:rsidR="00D058B8" w:rsidRPr="00057E61" w:rsidRDefault="00D058B8" w:rsidP="00D058B8">
      <w:pPr>
        <w:pStyle w:val="LineBottom"/>
      </w:pPr>
    </w:p>
    <w:p w14:paraId="7A70F5A4" w14:textId="6DC69554" w:rsidR="00431B9B" w:rsidRPr="00057E61" w:rsidRDefault="00431B9B" w:rsidP="00431B9B">
      <w:pPr>
        <w:pStyle w:val="ATHeading1"/>
      </w:pPr>
      <w:bookmarkStart w:id="0" w:name="TANumber"/>
      <w:r w:rsidRPr="00057E61">
        <w:t>P10_TA(2025)0</w:t>
      </w:r>
      <w:bookmarkEnd w:id="0"/>
      <w:r w:rsidR="0072497E">
        <w:t>139</w:t>
      </w:r>
    </w:p>
    <w:p w14:paraId="6DE2EA67" w14:textId="77777777" w:rsidR="00431B9B" w:rsidRPr="00057E61" w:rsidRDefault="00431B9B" w:rsidP="00431B9B">
      <w:pPr>
        <w:pStyle w:val="ATHeading2"/>
      </w:pPr>
      <w:bookmarkStart w:id="1" w:name="title"/>
      <w:r w:rsidRPr="00057E61">
        <w:t>Przyjęcie przez Bułgarię euro w dniu 1 stycznia 2026 r.</w:t>
      </w:r>
      <w:bookmarkEnd w:id="1"/>
    </w:p>
    <w:p w14:paraId="26F2F579" w14:textId="77777777" w:rsidR="00431B9B" w:rsidRPr="00057E61" w:rsidRDefault="00431B9B" w:rsidP="00431B9B">
      <w:pPr>
        <w:rPr>
          <w:i/>
          <w:vanish/>
        </w:rPr>
      </w:pPr>
      <w:r w:rsidRPr="00057E61">
        <w:rPr>
          <w:i/>
        </w:rPr>
        <w:fldChar w:fldCharType="begin"/>
      </w:r>
      <w:r w:rsidRPr="00057E61">
        <w:rPr>
          <w:i/>
        </w:rPr>
        <w:instrText xml:space="preserve"> TC"(</w:instrText>
      </w:r>
      <w:bookmarkStart w:id="2" w:name="DocNumber"/>
      <w:r w:rsidRPr="00057E61">
        <w:rPr>
          <w:i/>
        </w:rPr>
        <w:instrText>A10-0113/2025</w:instrText>
      </w:r>
      <w:bookmarkEnd w:id="2"/>
      <w:r w:rsidRPr="00057E61">
        <w:rPr>
          <w:i/>
        </w:rPr>
        <w:instrText xml:space="preserve"> - Sprawozdawca: </w:instrText>
      </w:r>
      <w:proofErr w:type="spellStart"/>
      <w:r w:rsidRPr="00057E61">
        <w:rPr>
          <w:i/>
        </w:rPr>
        <w:instrText>Eva</w:instrText>
      </w:r>
      <w:proofErr w:type="spellEnd"/>
      <w:r w:rsidRPr="00057E61">
        <w:rPr>
          <w:i/>
        </w:rPr>
        <w:instrText xml:space="preserve"> </w:instrText>
      </w:r>
      <w:proofErr w:type="spellStart"/>
      <w:r w:rsidRPr="00057E61">
        <w:rPr>
          <w:i/>
        </w:rPr>
        <w:instrText>Maydell</w:instrText>
      </w:r>
      <w:proofErr w:type="spellEnd"/>
      <w:r w:rsidRPr="00057E61">
        <w:rPr>
          <w:i/>
        </w:rPr>
        <w:instrText xml:space="preserve">)"\l3 \n&gt; \* MERGEFORMAT </w:instrText>
      </w:r>
      <w:r w:rsidRPr="00057E61">
        <w:rPr>
          <w:i/>
        </w:rPr>
        <w:fldChar w:fldCharType="end"/>
      </w:r>
    </w:p>
    <w:p w14:paraId="0AE0BB30" w14:textId="77777777" w:rsidR="00431B9B" w:rsidRPr="00057E61" w:rsidRDefault="00431B9B" w:rsidP="00431B9B">
      <w:pPr>
        <w:rPr>
          <w:vanish/>
        </w:rPr>
      </w:pPr>
      <w:bookmarkStart w:id="3" w:name="Commission"/>
      <w:r w:rsidRPr="00057E61">
        <w:rPr>
          <w:vanish/>
        </w:rPr>
        <w:t>Komisja Gospodarcza i Monetarna</w:t>
      </w:r>
      <w:bookmarkEnd w:id="3"/>
    </w:p>
    <w:p w14:paraId="440FCB40" w14:textId="77777777" w:rsidR="00431B9B" w:rsidRPr="00057E61" w:rsidRDefault="00431B9B" w:rsidP="00431B9B">
      <w:pPr>
        <w:rPr>
          <w:vanish/>
        </w:rPr>
      </w:pPr>
      <w:bookmarkStart w:id="4" w:name="PE"/>
      <w:r w:rsidRPr="00057E61">
        <w:rPr>
          <w:vanish/>
        </w:rPr>
        <w:t>PE774.298</w:t>
      </w:r>
      <w:bookmarkEnd w:id="4"/>
    </w:p>
    <w:p w14:paraId="0F3406D4" w14:textId="28405766" w:rsidR="00431B9B" w:rsidRPr="00057E61" w:rsidRDefault="00431B9B" w:rsidP="00431B9B">
      <w:pPr>
        <w:pStyle w:val="ATHeading3"/>
      </w:pPr>
      <w:bookmarkStart w:id="5" w:name="Sujet"/>
      <w:r w:rsidRPr="00057E61">
        <w:t xml:space="preserve">Rezolucja ustawodawcza Parlamentu Europejskiego z dnia </w:t>
      </w:r>
      <w:r w:rsidR="003A50C0">
        <w:t>8 lipca</w:t>
      </w:r>
      <w:r w:rsidRPr="00057E61">
        <w:t xml:space="preserve"> 2025 r. w sprawie wniosku dotyczącego decyzji Rady w sprawie przyjęcia euro przez Bułgarię z dniem 1 stycznia 2026 r. </w:t>
      </w:r>
      <w:bookmarkStart w:id="6" w:name="References"/>
      <w:bookmarkEnd w:id="5"/>
      <w:r w:rsidRPr="00057E61">
        <w:t>(COM(2025)0304 – C10-0110/2025 – 2025/0158(NLE))</w:t>
      </w:r>
      <w:bookmarkEnd w:id="6"/>
    </w:p>
    <w:p w14:paraId="5684758A" w14:textId="77777777" w:rsidR="00631804" w:rsidRPr="00057E61" w:rsidRDefault="00631804" w:rsidP="00631804">
      <w:pPr>
        <w:pStyle w:val="NormalBold"/>
      </w:pPr>
      <w:r w:rsidRPr="00057E61">
        <w:t>(Konsultacja)</w:t>
      </w:r>
    </w:p>
    <w:p w14:paraId="329E0394" w14:textId="77777777" w:rsidR="00631804" w:rsidRPr="00057E61" w:rsidRDefault="00631804" w:rsidP="00631804">
      <w:pPr>
        <w:tabs>
          <w:tab w:val="left" w:pos="-1134"/>
          <w:tab w:val="left" w:pos="-114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before="480" w:after="240"/>
        <w:outlineLvl w:val="0"/>
      </w:pPr>
      <w:r w:rsidRPr="00057E61">
        <w:rPr>
          <w:i/>
        </w:rPr>
        <w:t>Parlament Europejski</w:t>
      </w:r>
      <w:r w:rsidRPr="00057E61">
        <w:t>,</w:t>
      </w:r>
    </w:p>
    <w:p w14:paraId="72FC1370" w14:textId="77777777" w:rsidR="00631804" w:rsidRPr="00057E61" w:rsidRDefault="00631804" w:rsidP="0072497E">
      <w:pPr>
        <w:tabs>
          <w:tab w:val="left" w:pos="-774"/>
          <w:tab w:val="left" w:pos="-114"/>
        </w:tabs>
        <w:spacing w:after="240" w:line="216" w:lineRule="auto"/>
        <w:ind w:left="567" w:hanging="567"/>
      </w:pPr>
      <w:r w:rsidRPr="00057E61">
        <w:t>–</w:t>
      </w:r>
      <w:r w:rsidRPr="00057E61">
        <w:tab/>
        <w:t>uwzględniając wniosek Komisji przedstawiony Radzie (COM(2025)0304),</w:t>
      </w:r>
    </w:p>
    <w:p w14:paraId="4B82A540" w14:textId="77777777" w:rsidR="00631804" w:rsidRPr="00057E61" w:rsidRDefault="00631804" w:rsidP="0072497E">
      <w:pPr>
        <w:tabs>
          <w:tab w:val="left" w:pos="-774"/>
          <w:tab w:val="left" w:pos="-114"/>
        </w:tabs>
        <w:spacing w:after="240" w:line="216" w:lineRule="auto"/>
        <w:ind w:left="567" w:hanging="567"/>
      </w:pPr>
      <w:r w:rsidRPr="00057E61">
        <w:sym w:font="Symbol" w:char="F02D"/>
      </w:r>
      <w:r w:rsidRPr="00057E61">
        <w:tab/>
        <w:t>uwzględniając art. 140 ust. 2 Traktatu o funkcjonowaniu Unii Europejskiej, zgodnie z którym Rada skonsultowała się z Parlamentem (C10</w:t>
      </w:r>
      <w:r w:rsidRPr="00057E61">
        <w:noBreakHyphen/>
        <w:t>0110/2025),</w:t>
      </w:r>
    </w:p>
    <w:p w14:paraId="6E0A61F0" w14:textId="4765AF35" w:rsidR="00631804" w:rsidRPr="00057E61" w:rsidRDefault="00631804" w:rsidP="0072497E">
      <w:pPr>
        <w:tabs>
          <w:tab w:val="left" w:pos="-774"/>
        </w:tabs>
        <w:spacing w:after="240" w:line="216" w:lineRule="auto"/>
        <w:ind w:left="567" w:hanging="567"/>
        <w:rPr>
          <w:b/>
        </w:rPr>
      </w:pPr>
      <w:r w:rsidRPr="00057E61">
        <w:t>–</w:t>
      </w:r>
      <w:r w:rsidRPr="00057E61">
        <w:tab/>
        <w:t>uwzględniając sprawozdanie Komisji z konwergencji za rok 2025 oraz sprawozdanie Europejskiego Banku Centralnego z konwergencji z czerwca 2025 r.,</w:t>
      </w:r>
    </w:p>
    <w:p w14:paraId="1F5C1E4A" w14:textId="77777777" w:rsidR="00631804" w:rsidRPr="00057E61" w:rsidRDefault="00631804" w:rsidP="0072497E">
      <w:pPr>
        <w:tabs>
          <w:tab w:val="left" w:pos="-774"/>
          <w:tab w:val="left" w:pos="-114"/>
        </w:tabs>
        <w:spacing w:after="240" w:line="216" w:lineRule="auto"/>
        <w:ind w:left="567" w:hanging="567"/>
      </w:pPr>
      <w:r w:rsidRPr="00057E61">
        <w:sym w:font="Symbol" w:char="F02D"/>
      </w:r>
      <w:r w:rsidRPr="00057E61">
        <w:tab/>
        <w:t>uwzględniając art. 108 Regulaminu,</w:t>
      </w:r>
    </w:p>
    <w:p w14:paraId="2C02B827" w14:textId="77777777" w:rsidR="00631804" w:rsidRPr="00057E61" w:rsidRDefault="00631804" w:rsidP="0072497E">
      <w:pPr>
        <w:tabs>
          <w:tab w:val="left" w:pos="-774"/>
          <w:tab w:val="left" w:pos="-114"/>
        </w:tabs>
        <w:spacing w:after="240" w:line="216" w:lineRule="auto"/>
        <w:ind w:left="567" w:hanging="567"/>
      </w:pPr>
      <w:r w:rsidRPr="00057E61">
        <w:sym w:font="Symbol" w:char="F02D"/>
      </w:r>
      <w:r w:rsidRPr="00057E61">
        <w:tab/>
        <w:t>uwzględniając sprawozdanie Komisji Gospodarczej i Monetarnej (A10-0113/2025),</w:t>
      </w:r>
    </w:p>
    <w:p w14:paraId="7F5F7DA4" w14:textId="77777777" w:rsidR="00631804" w:rsidRPr="00057E61" w:rsidRDefault="00631804" w:rsidP="0072497E">
      <w:pPr>
        <w:spacing w:after="240"/>
        <w:ind w:left="567" w:hanging="567"/>
      </w:pPr>
      <w:r w:rsidRPr="00057E61">
        <w:t>1.</w:t>
      </w:r>
      <w:r w:rsidRPr="00057E61">
        <w:tab/>
        <w:t>zatwierdza wniosek Komisji;</w:t>
      </w:r>
    </w:p>
    <w:p w14:paraId="0D63F5BE" w14:textId="77777777" w:rsidR="00631804" w:rsidRPr="00057E61" w:rsidRDefault="00631804" w:rsidP="0072497E">
      <w:pPr>
        <w:spacing w:after="240"/>
        <w:ind w:left="567" w:hanging="567"/>
      </w:pPr>
      <w:r w:rsidRPr="00057E61">
        <w:t>2.</w:t>
      </w:r>
      <w:r w:rsidRPr="00057E61">
        <w:tab/>
        <w:t>zwraca się do Rady o poinformowanie go, jeśli uzna ona za stosowne odejście od tekstu przyjętego przez Parlament;</w:t>
      </w:r>
    </w:p>
    <w:p w14:paraId="4ED7228F" w14:textId="77777777" w:rsidR="00631804" w:rsidRPr="00057E61" w:rsidRDefault="00631804" w:rsidP="0072497E">
      <w:pPr>
        <w:spacing w:after="240"/>
        <w:ind w:left="567" w:hanging="567"/>
      </w:pPr>
      <w:r w:rsidRPr="00057E61">
        <w:t>3.</w:t>
      </w:r>
      <w:r w:rsidRPr="00057E61">
        <w:tab/>
        <w:t>zwraca się do Rady o ponowne skonsultowanie się z Parlamentem, jeśli uzna ona za stosowne wprowadzenie znaczących zmian do tekstu przyjętego przez Parlament;</w:t>
      </w:r>
    </w:p>
    <w:p w14:paraId="2E55AC0E" w14:textId="0D915F20" w:rsidR="00057E61" w:rsidRPr="00057E61" w:rsidRDefault="00631804" w:rsidP="0072497E">
      <w:pPr>
        <w:spacing w:after="240"/>
        <w:ind w:left="567" w:hanging="567"/>
      </w:pPr>
      <w:r w:rsidRPr="00057E61">
        <w:t>4.</w:t>
      </w:r>
      <w:r w:rsidRPr="00057E61">
        <w:tab/>
        <w:t xml:space="preserve">zobowiązuje swoją przewodniczącą do przekazania stanowiska Parlamentu Radzie, Komisji, Europejskiemu Bankowi Centralnemu, </w:t>
      </w:r>
      <w:proofErr w:type="spellStart"/>
      <w:r w:rsidRPr="00057E61">
        <w:t>Eurogrupie</w:t>
      </w:r>
      <w:proofErr w:type="spellEnd"/>
      <w:r w:rsidRPr="00057E61">
        <w:t xml:space="preserve"> i rządom państw członkowskich.</w:t>
      </w:r>
    </w:p>
    <w:p w14:paraId="18806DC3" w14:textId="5320DA87" w:rsidR="00E365E1" w:rsidRPr="00057E61" w:rsidRDefault="00E365E1" w:rsidP="0072497E"/>
    <w:sectPr w:rsidR="00E365E1" w:rsidRPr="00057E61" w:rsidSect="00057E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0437D" w14:textId="77777777" w:rsidR="00431B9B" w:rsidRPr="00057E61" w:rsidRDefault="00431B9B">
      <w:r w:rsidRPr="00057E61">
        <w:separator/>
      </w:r>
    </w:p>
  </w:endnote>
  <w:endnote w:type="continuationSeparator" w:id="0">
    <w:p w14:paraId="0EFCB716" w14:textId="77777777" w:rsidR="00431B9B" w:rsidRPr="00057E61" w:rsidRDefault="00431B9B">
      <w:r w:rsidRPr="00057E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5956E" w14:textId="77777777" w:rsidR="00064002" w:rsidRPr="00057E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E06AA" w14:textId="77777777" w:rsidR="00064002" w:rsidRPr="00057E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938C2" w14:textId="77777777" w:rsidR="00064002" w:rsidRPr="00057E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FA8F8" w14:textId="77777777" w:rsidR="00431B9B" w:rsidRPr="00057E61" w:rsidRDefault="00431B9B">
      <w:r w:rsidRPr="00057E61">
        <w:separator/>
      </w:r>
    </w:p>
  </w:footnote>
  <w:footnote w:type="continuationSeparator" w:id="0">
    <w:p w14:paraId="3646D337" w14:textId="77777777" w:rsidR="00431B9B" w:rsidRPr="00057E61" w:rsidRDefault="00431B9B">
      <w:r w:rsidRPr="00057E6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65E8C" w14:textId="77777777" w:rsidR="00064002" w:rsidRPr="00057E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8A33F" w14:textId="77777777" w:rsidR="00064002" w:rsidRPr="00057E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6C5D3" w14:textId="77777777" w:rsidR="00064002" w:rsidRPr="00057E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99577793">
    <w:abstractNumId w:val="9"/>
  </w:num>
  <w:num w:numId="2" w16cid:durableId="2054183917">
    <w:abstractNumId w:val="9"/>
  </w:num>
  <w:num w:numId="3" w16cid:durableId="1340540193">
    <w:abstractNumId w:val="7"/>
  </w:num>
  <w:num w:numId="4" w16cid:durableId="1739087851">
    <w:abstractNumId w:val="7"/>
  </w:num>
  <w:num w:numId="5" w16cid:durableId="1511339002">
    <w:abstractNumId w:val="6"/>
  </w:num>
  <w:num w:numId="6" w16cid:durableId="1497842382">
    <w:abstractNumId w:val="6"/>
  </w:num>
  <w:num w:numId="7" w16cid:durableId="1359549126">
    <w:abstractNumId w:val="5"/>
  </w:num>
  <w:num w:numId="8" w16cid:durableId="2114666175">
    <w:abstractNumId w:val="5"/>
  </w:num>
  <w:num w:numId="9" w16cid:durableId="1309479247">
    <w:abstractNumId w:val="4"/>
  </w:num>
  <w:num w:numId="10" w16cid:durableId="631861732">
    <w:abstractNumId w:val="4"/>
  </w:num>
  <w:num w:numId="11" w16cid:durableId="1286813090">
    <w:abstractNumId w:val="8"/>
  </w:num>
  <w:num w:numId="12" w16cid:durableId="1966155753">
    <w:abstractNumId w:val="8"/>
  </w:num>
  <w:num w:numId="13" w16cid:durableId="401873546">
    <w:abstractNumId w:val="3"/>
  </w:num>
  <w:num w:numId="14" w16cid:durableId="160390494">
    <w:abstractNumId w:val="3"/>
  </w:num>
  <w:num w:numId="15" w16cid:durableId="391273587">
    <w:abstractNumId w:val="2"/>
  </w:num>
  <w:num w:numId="16" w16cid:durableId="1993436880">
    <w:abstractNumId w:val="2"/>
  </w:num>
  <w:num w:numId="17" w16cid:durableId="950548454">
    <w:abstractNumId w:val="1"/>
  </w:num>
  <w:num w:numId="18" w16cid:durableId="436564883">
    <w:abstractNumId w:val="1"/>
  </w:num>
  <w:num w:numId="19" w16cid:durableId="700934385">
    <w:abstractNumId w:val="0"/>
  </w:num>
  <w:num w:numId="20" w16cid:durableId="1480540483">
    <w:abstractNumId w:val="0"/>
  </w:num>
  <w:num w:numId="21" w16cid:durableId="1185562178">
    <w:abstractNumId w:val="9"/>
  </w:num>
  <w:num w:numId="22" w16cid:durableId="1530146528">
    <w:abstractNumId w:val="7"/>
  </w:num>
  <w:num w:numId="23" w16cid:durableId="377359710">
    <w:abstractNumId w:val="6"/>
  </w:num>
  <w:num w:numId="24" w16cid:durableId="575670709">
    <w:abstractNumId w:val="5"/>
  </w:num>
  <w:num w:numId="25" w16cid:durableId="120074984">
    <w:abstractNumId w:val="4"/>
  </w:num>
  <w:num w:numId="26" w16cid:durableId="1406950302">
    <w:abstractNumId w:val="8"/>
  </w:num>
  <w:num w:numId="27" w16cid:durableId="293411720">
    <w:abstractNumId w:val="3"/>
  </w:num>
  <w:num w:numId="28" w16cid:durableId="401174777">
    <w:abstractNumId w:val="2"/>
  </w:num>
  <w:num w:numId="29" w16cid:durableId="682709527">
    <w:abstractNumId w:val="1"/>
  </w:num>
  <w:num w:numId="30" w16cid:durableId="998654244">
    <w:abstractNumId w:val="0"/>
  </w:num>
  <w:num w:numId="31" w16cid:durableId="1882086703">
    <w:abstractNumId w:val="9"/>
  </w:num>
  <w:num w:numId="32" w16cid:durableId="1726565561">
    <w:abstractNumId w:val="7"/>
  </w:num>
  <w:num w:numId="33" w16cid:durableId="528446759">
    <w:abstractNumId w:val="6"/>
  </w:num>
  <w:num w:numId="34" w16cid:durableId="154956929">
    <w:abstractNumId w:val="5"/>
  </w:num>
  <w:num w:numId="35" w16cid:durableId="523980808">
    <w:abstractNumId w:val="4"/>
  </w:num>
  <w:num w:numId="36" w16cid:durableId="1080492891">
    <w:abstractNumId w:val="8"/>
  </w:num>
  <w:num w:numId="37" w16cid:durableId="1065833355">
    <w:abstractNumId w:val="3"/>
  </w:num>
  <w:num w:numId="38" w16cid:durableId="1196116146">
    <w:abstractNumId w:val="2"/>
  </w:num>
  <w:num w:numId="39" w16cid:durableId="1370036773">
    <w:abstractNumId w:val="1"/>
  </w:num>
  <w:num w:numId="40" w16cid:durableId="298341443">
    <w:abstractNumId w:val="0"/>
  </w:num>
  <w:num w:numId="41" w16cid:durableId="1485121035">
    <w:abstractNumId w:val="10"/>
  </w:num>
  <w:num w:numId="42" w16cid:durableId="1691762333">
    <w:abstractNumId w:val="10"/>
  </w:num>
  <w:num w:numId="43" w16cid:durableId="1635325945">
    <w:abstractNumId w:val="10"/>
  </w:num>
  <w:num w:numId="44" w16cid:durableId="18926914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3/2025"/>
    <w:docVar w:name="dvlangue" w:val="PL"/>
    <w:docVar w:name="dvnumam" w:val="0"/>
    <w:docVar w:name="dvpe" w:val="774.298"/>
    <w:docVar w:name="dvrapporteur" w:val="Sprawozdawca: "/>
    <w:docVar w:name="dvstar" w:val="*"/>
    <w:docVar w:name="dvtitre" w:val="Rezolucja ustawodawcza Parlamentu Europejskiego z dnia  2025 r. w sprawie wniosku dotyczącego decyzji Rady w sprawie przyjęcia euro przez Bułgarię z dniem 1 stycznia 2026 r. (COM(2025)0304 – C10-0110/2025 – 2025/0158(NLE))"/>
  </w:docVars>
  <w:rsids>
    <w:rsidRoot w:val="00431B9B"/>
    <w:rsid w:val="00002272"/>
    <w:rsid w:val="00057E6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30EA"/>
    <w:rsid w:val="002767FF"/>
    <w:rsid w:val="002B18FE"/>
    <w:rsid w:val="002B5493"/>
    <w:rsid w:val="00343214"/>
    <w:rsid w:val="00361C00"/>
    <w:rsid w:val="00395FA1"/>
    <w:rsid w:val="003A50C0"/>
    <w:rsid w:val="003E15D4"/>
    <w:rsid w:val="00411CCE"/>
    <w:rsid w:val="0041666E"/>
    <w:rsid w:val="00421060"/>
    <w:rsid w:val="00431B9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1804"/>
    <w:rsid w:val="00640298"/>
    <w:rsid w:val="006631B6"/>
    <w:rsid w:val="00680577"/>
    <w:rsid w:val="006F74FA"/>
    <w:rsid w:val="0072497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0B9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DC4702"/>
  <w15:chartTrackingRefBased/>
  <w15:docId w15:val="{274B0E05-2FF6-4F45-89C0-433A6DD87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631804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1294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2025-07-08T09:05:00Z</dcterms:created>
  <dcterms:modified xsi:type="dcterms:W3CDTF">2025-07-08T09:05:00Z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A10-0113/2025</vt:lpwstr>
  </property>
  <property fmtid="{D5CDD505-2E9C-101B-9397-08002B2CF9AE}" pid="4" name="&lt;Type&gt;">
    <vt:lpwstr>RR</vt:lpwstr>
  </property>
</Properties>
</file>